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D1652">
      <w:pPr>
        <w:pStyle w:val="5"/>
        <w:spacing w:line="276" w:lineRule="auto"/>
        <w:rPr>
          <w:color w:val="auto"/>
          <w:highlight w:val="none"/>
        </w:rPr>
      </w:pPr>
    </w:p>
    <w:p w14:paraId="3F49E225">
      <w:pPr>
        <w:pStyle w:val="5"/>
        <w:spacing w:line="276" w:lineRule="auto"/>
        <w:rPr>
          <w:color w:val="auto"/>
          <w:highlight w:val="none"/>
        </w:rPr>
      </w:pPr>
    </w:p>
    <w:p w14:paraId="6E2E496B">
      <w:pPr>
        <w:pStyle w:val="5"/>
        <w:spacing w:line="277" w:lineRule="auto"/>
        <w:rPr>
          <w:color w:val="auto"/>
          <w:highlight w:val="none"/>
        </w:rPr>
      </w:pPr>
    </w:p>
    <w:p w14:paraId="131D38E9">
      <w:pPr>
        <w:pStyle w:val="5"/>
        <w:spacing w:line="277" w:lineRule="auto"/>
        <w:rPr>
          <w:color w:val="auto"/>
          <w:highlight w:val="none"/>
        </w:rPr>
      </w:pPr>
    </w:p>
    <w:p w14:paraId="52510B70">
      <w:pPr>
        <w:pStyle w:val="5"/>
        <w:spacing w:line="277" w:lineRule="auto"/>
        <w:rPr>
          <w:color w:val="auto"/>
          <w:highlight w:val="none"/>
        </w:rPr>
      </w:pPr>
    </w:p>
    <w:p w14:paraId="5BC2BD12">
      <w:pPr>
        <w:pStyle w:val="5"/>
        <w:spacing w:line="277" w:lineRule="auto"/>
        <w:rPr>
          <w:color w:val="auto"/>
          <w:highlight w:val="none"/>
        </w:rPr>
      </w:pPr>
    </w:p>
    <w:p w14:paraId="6C955EAD">
      <w:pPr>
        <w:pStyle w:val="5"/>
        <w:spacing w:line="259" w:lineRule="auto"/>
        <w:jc w:val="center"/>
        <w:rPr>
          <w:color w:val="auto"/>
          <w:highlight w:val="none"/>
        </w:rPr>
      </w:pPr>
      <w:r>
        <w:rPr>
          <w:rFonts w:hint="eastAsia" w:ascii="仿宋" w:hAnsi="仿宋" w:eastAsia="仿宋" w:cs="仿宋"/>
          <w:b/>
          <w:bCs/>
          <w:color w:val="auto"/>
          <w:spacing w:val="-8"/>
          <w:sz w:val="33"/>
          <w:szCs w:val="33"/>
          <w:highlight w:val="none"/>
          <w:u w:val="single" w:color="auto"/>
          <w:lang w:val="en-US" w:eastAsia="zh-CN"/>
        </w:rPr>
        <w:t>会理市绿色农汽联创园建设项目主体工程劳务分包合同</w:t>
      </w:r>
    </w:p>
    <w:p w14:paraId="2B5862D7">
      <w:pPr>
        <w:pStyle w:val="5"/>
        <w:spacing w:line="259" w:lineRule="auto"/>
        <w:rPr>
          <w:color w:val="auto"/>
          <w:highlight w:val="none"/>
        </w:rPr>
      </w:pPr>
    </w:p>
    <w:p w14:paraId="3DF1F147">
      <w:pPr>
        <w:pStyle w:val="5"/>
        <w:spacing w:line="260" w:lineRule="auto"/>
        <w:rPr>
          <w:color w:val="auto"/>
          <w:highlight w:val="none"/>
        </w:rPr>
      </w:pPr>
    </w:p>
    <w:p w14:paraId="03F420CD">
      <w:pPr>
        <w:spacing w:before="94" w:line="224" w:lineRule="auto"/>
        <w:ind w:left="2248"/>
        <w:rPr>
          <w:rFonts w:ascii="仿宋" w:hAnsi="仿宋" w:eastAsia="仿宋" w:cs="仿宋"/>
          <w:color w:val="auto"/>
          <w:sz w:val="29"/>
          <w:szCs w:val="29"/>
          <w:highlight w:val="none"/>
        </w:rPr>
      </w:pPr>
      <w:r>
        <w:rPr>
          <w:rFonts w:ascii="仿宋" w:hAnsi="仿宋" w:eastAsia="仿宋" w:cs="仿宋"/>
          <w:color w:val="auto"/>
          <w:spacing w:val="-3"/>
          <w:sz w:val="29"/>
          <w:szCs w:val="29"/>
          <w:highlight w:val="none"/>
        </w:rPr>
        <w:t>(合同编号：</w:t>
      </w:r>
      <w:r>
        <w:rPr>
          <w:rFonts w:hint="eastAsia" w:ascii="仿宋" w:hAnsi="仿宋" w:eastAsia="仿宋" w:cs="仿宋"/>
          <w:color w:val="auto"/>
          <w:spacing w:val="-3"/>
          <w:sz w:val="29"/>
          <w:szCs w:val="29"/>
          <w:highlight w:val="none"/>
          <w:u w:val="single"/>
          <w:lang w:eastAsia="zh-CN"/>
        </w:rPr>
        <w:t>WNT-HLQCC-2026-001</w:t>
      </w:r>
      <w:r>
        <w:rPr>
          <w:rFonts w:hint="eastAsia" w:ascii="仿宋" w:hAnsi="仿宋" w:eastAsia="仿宋" w:cs="仿宋"/>
          <w:color w:val="auto"/>
          <w:spacing w:val="-3"/>
          <w:sz w:val="29"/>
          <w:szCs w:val="29"/>
          <w:highlight w:val="none"/>
        </w:rPr>
        <w:t xml:space="preserve"> </w:t>
      </w:r>
      <w:r>
        <w:rPr>
          <w:rFonts w:ascii="仿宋" w:hAnsi="仿宋" w:eastAsia="仿宋" w:cs="仿宋"/>
          <w:color w:val="auto"/>
          <w:spacing w:val="-3"/>
          <w:sz w:val="29"/>
          <w:szCs w:val="29"/>
          <w:highlight w:val="none"/>
        </w:rPr>
        <w:t>)</w:t>
      </w:r>
    </w:p>
    <w:p w14:paraId="37288BF7">
      <w:pPr>
        <w:pStyle w:val="5"/>
        <w:spacing w:line="245" w:lineRule="auto"/>
        <w:rPr>
          <w:color w:val="auto"/>
          <w:highlight w:val="none"/>
        </w:rPr>
      </w:pPr>
    </w:p>
    <w:p w14:paraId="54D9611D">
      <w:pPr>
        <w:pStyle w:val="5"/>
        <w:spacing w:line="245" w:lineRule="auto"/>
        <w:rPr>
          <w:color w:val="auto"/>
          <w:highlight w:val="none"/>
        </w:rPr>
      </w:pPr>
    </w:p>
    <w:p w14:paraId="1D412D56">
      <w:pPr>
        <w:pStyle w:val="5"/>
        <w:spacing w:line="245" w:lineRule="auto"/>
        <w:rPr>
          <w:color w:val="auto"/>
          <w:highlight w:val="none"/>
        </w:rPr>
      </w:pPr>
    </w:p>
    <w:p w14:paraId="1D4D658D">
      <w:pPr>
        <w:pStyle w:val="5"/>
        <w:spacing w:line="245" w:lineRule="auto"/>
        <w:rPr>
          <w:color w:val="auto"/>
          <w:highlight w:val="none"/>
        </w:rPr>
      </w:pPr>
    </w:p>
    <w:p w14:paraId="2DBEBA33">
      <w:pPr>
        <w:pStyle w:val="5"/>
        <w:spacing w:line="245" w:lineRule="auto"/>
        <w:rPr>
          <w:color w:val="auto"/>
          <w:highlight w:val="none"/>
        </w:rPr>
      </w:pPr>
    </w:p>
    <w:p w14:paraId="00464FB4">
      <w:pPr>
        <w:pStyle w:val="5"/>
        <w:spacing w:line="245" w:lineRule="auto"/>
        <w:rPr>
          <w:color w:val="auto"/>
          <w:highlight w:val="none"/>
        </w:rPr>
      </w:pPr>
    </w:p>
    <w:p w14:paraId="27AF775E">
      <w:pPr>
        <w:pStyle w:val="5"/>
        <w:spacing w:line="245" w:lineRule="auto"/>
        <w:rPr>
          <w:color w:val="auto"/>
          <w:highlight w:val="none"/>
        </w:rPr>
      </w:pPr>
    </w:p>
    <w:p w14:paraId="68945572">
      <w:pPr>
        <w:pStyle w:val="5"/>
        <w:spacing w:line="245" w:lineRule="auto"/>
        <w:rPr>
          <w:color w:val="auto"/>
          <w:highlight w:val="none"/>
        </w:rPr>
      </w:pPr>
    </w:p>
    <w:p w14:paraId="7D334924">
      <w:pPr>
        <w:pStyle w:val="5"/>
        <w:spacing w:line="245" w:lineRule="auto"/>
        <w:rPr>
          <w:color w:val="auto"/>
          <w:highlight w:val="none"/>
        </w:rPr>
      </w:pPr>
    </w:p>
    <w:p w14:paraId="5315CC5F">
      <w:pPr>
        <w:pStyle w:val="5"/>
        <w:spacing w:line="246" w:lineRule="auto"/>
        <w:rPr>
          <w:color w:val="auto"/>
          <w:highlight w:val="none"/>
        </w:rPr>
      </w:pPr>
    </w:p>
    <w:p w14:paraId="220FB0FF">
      <w:pPr>
        <w:pStyle w:val="5"/>
        <w:spacing w:line="246" w:lineRule="auto"/>
        <w:rPr>
          <w:color w:val="auto"/>
          <w:highlight w:val="none"/>
        </w:rPr>
      </w:pPr>
    </w:p>
    <w:p w14:paraId="36027766">
      <w:pPr>
        <w:pStyle w:val="5"/>
        <w:spacing w:line="246" w:lineRule="auto"/>
        <w:rPr>
          <w:color w:val="auto"/>
          <w:highlight w:val="none"/>
        </w:rPr>
      </w:pPr>
    </w:p>
    <w:p w14:paraId="5FA86E5E">
      <w:pPr>
        <w:pStyle w:val="5"/>
        <w:spacing w:line="246" w:lineRule="auto"/>
        <w:rPr>
          <w:color w:val="auto"/>
          <w:highlight w:val="none"/>
        </w:rPr>
      </w:pPr>
    </w:p>
    <w:p w14:paraId="452C3003">
      <w:pPr>
        <w:pStyle w:val="5"/>
        <w:spacing w:line="246" w:lineRule="auto"/>
        <w:rPr>
          <w:color w:val="auto"/>
          <w:highlight w:val="none"/>
        </w:rPr>
      </w:pPr>
    </w:p>
    <w:p w14:paraId="44418AB5">
      <w:pPr>
        <w:pStyle w:val="5"/>
        <w:spacing w:line="246" w:lineRule="auto"/>
        <w:rPr>
          <w:color w:val="auto"/>
          <w:highlight w:val="none"/>
        </w:rPr>
      </w:pPr>
    </w:p>
    <w:p w14:paraId="78277BB9">
      <w:pPr>
        <w:pStyle w:val="5"/>
        <w:spacing w:line="246" w:lineRule="auto"/>
        <w:rPr>
          <w:color w:val="auto"/>
          <w:highlight w:val="none"/>
        </w:rPr>
      </w:pPr>
    </w:p>
    <w:p w14:paraId="48481315">
      <w:pPr>
        <w:pStyle w:val="5"/>
        <w:spacing w:line="246" w:lineRule="auto"/>
        <w:rPr>
          <w:color w:val="auto"/>
          <w:highlight w:val="none"/>
        </w:rPr>
      </w:pPr>
    </w:p>
    <w:p w14:paraId="645AD7CA">
      <w:pPr>
        <w:pStyle w:val="5"/>
        <w:spacing w:line="246" w:lineRule="auto"/>
        <w:rPr>
          <w:color w:val="auto"/>
          <w:highlight w:val="none"/>
        </w:rPr>
      </w:pPr>
    </w:p>
    <w:p w14:paraId="2CBE7330">
      <w:pPr>
        <w:pStyle w:val="5"/>
        <w:spacing w:line="246" w:lineRule="auto"/>
        <w:rPr>
          <w:color w:val="auto"/>
          <w:highlight w:val="none"/>
        </w:rPr>
      </w:pPr>
    </w:p>
    <w:p w14:paraId="65561BBA">
      <w:pPr>
        <w:pStyle w:val="5"/>
        <w:spacing w:line="246" w:lineRule="auto"/>
        <w:rPr>
          <w:color w:val="auto"/>
          <w:highlight w:val="none"/>
        </w:rPr>
      </w:pPr>
    </w:p>
    <w:p w14:paraId="1807ED59">
      <w:pPr>
        <w:pStyle w:val="5"/>
        <w:spacing w:line="246" w:lineRule="auto"/>
        <w:rPr>
          <w:color w:val="auto"/>
          <w:highlight w:val="none"/>
        </w:rPr>
      </w:pPr>
    </w:p>
    <w:p w14:paraId="73C420D7">
      <w:pPr>
        <w:pStyle w:val="5"/>
        <w:spacing w:line="246" w:lineRule="auto"/>
        <w:rPr>
          <w:color w:val="auto"/>
          <w:highlight w:val="none"/>
        </w:rPr>
      </w:pPr>
    </w:p>
    <w:p w14:paraId="7C2DECB9">
      <w:pPr>
        <w:pStyle w:val="5"/>
        <w:spacing w:line="246" w:lineRule="auto"/>
        <w:rPr>
          <w:color w:val="auto"/>
          <w:highlight w:val="none"/>
        </w:rPr>
      </w:pPr>
    </w:p>
    <w:p w14:paraId="2024933D">
      <w:pPr>
        <w:pStyle w:val="5"/>
        <w:spacing w:line="246" w:lineRule="auto"/>
        <w:rPr>
          <w:color w:val="auto"/>
          <w:highlight w:val="none"/>
        </w:rPr>
      </w:pPr>
    </w:p>
    <w:p w14:paraId="49F86AF2">
      <w:pPr>
        <w:pStyle w:val="5"/>
        <w:spacing w:line="246" w:lineRule="auto"/>
        <w:rPr>
          <w:color w:val="auto"/>
          <w:highlight w:val="none"/>
        </w:rPr>
      </w:pPr>
    </w:p>
    <w:p w14:paraId="08B1C579">
      <w:pPr>
        <w:pStyle w:val="5"/>
        <w:spacing w:line="246" w:lineRule="auto"/>
        <w:rPr>
          <w:color w:val="auto"/>
          <w:highlight w:val="none"/>
        </w:rPr>
      </w:pPr>
    </w:p>
    <w:p w14:paraId="3B6998AD">
      <w:pPr>
        <w:spacing w:before="107" w:line="222" w:lineRule="auto"/>
        <w:ind w:firstLine="1844" w:firstLineChars="600"/>
        <w:jc w:val="left"/>
        <w:rPr>
          <w:rFonts w:hint="default" w:ascii="仿宋" w:hAnsi="仿宋" w:eastAsia="仿宋" w:cs="仿宋"/>
          <w:color w:val="auto"/>
          <w:sz w:val="33"/>
          <w:szCs w:val="33"/>
          <w:highlight w:val="none"/>
          <w:lang w:val="en-US" w:eastAsia="zh-CN"/>
        </w:rPr>
      </w:pPr>
      <w:r>
        <w:rPr>
          <w:rFonts w:ascii="仿宋" w:hAnsi="仿宋" w:eastAsia="仿宋" w:cs="仿宋"/>
          <w:b/>
          <w:bCs/>
          <w:color w:val="auto"/>
          <w:spacing w:val="-12"/>
          <w:sz w:val="33"/>
          <w:szCs w:val="33"/>
          <w:highlight w:val="none"/>
        </w:rPr>
        <w:t>甲方：</w:t>
      </w:r>
      <w:r>
        <w:rPr>
          <w:rFonts w:hint="eastAsia" w:ascii="仿宋" w:hAnsi="仿宋" w:eastAsia="仿宋" w:cs="仿宋"/>
          <w:color w:val="auto"/>
          <w:sz w:val="33"/>
          <w:szCs w:val="33"/>
          <w:highlight w:val="none"/>
          <w:lang w:val="en-US" w:eastAsia="zh-CN"/>
        </w:rPr>
        <w:t>四川万尼腾建设工程有限公司</w:t>
      </w:r>
    </w:p>
    <w:p w14:paraId="1F1193CC">
      <w:pPr>
        <w:spacing w:before="107" w:line="222" w:lineRule="auto"/>
        <w:ind w:firstLine="1820" w:firstLineChars="600"/>
        <w:jc w:val="left"/>
        <w:rPr>
          <w:rFonts w:hint="default" w:ascii="仿宋" w:hAnsi="仿宋" w:eastAsia="仿宋" w:cs="仿宋"/>
          <w:color w:val="auto"/>
          <w:sz w:val="33"/>
          <w:szCs w:val="33"/>
          <w:highlight w:val="none"/>
          <w:lang w:val="en-US" w:eastAsia="zh-CN"/>
        </w:rPr>
      </w:pPr>
      <w:r>
        <w:rPr>
          <w:rFonts w:ascii="仿宋" w:hAnsi="仿宋" w:eastAsia="仿宋" w:cs="仿宋"/>
          <w:b/>
          <w:bCs/>
          <w:color w:val="auto"/>
          <w:spacing w:val="-14"/>
          <w:sz w:val="33"/>
          <w:szCs w:val="33"/>
          <w:highlight w:val="none"/>
        </w:rPr>
        <w:t>乙方：</w:t>
      </w:r>
      <w:r>
        <w:rPr>
          <w:rFonts w:hint="eastAsia" w:ascii="仿宋" w:hAnsi="仿宋" w:eastAsia="仿宋" w:cs="仿宋"/>
          <w:color w:val="auto"/>
          <w:sz w:val="33"/>
          <w:szCs w:val="33"/>
          <w:highlight w:val="none"/>
          <w:lang w:val="en-US" w:eastAsia="zh-CN"/>
        </w:rPr>
        <w:t>************</w:t>
      </w:r>
    </w:p>
    <w:p w14:paraId="0B04F619">
      <w:pPr>
        <w:spacing w:before="107" w:line="222" w:lineRule="auto"/>
        <w:ind w:firstLine="1980" w:firstLineChars="600"/>
        <w:jc w:val="left"/>
        <w:rPr>
          <w:rFonts w:hint="eastAsia" w:ascii="仿宋" w:hAnsi="仿宋" w:eastAsia="仿宋" w:cs="仿宋"/>
          <w:color w:val="auto"/>
          <w:sz w:val="33"/>
          <w:szCs w:val="33"/>
          <w:highlight w:val="none"/>
          <w:lang w:val="en-US" w:eastAsia="zh-CN"/>
        </w:rPr>
      </w:pPr>
    </w:p>
    <w:p w14:paraId="5242DA34">
      <w:pPr>
        <w:pStyle w:val="5"/>
        <w:spacing w:line="286" w:lineRule="auto"/>
        <w:rPr>
          <w:color w:val="auto"/>
          <w:highlight w:val="none"/>
        </w:rPr>
      </w:pPr>
    </w:p>
    <w:p w14:paraId="75400D85">
      <w:pPr>
        <w:pStyle w:val="5"/>
        <w:spacing w:line="286" w:lineRule="auto"/>
        <w:rPr>
          <w:color w:val="auto"/>
          <w:highlight w:val="none"/>
        </w:rPr>
      </w:pPr>
    </w:p>
    <w:p w14:paraId="784E60D6">
      <w:pPr>
        <w:pStyle w:val="5"/>
        <w:spacing w:line="287" w:lineRule="auto"/>
        <w:rPr>
          <w:color w:val="auto"/>
          <w:highlight w:val="none"/>
        </w:rPr>
      </w:pPr>
    </w:p>
    <w:p w14:paraId="1786F43F">
      <w:pPr>
        <w:pStyle w:val="5"/>
        <w:spacing w:line="287" w:lineRule="auto"/>
        <w:rPr>
          <w:color w:val="auto"/>
          <w:highlight w:val="none"/>
        </w:rPr>
      </w:pPr>
    </w:p>
    <w:p w14:paraId="7AC9EB36">
      <w:pPr>
        <w:spacing w:before="84" w:line="222" w:lineRule="auto"/>
        <w:ind w:left="3158"/>
        <w:outlineLvl w:val="0"/>
        <w:rPr>
          <w:rFonts w:ascii="仿宋" w:hAnsi="仿宋" w:eastAsia="仿宋" w:cs="仿宋"/>
          <w:color w:val="auto"/>
          <w:sz w:val="26"/>
          <w:szCs w:val="26"/>
          <w:highlight w:val="none"/>
        </w:rPr>
      </w:pPr>
      <w:bookmarkStart w:id="0" w:name="_Toc31068"/>
      <w:r>
        <w:rPr>
          <w:rFonts w:hint="eastAsia" w:ascii="仿宋" w:hAnsi="仿宋" w:eastAsia="仿宋" w:cs="仿宋"/>
          <w:color w:val="auto"/>
          <w:spacing w:val="-13"/>
          <w:sz w:val="26"/>
          <w:szCs w:val="26"/>
          <w:highlight w:val="none"/>
          <w:lang w:val="en-US" w:eastAsia="zh-CN"/>
        </w:rPr>
        <w:t xml:space="preserve">2026 </w:t>
      </w:r>
      <w:r>
        <w:rPr>
          <w:rFonts w:ascii="仿宋" w:hAnsi="仿宋" w:eastAsia="仿宋" w:cs="仿宋"/>
          <w:color w:val="auto"/>
          <w:spacing w:val="-13"/>
          <w:sz w:val="26"/>
          <w:szCs w:val="26"/>
          <w:highlight w:val="none"/>
        </w:rPr>
        <w:t>年</w:t>
      </w:r>
      <w:r>
        <w:rPr>
          <w:rFonts w:hint="eastAsia" w:ascii="仿宋" w:hAnsi="仿宋" w:eastAsia="仿宋" w:cs="仿宋"/>
          <w:color w:val="auto"/>
          <w:spacing w:val="-13"/>
          <w:sz w:val="26"/>
          <w:szCs w:val="26"/>
          <w:highlight w:val="none"/>
          <w:lang w:val="en-US" w:eastAsia="zh-CN"/>
        </w:rPr>
        <w:t xml:space="preserve">  **</w:t>
      </w:r>
      <w:r>
        <w:rPr>
          <w:rFonts w:ascii="仿宋" w:hAnsi="仿宋" w:eastAsia="仿宋" w:cs="仿宋"/>
          <w:color w:val="auto"/>
          <w:spacing w:val="-13"/>
          <w:sz w:val="26"/>
          <w:szCs w:val="26"/>
          <w:highlight w:val="none"/>
        </w:rPr>
        <w:t xml:space="preserve">月 </w:t>
      </w:r>
      <w:r>
        <w:rPr>
          <w:rFonts w:hint="eastAsia" w:ascii="仿宋" w:hAnsi="仿宋" w:eastAsia="仿宋" w:cs="仿宋"/>
          <w:color w:val="auto"/>
          <w:spacing w:val="-13"/>
          <w:sz w:val="26"/>
          <w:szCs w:val="26"/>
          <w:highlight w:val="none"/>
          <w:lang w:val="en-US" w:eastAsia="zh-CN"/>
        </w:rPr>
        <w:t xml:space="preserve">*** 日 </w:t>
      </w:r>
      <w:bookmarkEnd w:id="0"/>
    </w:p>
    <w:p w14:paraId="1B0FAF31">
      <w:pPr>
        <w:spacing w:line="222" w:lineRule="auto"/>
        <w:rPr>
          <w:rFonts w:ascii="仿宋" w:hAnsi="仿宋" w:eastAsia="仿宋" w:cs="仿宋"/>
          <w:color w:val="auto"/>
          <w:sz w:val="26"/>
          <w:szCs w:val="26"/>
          <w:highlight w:val="none"/>
        </w:rPr>
        <w:sectPr>
          <w:pgSz w:w="11906" w:h="16838"/>
          <w:pgMar w:top="1429" w:right="1786" w:bottom="1429" w:left="1786" w:header="0" w:footer="0" w:gutter="0"/>
          <w:cols w:space="720" w:num="1"/>
        </w:sectPr>
      </w:pPr>
    </w:p>
    <w:sdt>
      <w:sdtPr>
        <w:rPr>
          <w:rFonts w:ascii="宋体" w:hAnsi="宋体" w:eastAsia="宋体" w:cs="Arial"/>
          <w:snapToGrid w:val="0"/>
          <w:color w:val="auto"/>
          <w:kern w:val="0"/>
          <w:sz w:val="32"/>
          <w:szCs w:val="32"/>
          <w:highlight w:val="none"/>
          <w:lang w:val="en-US" w:eastAsia="en-US" w:bidi="ar-SA"/>
        </w:rPr>
        <w:id w:val="147452719"/>
        <w15:color w:val="DBDBDB"/>
        <w:docPartObj>
          <w:docPartGallery w:val="Table of Contents"/>
          <w:docPartUnique/>
        </w:docPartObj>
      </w:sdtPr>
      <w:sdtEndPr>
        <w:rPr>
          <w:rFonts w:ascii="Arial" w:hAnsi="Arial" w:eastAsia="黑体" w:cs="Arial"/>
          <w:b/>
          <w:bCs/>
          <w:snapToGrid w:val="0"/>
          <w:color w:val="auto"/>
          <w:kern w:val="0"/>
          <w:sz w:val="28"/>
          <w:szCs w:val="28"/>
          <w:highlight w:val="none"/>
          <w:lang w:val="en-US" w:eastAsia="en-US" w:bidi="ar-SA"/>
        </w:rPr>
      </w:sdtEndPr>
      <w:sdtContent>
        <w:p w14:paraId="56F99F89">
          <w:pPr>
            <w:spacing w:before="0" w:beforeLines="0" w:after="0" w:afterLines="0" w:line="240" w:lineRule="auto"/>
            <w:ind w:left="0" w:leftChars="0" w:right="0" w:rightChars="0" w:firstLine="0" w:firstLineChars="0"/>
            <w:jc w:val="center"/>
            <w:rPr>
              <w:color w:val="auto"/>
              <w:sz w:val="32"/>
              <w:szCs w:val="32"/>
              <w:highlight w:val="none"/>
            </w:rPr>
          </w:pPr>
          <w:r>
            <w:rPr>
              <w:rFonts w:ascii="宋体" w:hAnsi="宋体" w:eastAsia="宋体"/>
              <w:color w:val="auto"/>
              <w:sz w:val="32"/>
              <w:szCs w:val="32"/>
              <w:highlight w:val="none"/>
            </w:rPr>
            <w:t>目录</w:t>
          </w:r>
        </w:p>
        <w:p w14:paraId="09092ED5">
          <w:pPr>
            <w:pStyle w:val="17"/>
            <w:tabs>
              <w:tab w:val="right" w:leader="dot" w:pos="8391"/>
            </w:tabs>
            <w:rPr>
              <w:color w:val="auto"/>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p>
        <w:p w14:paraId="2F658494">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_Toc16608 </w:instrText>
          </w:r>
          <w:r>
            <w:rPr>
              <w:color w:val="auto"/>
              <w:sz w:val="24"/>
              <w:szCs w:val="24"/>
              <w:highlight w:val="none"/>
            </w:rPr>
            <w:fldChar w:fldCharType="separate"/>
          </w:r>
          <w:r>
            <w:rPr>
              <w:rFonts w:ascii="仿宋" w:hAnsi="仿宋" w:eastAsia="仿宋" w:cs="仿宋"/>
              <w:bCs/>
              <w:color w:val="auto"/>
              <w:spacing w:val="-10"/>
              <w:sz w:val="24"/>
              <w:szCs w:val="24"/>
              <w:highlight w:val="none"/>
            </w:rPr>
            <w:t>一、项目概况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_Toc16608 \h </w:instrText>
          </w:r>
          <w:r>
            <w:rPr>
              <w:color w:val="auto"/>
              <w:sz w:val="24"/>
              <w:szCs w:val="24"/>
              <w:highlight w:val="none"/>
            </w:rPr>
            <w:fldChar w:fldCharType="separate"/>
          </w:r>
          <w:r>
            <w:rPr>
              <w:color w:val="auto"/>
              <w:sz w:val="24"/>
              <w:szCs w:val="24"/>
              <w:highlight w:val="none"/>
            </w:rPr>
            <w:t>2</w:t>
          </w:r>
          <w:r>
            <w:rPr>
              <w:color w:val="auto"/>
              <w:sz w:val="24"/>
              <w:szCs w:val="24"/>
              <w:highlight w:val="none"/>
            </w:rPr>
            <w:fldChar w:fldCharType="end"/>
          </w:r>
          <w:r>
            <w:rPr>
              <w:color w:val="auto"/>
              <w:sz w:val="24"/>
              <w:szCs w:val="24"/>
              <w:highlight w:val="none"/>
            </w:rPr>
            <w:fldChar w:fldCharType="end"/>
          </w:r>
        </w:p>
        <w:p w14:paraId="1D22F2BC">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_Toc9362 </w:instrText>
          </w:r>
          <w:r>
            <w:rPr>
              <w:color w:val="auto"/>
              <w:sz w:val="24"/>
              <w:szCs w:val="24"/>
              <w:highlight w:val="none"/>
            </w:rPr>
            <w:fldChar w:fldCharType="separate"/>
          </w:r>
          <w:r>
            <w:rPr>
              <w:rFonts w:ascii="仿宋" w:hAnsi="仿宋" w:eastAsia="仿宋" w:cs="仿宋"/>
              <w:bCs/>
              <w:color w:val="auto"/>
              <w:spacing w:val="-12"/>
              <w:sz w:val="24"/>
              <w:szCs w:val="24"/>
              <w:highlight w:val="none"/>
            </w:rPr>
            <w:t>二、合同范围</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_Toc9362 \h </w:instrText>
          </w:r>
          <w:r>
            <w:rPr>
              <w:color w:val="auto"/>
              <w:sz w:val="24"/>
              <w:szCs w:val="24"/>
              <w:highlight w:val="none"/>
            </w:rPr>
            <w:fldChar w:fldCharType="separate"/>
          </w:r>
          <w:r>
            <w:rPr>
              <w:color w:val="auto"/>
              <w:sz w:val="24"/>
              <w:szCs w:val="24"/>
              <w:highlight w:val="none"/>
            </w:rPr>
            <w:t>2</w:t>
          </w:r>
          <w:r>
            <w:rPr>
              <w:color w:val="auto"/>
              <w:sz w:val="24"/>
              <w:szCs w:val="24"/>
              <w:highlight w:val="none"/>
            </w:rPr>
            <w:fldChar w:fldCharType="end"/>
          </w:r>
          <w:r>
            <w:rPr>
              <w:color w:val="auto"/>
              <w:sz w:val="24"/>
              <w:szCs w:val="24"/>
              <w:highlight w:val="none"/>
            </w:rPr>
            <w:fldChar w:fldCharType="end"/>
          </w:r>
        </w:p>
        <w:p w14:paraId="0559D8BB">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_Toc22615 </w:instrText>
          </w:r>
          <w:r>
            <w:rPr>
              <w:color w:val="auto"/>
              <w:sz w:val="24"/>
              <w:szCs w:val="24"/>
              <w:highlight w:val="none"/>
            </w:rPr>
            <w:fldChar w:fldCharType="separate"/>
          </w:r>
          <w:r>
            <w:rPr>
              <w:rFonts w:ascii="仿宋" w:hAnsi="仿宋" w:eastAsia="仿宋" w:cs="仿宋"/>
              <w:bCs/>
              <w:color w:val="auto"/>
              <w:spacing w:val="-13"/>
              <w:sz w:val="24"/>
              <w:szCs w:val="24"/>
              <w:highlight w:val="none"/>
            </w:rPr>
            <w:t>三、合同价款</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_Toc22615 \h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14:paraId="6797DEE3">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_Toc6186 </w:instrText>
          </w:r>
          <w:r>
            <w:rPr>
              <w:color w:val="auto"/>
              <w:sz w:val="24"/>
              <w:szCs w:val="24"/>
              <w:highlight w:val="none"/>
            </w:rPr>
            <w:fldChar w:fldCharType="separate"/>
          </w:r>
          <w:r>
            <w:rPr>
              <w:rFonts w:ascii="仿宋" w:hAnsi="仿宋" w:eastAsia="仿宋" w:cs="仿宋"/>
              <w:bCs/>
              <w:color w:val="auto"/>
              <w:spacing w:val="-12"/>
              <w:sz w:val="24"/>
              <w:szCs w:val="24"/>
              <w:highlight w:val="none"/>
            </w:rPr>
            <w:t>四、双方权利与义务</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_Toc6186 \h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14:paraId="463A9808">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_Toc8254 </w:instrText>
          </w:r>
          <w:r>
            <w:rPr>
              <w:color w:val="auto"/>
              <w:sz w:val="24"/>
              <w:szCs w:val="24"/>
              <w:highlight w:val="none"/>
            </w:rPr>
            <w:fldChar w:fldCharType="separate"/>
          </w:r>
          <w:r>
            <w:rPr>
              <w:rFonts w:ascii="仿宋" w:hAnsi="仿宋" w:eastAsia="仿宋" w:cs="仿宋"/>
              <w:bCs/>
              <w:color w:val="auto"/>
              <w:spacing w:val="-9"/>
              <w:sz w:val="24"/>
              <w:szCs w:val="24"/>
              <w:highlight w:val="none"/>
            </w:rPr>
            <w:t>五、施工辅助设施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_Toc8254 \h </w:instrText>
          </w:r>
          <w:r>
            <w:rPr>
              <w:color w:val="auto"/>
              <w:sz w:val="24"/>
              <w:szCs w:val="24"/>
              <w:highlight w:val="none"/>
            </w:rPr>
            <w:fldChar w:fldCharType="separate"/>
          </w:r>
          <w:r>
            <w:rPr>
              <w:color w:val="auto"/>
              <w:sz w:val="24"/>
              <w:szCs w:val="24"/>
              <w:highlight w:val="none"/>
            </w:rPr>
            <w:t>15</w:t>
          </w:r>
          <w:r>
            <w:rPr>
              <w:color w:val="auto"/>
              <w:sz w:val="24"/>
              <w:szCs w:val="24"/>
              <w:highlight w:val="none"/>
            </w:rPr>
            <w:fldChar w:fldCharType="end"/>
          </w:r>
          <w:r>
            <w:rPr>
              <w:color w:val="auto"/>
              <w:sz w:val="24"/>
              <w:szCs w:val="24"/>
              <w:highlight w:val="none"/>
            </w:rPr>
            <w:fldChar w:fldCharType="end"/>
          </w:r>
        </w:p>
        <w:p w14:paraId="4D8517EC">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_Toc26255 </w:instrText>
          </w:r>
          <w:r>
            <w:rPr>
              <w:color w:val="auto"/>
              <w:sz w:val="24"/>
              <w:szCs w:val="24"/>
              <w:highlight w:val="none"/>
            </w:rPr>
            <w:fldChar w:fldCharType="separate"/>
          </w:r>
          <w:r>
            <w:rPr>
              <w:rFonts w:ascii="仿宋" w:hAnsi="仿宋" w:eastAsia="仿宋" w:cs="仿宋"/>
              <w:bCs/>
              <w:color w:val="auto"/>
              <w:spacing w:val="-23"/>
              <w:sz w:val="24"/>
              <w:szCs w:val="24"/>
              <w:highlight w:val="none"/>
            </w:rPr>
            <w:t>六</w:t>
          </w:r>
          <w:r>
            <w:rPr>
              <w:rFonts w:ascii="仿宋" w:hAnsi="仿宋" w:eastAsia="仿宋" w:cs="仿宋"/>
              <w:color w:val="auto"/>
              <w:spacing w:val="-59"/>
              <w:sz w:val="24"/>
              <w:szCs w:val="24"/>
              <w:highlight w:val="none"/>
            </w:rPr>
            <w:t xml:space="preserve"> </w:t>
          </w:r>
          <w:r>
            <w:rPr>
              <w:rFonts w:ascii="仿宋" w:hAnsi="仿宋" w:eastAsia="仿宋" w:cs="仿宋"/>
              <w:bCs/>
              <w:color w:val="auto"/>
              <w:spacing w:val="-23"/>
              <w:sz w:val="24"/>
              <w:szCs w:val="24"/>
              <w:highlight w:val="none"/>
            </w:rPr>
            <w:t>、材料供应</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_Toc26255 \h </w:instrText>
          </w:r>
          <w:r>
            <w:rPr>
              <w:color w:val="auto"/>
              <w:sz w:val="24"/>
              <w:szCs w:val="24"/>
              <w:highlight w:val="none"/>
            </w:rPr>
            <w:fldChar w:fldCharType="separate"/>
          </w:r>
          <w:r>
            <w:rPr>
              <w:color w:val="auto"/>
              <w:sz w:val="24"/>
              <w:szCs w:val="24"/>
              <w:highlight w:val="none"/>
            </w:rPr>
            <w:t>16</w:t>
          </w:r>
          <w:r>
            <w:rPr>
              <w:color w:val="auto"/>
              <w:sz w:val="24"/>
              <w:szCs w:val="24"/>
              <w:highlight w:val="none"/>
            </w:rPr>
            <w:fldChar w:fldCharType="end"/>
          </w:r>
          <w:r>
            <w:rPr>
              <w:color w:val="auto"/>
              <w:sz w:val="24"/>
              <w:szCs w:val="24"/>
              <w:highlight w:val="none"/>
            </w:rPr>
            <w:fldChar w:fldCharType="end"/>
          </w:r>
        </w:p>
        <w:p w14:paraId="5474894C">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_Toc6244 </w:instrText>
          </w:r>
          <w:r>
            <w:rPr>
              <w:color w:val="auto"/>
              <w:sz w:val="24"/>
              <w:szCs w:val="24"/>
              <w:highlight w:val="none"/>
            </w:rPr>
            <w:fldChar w:fldCharType="separate"/>
          </w:r>
          <w:r>
            <w:rPr>
              <w:rFonts w:ascii="仿宋" w:hAnsi="仿宋" w:eastAsia="仿宋" w:cs="仿宋"/>
              <w:bCs/>
              <w:color w:val="auto"/>
              <w:spacing w:val="-6"/>
              <w:sz w:val="24"/>
              <w:szCs w:val="24"/>
              <w:highlight w:val="none"/>
            </w:rPr>
            <w:t>七、施工设备</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_Toc6244 \h </w:instrText>
          </w:r>
          <w:r>
            <w:rPr>
              <w:color w:val="auto"/>
              <w:sz w:val="24"/>
              <w:szCs w:val="24"/>
              <w:highlight w:val="none"/>
            </w:rPr>
            <w:fldChar w:fldCharType="separate"/>
          </w:r>
          <w:r>
            <w:rPr>
              <w:color w:val="auto"/>
              <w:sz w:val="24"/>
              <w:szCs w:val="24"/>
              <w:highlight w:val="none"/>
            </w:rPr>
            <w:t>18</w:t>
          </w:r>
          <w:r>
            <w:rPr>
              <w:color w:val="auto"/>
              <w:sz w:val="24"/>
              <w:szCs w:val="24"/>
              <w:highlight w:val="none"/>
            </w:rPr>
            <w:fldChar w:fldCharType="end"/>
          </w:r>
          <w:r>
            <w:rPr>
              <w:color w:val="auto"/>
              <w:sz w:val="24"/>
              <w:szCs w:val="24"/>
              <w:highlight w:val="none"/>
            </w:rPr>
            <w:fldChar w:fldCharType="end"/>
          </w:r>
        </w:p>
        <w:p w14:paraId="38B69F45">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_Toc21308 </w:instrText>
          </w:r>
          <w:r>
            <w:rPr>
              <w:color w:val="auto"/>
              <w:sz w:val="24"/>
              <w:szCs w:val="24"/>
              <w:highlight w:val="none"/>
            </w:rPr>
            <w:fldChar w:fldCharType="separate"/>
          </w:r>
          <w:r>
            <w:rPr>
              <w:rFonts w:ascii="仿宋" w:hAnsi="仿宋" w:eastAsia="仿宋" w:cs="仿宋"/>
              <w:bCs/>
              <w:color w:val="auto"/>
              <w:spacing w:val="-8"/>
              <w:sz w:val="24"/>
              <w:szCs w:val="24"/>
              <w:highlight w:val="none"/>
            </w:rPr>
            <w:t>八、质量要求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_Toc21308 \h </w:instrText>
          </w:r>
          <w:r>
            <w:rPr>
              <w:color w:val="auto"/>
              <w:sz w:val="24"/>
              <w:szCs w:val="24"/>
              <w:highlight w:val="none"/>
            </w:rPr>
            <w:fldChar w:fldCharType="separate"/>
          </w:r>
          <w:r>
            <w:rPr>
              <w:color w:val="auto"/>
              <w:sz w:val="24"/>
              <w:szCs w:val="24"/>
              <w:highlight w:val="none"/>
            </w:rPr>
            <w:t>19</w:t>
          </w:r>
          <w:r>
            <w:rPr>
              <w:color w:val="auto"/>
              <w:sz w:val="24"/>
              <w:szCs w:val="24"/>
              <w:highlight w:val="none"/>
            </w:rPr>
            <w:fldChar w:fldCharType="end"/>
          </w:r>
          <w:r>
            <w:rPr>
              <w:color w:val="auto"/>
              <w:sz w:val="24"/>
              <w:szCs w:val="24"/>
              <w:highlight w:val="none"/>
            </w:rPr>
            <w:fldChar w:fldCharType="end"/>
          </w:r>
        </w:p>
        <w:p w14:paraId="3A63A730">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_Toc21915 </w:instrText>
          </w:r>
          <w:r>
            <w:rPr>
              <w:color w:val="auto"/>
              <w:sz w:val="24"/>
              <w:szCs w:val="24"/>
              <w:highlight w:val="none"/>
            </w:rPr>
            <w:fldChar w:fldCharType="separate"/>
          </w:r>
          <w:r>
            <w:rPr>
              <w:rFonts w:ascii="仿宋" w:hAnsi="仿宋" w:eastAsia="仿宋" w:cs="仿宋"/>
              <w:bCs/>
              <w:color w:val="auto"/>
              <w:spacing w:val="-10"/>
              <w:sz w:val="24"/>
              <w:szCs w:val="24"/>
              <w:highlight w:val="none"/>
            </w:rPr>
            <w:t>九、安全生产与文明施工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_Toc21915 \h </w:instrText>
          </w:r>
          <w:r>
            <w:rPr>
              <w:color w:val="auto"/>
              <w:sz w:val="24"/>
              <w:szCs w:val="24"/>
              <w:highlight w:val="none"/>
            </w:rPr>
            <w:fldChar w:fldCharType="separate"/>
          </w:r>
          <w:r>
            <w:rPr>
              <w:color w:val="auto"/>
              <w:sz w:val="24"/>
              <w:szCs w:val="24"/>
              <w:highlight w:val="none"/>
            </w:rPr>
            <w:t>20</w:t>
          </w:r>
          <w:r>
            <w:rPr>
              <w:color w:val="auto"/>
              <w:sz w:val="24"/>
              <w:szCs w:val="24"/>
              <w:highlight w:val="none"/>
            </w:rPr>
            <w:fldChar w:fldCharType="end"/>
          </w:r>
          <w:r>
            <w:rPr>
              <w:color w:val="auto"/>
              <w:sz w:val="24"/>
              <w:szCs w:val="24"/>
              <w:highlight w:val="none"/>
            </w:rPr>
            <w:fldChar w:fldCharType="end"/>
          </w:r>
        </w:p>
        <w:p w14:paraId="40F27442">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_Toc2552 </w:instrText>
          </w:r>
          <w:r>
            <w:rPr>
              <w:color w:val="auto"/>
              <w:sz w:val="24"/>
              <w:szCs w:val="24"/>
              <w:highlight w:val="none"/>
            </w:rPr>
            <w:fldChar w:fldCharType="separate"/>
          </w:r>
          <w:r>
            <w:rPr>
              <w:rFonts w:ascii="仿宋" w:hAnsi="仿宋" w:eastAsia="仿宋" w:cs="仿宋"/>
              <w:bCs/>
              <w:color w:val="auto"/>
              <w:spacing w:val="-7"/>
              <w:sz w:val="24"/>
              <w:szCs w:val="24"/>
              <w:highlight w:val="none"/>
            </w:rPr>
            <w:t>十、职业健康与环境保护</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_Toc2552 \h </w:instrText>
          </w:r>
          <w:r>
            <w:rPr>
              <w:color w:val="auto"/>
              <w:sz w:val="24"/>
              <w:szCs w:val="24"/>
              <w:highlight w:val="none"/>
            </w:rPr>
            <w:fldChar w:fldCharType="separate"/>
          </w:r>
          <w:r>
            <w:rPr>
              <w:color w:val="auto"/>
              <w:sz w:val="24"/>
              <w:szCs w:val="24"/>
              <w:highlight w:val="none"/>
            </w:rPr>
            <w:t>22</w:t>
          </w:r>
          <w:r>
            <w:rPr>
              <w:color w:val="auto"/>
              <w:sz w:val="24"/>
              <w:szCs w:val="24"/>
              <w:highlight w:val="none"/>
            </w:rPr>
            <w:fldChar w:fldCharType="end"/>
          </w:r>
          <w:r>
            <w:rPr>
              <w:color w:val="auto"/>
              <w:sz w:val="24"/>
              <w:szCs w:val="24"/>
              <w:highlight w:val="none"/>
            </w:rPr>
            <w:fldChar w:fldCharType="end"/>
          </w:r>
        </w:p>
        <w:p w14:paraId="24DD423F">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_Toc32227 </w:instrText>
          </w:r>
          <w:r>
            <w:rPr>
              <w:color w:val="auto"/>
              <w:sz w:val="24"/>
              <w:szCs w:val="24"/>
              <w:highlight w:val="none"/>
            </w:rPr>
            <w:fldChar w:fldCharType="separate"/>
          </w:r>
          <w:r>
            <w:rPr>
              <w:rFonts w:ascii="仿宋" w:hAnsi="仿宋" w:eastAsia="仿宋" w:cs="仿宋"/>
              <w:bCs/>
              <w:color w:val="auto"/>
              <w:spacing w:val="-12"/>
              <w:sz w:val="24"/>
              <w:szCs w:val="24"/>
              <w:highlight w:val="none"/>
            </w:rPr>
            <w:t>十一、技术条款</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_Toc32227 \h </w:instrText>
          </w:r>
          <w:r>
            <w:rPr>
              <w:color w:val="auto"/>
              <w:sz w:val="24"/>
              <w:szCs w:val="24"/>
              <w:highlight w:val="none"/>
            </w:rPr>
            <w:fldChar w:fldCharType="separate"/>
          </w:r>
          <w:r>
            <w:rPr>
              <w:color w:val="auto"/>
              <w:sz w:val="24"/>
              <w:szCs w:val="24"/>
              <w:highlight w:val="none"/>
            </w:rPr>
            <w:t>23</w:t>
          </w:r>
          <w:r>
            <w:rPr>
              <w:color w:val="auto"/>
              <w:sz w:val="24"/>
              <w:szCs w:val="24"/>
              <w:highlight w:val="none"/>
            </w:rPr>
            <w:fldChar w:fldCharType="end"/>
          </w:r>
          <w:r>
            <w:rPr>
              <w:color w:val="auto"/>
              <w:sz w:val="24"/>
              <w:szCs w:val="24"/>
              <w:highlight w:val="none"/>
            </w:rPr>
            <w:fldChar w:fldCharType="end"/>
          </w:r>
        </w:p>
        <w:p w14:paraId="7B9C4590">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_Toc25806 </w:instrText>
          </w:r>
          <w:r>
            <w:rPr>
              <w:color w:val="auto"/>
              <w:sz w:val="24"/>
              <w:szCs w:val="24"/>
              <w:highlight w:val="none"/>
            </w:rPr>
            <w:fldChar w:fldCharType="separate"/>
          </w:r>
          <w:r>
            <w:rPr>
              <w:rFonts w:ascii="仿宋" w:hAnsi="仿宋" w:eastAsia="仿宋" w:cs="仿宋"/>
              <w:bCs/>
              <w:color w:val="auto"/>
              <w:spacing w:val="-12"/>
              <w:sz w:val="24"/>
              <w:szCs w:val="24"/>
              <w:highlight w:val="none"/>
            </w:rPr>
            <w:t>十二、乙方人员工资保障措施</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_Toc25806 \h </w:instrText>
          </w:r>
          <w:r>
            <w:rPr>
              <w:color w:val="auto"/>
              <w:sz w:val="24"/>
              <w:szCs w:val="24"/>
              <w:highlight w:val="none"/>
            </w:rPr>
            <w:fldChar w:fldCharType="separate"/>
          </w:r>
          <w:r>
            <w:rPr>
              <w:color w:val="auto"/>
              <w:sz w:val="24"/>
              <w:szCs w:val="24"/>
              <w:highlight w:val="none"/>
            </w:rPr>
            <w:t>24</w:t>
          </w:r>
          <w:r>
            <w:rPr>
              <w:color w:val="auto"/>
              <w:sz w:val="24"/>
              <w:szCs w:val="24"/>
              <w:highlight w:val="none"/>
            </w:rPr>
            <w:fldChar w:fldCharType="end"/>
          </w:r>
          <w:r>
            <w:rPr>
              <w:color w:val="auto"/>
              <w:sz w:val="24"/>
              <w:szCs w:val="24"/>
              <w:highlight w:val="none"/>
            </w:rPr>
            <w:fldChar w:fldCharType="end"/>
          </w:r>
        </w:p>
        <w:p w14:paraId="6B4F4E58">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_Toc18170 </w:instrText>
          </w:r>
          <w:r>
            <w:rPr>
              <w:color w:val="auto"/>
              <w:sz w:val="24"/>
              <w:szCs w:val="24"/>
              <w:highlight w:val="none"/>
            </w:rPr>
            <w:fldChar w:fldCharType="separate"/>
          </w:r>
          <w:r>
            <w:rPr>
              <w:rFonts w:ascii="仿宋" w:hAnsi="仿宋" w:eastAsia="仿宋" w:cs="仿宋"/>
              <w:bCs/>
              <w:color w:val="auto"/>
              <w:spacing w:val="-10"/>
              <w:sz w:val="24"/>
              <w:szCs w:val="24"/>
              <w:highlight w:val="none"/>
            </w:rPr>
            <w:t>十三、资源配置</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_Toc18170 \h </w:instrText>
          </w:r>
          <w:r>
            <w:rPr>
              <w:color w:val="auto"/>
              <w:sz w:val="24"/>
              <w:szCs w:val="24"/>
              <w:highlight w:val="none"/>
            </w:rPr>
            <w:fldChar w:fldCharType="separate"/>
          </w:r>
          <w:r>
            <w:rPr>
              <w:color w:val="auto"/>
              <w:sz w:val="24"/>
              <w:szCs w:val="24"/>
              <w:highlight w:val="none"/>
            </w:rPr>
            <w:t>24</w:t>
          </w:r>
          <w:r>
            <w:rPr>
              <w:color w:val="auto"/>
              <w:sz w:val="24"/>
              <w:szCs w:val="24"/>
              <w:highlight w:val="none"/>
            </w:rPr>
            <w:fldChar w:fldCharType="end"/>
          </w:r>
          <w:r>
            <w:rPr>
              <w:color w:val="auto"/>
              <w:sz w:val="24"/>
              <w:szCs w:val="24"/>
              <w:highlight w:val="none"/>
            </w:rPr>
            <w:fldChar w:fldCharType="end"/>
          </w:r>
        </w:p>
        <w:p w14:paraId="5BD6B156">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_Toc32475 </w:instrText>
          </w:r>
          <w:r>
            <w:rPr>
              <w:color w:val="auto"/>
              <w:sz w:val="24"/>
              <w:szCs w:val="24"/>
              <w:highlight w:val="none"/>
            </w:rPr>
            <w:fldChar w:fldCharType="separate"/>
          </w:r>
          <w:r>
            <w:rPr>
              <w:rFonts w:ascii="仿宋" w:hAnsi="仿宋" w:eastAsia="仿宋" w:cs="仿宋"/>
              <w:bCs/>
              <w:color w:val="auto"/>
              <w:spacing w:val="-11"/>
              <w:sz w:val="24"/>
              <w:szCs w:val="24"/>
              <w:highlight w:val="none"/>
            </w:rPr>
            <w:t>十四、施工协作</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_Toc32475 \h </w:instrText>
          </w:r>
          <w:r>
            <w:rPr>
              <w:color w:val="auto"/>
              <w:sz w:val="24"/>
              <w:szCs w:val="24"/>
              <w:highlight w:val="none"/>
            </w:rPr>
            <w:fldChar w:fldCharType="separate"/>
          </w:r>
          <w:r>
            <w:rPr>
              <w:color w:val="auto"/>
              <w:sz w:val="24"/>
              <w:szCs w:val="24"/>
              <w:highlight w:val="none"/>
            </w:rPr>
            <w:t>25</w:t>
          </w:r>
          <w:r>
            <w:rPr>
              <w:color w:val="auto"/>
              <w:sz w:val="24"/>
              <w:szCs w:val="24"/>
              <w:highlight w:val="none"/>
            </w:rPr>
            <w:fldChar w:fldCharType="end"/>
          </w:r>
          <w:r>
            <w:rPr>
              <w:color w:val="auto"/>
              <w:sz w:val="24"/>
              <w:szCs w:val="24"/>
              <w:highlight w:val="none"/>
            </w:rPr>
            <w:fldChar w:fldCharType="end"/>
          </w:r>
        </w:p>
        <w:p w14:paraId="49FCD253">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_Toc4734 </w:instrText>
          </w:r>
          <w:r>
            <w:rPr>
              <w:color w:val="auto"/>
              <w:sz w:val="24"/>
              <w:szCs w:val="24"/>
              <w:highlight w:val="none"/>
            </w:rPr>
            <w:fldChar w:fldCharType="separate"/>
          </w:r>
          <w:r>
            <w:rPr>
              <w:rFonts w:ascii="仿宋" w:hAnsi="仿宋" w:eastAsia="仿宋" w:cs="仿宋"/>
              <w:bCs/>
              <w:color w:val="auto"/>
              <w:spacing w:val="-11"/>
              <w:sz w:val="24"/>
              <w:szCs w:val="24"/>
              <w:highlight w:val="none"/>
            </w:rPr>
            <w:t>十五、计量、结算与支付</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_Toc4734 \h </w:instrText>
          </w:r>
          <w:r>
            <w:rPr>
              <w:color w:val="auto"/>
              <w:sz w:val="24"/>
              <w:szCs w:val="24"/>
              <w:highlight w:val="none"/>
            </w:rPr>
            <w:fldChar w:fldCharType="separate"/>
          </w:r>
          <w:r>
            <w:rPr>
              <w:color w:val="auto"/>
              <w:sz w:val="24"/>
              <w:szCs w:val="24"/>
              <w:highlight w:val="none"/>
            </w:rPr>
            <w:t>25</w:t>
          </w:r>
          <w:r>
            <w:rPr>
              <w:color w:val="auto"/>
              <w:sz w:val="24"/>
              <w:szCs w:val="24"/>
              <w:highlight w:val="none"/>
            </w:rPr>
            <w:fldChar w:fldCharType="end"/>
          </w:r>
          <w:r>
            <w:rPr>
              <w:color w:val="auto"/>
              <w:sz w:val="24"/>
              <w:szCs w:val="24"/>
              <w:highlight w:val="none"/>
            </w:rPr>
            <w:fldChar w:fldCharType="end"/>
          </w:r>
        </w:p>
        <w:p w14:paraId="053DA170">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_Toc25199 </w:instrText>
          </w:r>
          <w:r>
            <w:rPr>
              <w:color w:val="auto"/>
              <w:sz w:val="24"/>
              <w:szCs w:val="24"/>
              <w:highlight w:val="none"/>
            </w:rPr>
            <w:fldChar w:fldCharType="separate"/>
          </w:r>
          <w:r>
            <w:rPr>
              <w:rFonts w:ascii="仿宋" w:hAnsi="仿宋" w:eastAsia="仿宋" w:cs="仿宋"/>
              <w:bCs/>
              <w:color w:val="auto"/>
              <w:spacing w:val="-30"/>
              <w:sz w:val="24"/>
              <w:szCs w:val="24"/>
              <w:highlight w:val="none"/>
            </w:rPr>
            <w:t>十六、变</w:t>
          </w:r>
          <w:r>
            <w:rPr>
              <w:rFonts w:ascii="仿宋" w:hAnsi="仿宋" w:eastAsia="仿宋" w:cs="仿宋"/>
              <w:color w:val="auto"/>
              <w:spacing w:val="-18"/>
              <w:sz w:val="24"/>
              <w:szCs w:val="24"/>
              <w:highlight w:val="none"/>
            </w:rPr>
            <w:t xml:space="preserve"> </w:t>
          </w:r>
          <w:r>
            <w:rPr>
              <w:rFonts w:ascii="仿宋" w:hAnsi="仿宋" w:eastAsia="仿宋" w:cs="仿宋"/>
              <w:bCs/>
              <w:color w:val="auto"/>
              <w:spacing w:val="-30"/>
              <w:sz w:val="24"/>
              <w:szCs w:val="24"/>
              <w:highlight w:val="none"/>
            </w:rPr>
            <w:t>更</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_Toc25199 \h </w:instrText>
          </w:r>
          <w:r>
            <w:rPr>
              <w:color w:val="auto"/>
              <w:sz w:val="24"/>
              <w:szCs w:val="24"/>
              <w:highlight w:val="none"/>
            </w:rPr>
            <w:fldChar w:fldCharType="separate"/>
          </w:r>
          <w:r>
            <w:rPr>
              <w:color w:val="auto"/>
              <w:sz w:val="24"/>
              <w:szCs w:val="24"/>
              <w:highlight w:val="none"/>
            </w:rPr>
            <w:t>26</w:t>
          </w:r>
          <w:r>
            <w:rPr>
              <w:color w:val="auto"/>
              <w:sz w:val="24"/>
              <w:szCs w:val="24"/>
              <w:highlight w:val="none"/>
            </w:rPr>
            <w:fldChar w:fldCharType="end"/>
          </w:r>
          <w:r>
            <w:rPr>
              <w:color w:val="auto"/>
              <w:sz w:val="24"/>
              <w:szCs w:val="24"/>
              <w:highlight w:val="none"/>
            </w:rPr>
            <w:fldChar w:fldCharType="end"/>
          </w:r>
        </w:p>
        <w:p w14:paraId="1568CA37">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_Toc23552 </w:instrText>
          </w:r>
          <w:r>
            <w:rPr>
              <w:color w:val="auto"/>
              <w:sz w:val="24"/>
              <w:szCs w:val="24"/>
              <w:highlight w:val="none"/>
            </w:rPr>
            <w:fldChar w:fldCharType="separate"/>
          </w:r>
          <w:r>
            <w:rPr>
              <w:rFonts w:ascii="仿宋" w:hAnsi="仿宋" w:eastAsia="仿宋" w:cs="仿宋"/>
              <w:bCs/>
              <w:color w:val="auto"/>
              <w:spacing w:val="-11"/>
              <w:sz w:val="24"/>
              <w:szCs w:val="24"/>
              <w:highlight w:val="none"/>
            </w:rPr>
            <w:t>十七、竣工验收与完工结算</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_Toc23552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color w:val="auto"/>
              <w:sz w:val="24"/>
              <w:szCs w:val="24"/>
              <w:highlight w:val="none"/>
            </w:rPr>
            <w:fldChar w:fldCharType="end"/>
          </w:r>
        </w:p>
        <w:p w14:paraId="2F17C2DD">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_Toc21844 </w:instrText>
          </w:r>
          <w:r>
            <w:rPr>
              <w:color w:val="auto"/>
              <w:sz w:val="24"/>
              <w:szCs w:val="24"/>
              <w:highlight w:val="none"/>
            </w:rPr>
            <w:fldChar w:fldCharType="separate"/>
          </w:r>
          <w:r>
            <w:rPr>
              <w:rFonts w:ascii="仿宋" w:hAnsi="仿宋" w:eastAsia="仿宋" w:cs="仿宋"/>
              <w:bCs/>
              <w:color w:val="auto"/>
              <w:spacing w:val="-8"/>
              <w:sz w:val="24"/>
              <w:szCs w:val="24"/>
              <w:highlight w:val="none"/>
            </w:rPr>
            <w:t>十八、</w:t>
          </w:r>
          <w:r>
            <w:rPr>
              <w:rFonts w:hint="eastAsia" w:ascii="仿宋" w:hAnsi="仿宋" w:eastAsia="仿宋" w:cs="仿宋"/>
              <w:bCs/>
              <w:color w:val="auto"/>
              <w:spacing w:val="-8"/>
              <w:sz w:val="24"/>
              <w:szCs w:val="24"/>
              <w:highlight w:val="none"/>
              <w:lang w:val="en-US" w:eastAsia="zh-CN"/>
            </w:rPr>
            <w:t>质保</w:t>
          </w:r>
          <w:r>
            <w:rPr>
              <w:rFonts w:ascii="仿宋" w:hAnsi="仿宋" w:eastAsia="仿宋" w:cs="仿宋"/>
              <w:bCs/>
              <w:color w:val="auto"/>
              <w:spacing w:val="-8"/>
              <w:sz w:val="24"/>
              <w:szCs w:val="24"/>
              <w:highlight w:val="none"/>
            </w:rPr>
            <w:t>期</w:t>
          </w:r>
          <w:r>
            <w:rPr>
              <w:rFonts w:hint="eastAsia" w:ascii="仿宋" w:hAnsi="仿宋" w:eastAsia="仿宋" w:cs="仿宋"/>
              <w:bCs/>
              <w:color w:val="auto"/>
              <w:spacing w:val="-8"/>
              <w:sz w:val="24"/>
              <w:szCs w:val="24"/>
              <w:highlight w:val="none"/>
              <w:lang w:val="en-US" w:eastAsia="zh-CN"/>
            </w:rPr>
            <w:t>及缺陷责任期</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_Toc21844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color w:val="auto"/>
              <w:sz w:val="24"/>
              <w:szCs w:val="24"/>
              <w:highlight w:val="none"/>
            </w:rPr>
            <w:fldChar w:fldCharType="end"/>
          </w:r>
        </w:p>
        <w:p w14:paraId="149BC96D">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_Toc4274 </w:instrText>
          </w:r>
          <w:r>
            <w:rPr>
              <w:color w:val="auto"/>
              <w:sz w:val="24"/>
              <w:szCs w:val="24"/>
              <w:highlight w:val="none"/>
            </w:rPr>
            <w:fldChar w:fldCharType="separate"/>
          </w:r>
          <w:r>
            <w:rPr>
              <w:rFonts w:ascii="仿宋" w:hAnsi="仿宋" w:eastAsia="仿宋" w:cs="仿宋"/>
              <w:bCs/>
              <w:color w:val="auto"/>
              <w:spacing w:val="-9"/>
              <w:sz w:val="24"/>
              <w:szCs w:val="24"/>
              <w:highlight w:val="none"/>
            </w:rPr>
            <w:t>十九、保险及损失</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_Toc4274 \h </w:instrText>
          </w:r>
          <w:r>
            <w:rPr>
              <w:color w:val="auto"/>
              <w:sz w:val="24"/>
              <w:szCs w:val="24"/>
              <w:highlight w:val="none"/>
            </w:rPr>
            <w:fldChar w:fldCharType="separate"/>
          </w:r>
          <w:r>
            <w:rPr>
              <w:color w:val="auto"/>
              <w:sz w:val="24"/>
              <w:szCs w:val="24"/>
              <w:highlight w:val="none"/>
            </w:rPr>
            <w:t>27</w:t>
          </w:r>
          <w:r>
            <w:rPr>
              <w:color w:val="auto"/>
              <w:sz w:val="24"/>
              <w:szCs w:val="24"/>
              <w:highlight w:val="none"/>
            </w:rPr>
            <w:fldChar w:fldCharType="end"/>
          </w:r>
          <w:r>
            <w:rPr>
              <w:color w:val="auto"/>
              <w:sz w:val="24"/>
              <w:szCs w:val="24"/>
              <w:highlight w:val="none"/>
            </w:rPr>
            <w:fldChar w:fldCharType="end"/>
          </w:r>
        </w:p>
        <w:p w14:paraId="68D00597">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_Toc7229 </w:instrText>
          </w:r>
          <w:r>
            <w:rPr>
              <w:color w:val="auto"/>
              <w:sz w:val="24"/>
              <w:szCs w:val="24"/>
              <w:highlight w:val="none"/>
            </w:rPr>
            <w:fldChar w:fldCharType="separate"/>
          </w:r>
          <w:r>
            <w:rPr>
              <w:rFonts w:ascii="仿宋" w:hAnsi="仿宋" w:eastAsia="仿宋" w:cs="仿宋"/>
              <w:bCs/>
              <w:color w:val="auto"/>
              <w:spacing w:val="-11"/>
              <w:sz w:val="24"/>
              <w:szCs w:val="24"/>
              <w:highlight w:val="none"/>
            </w:rPr>
            <w:t>二十、违约责任</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_Toc7229 \h </w:instrText>
          </w:r>
          <w:r>
            <w:rPr>
              <w:color w:val="auto"/>
              <w:sz w:val="24"/>
              <w:szCs w:val="24"/>
              <w:highlight w:val="none"/>
            </w:rPr>
            <w:fldChar w:fldCharType="separate"/>
          </w:r>
          <w:r>
            <w:rPr>
              <w:color w:val="auto"/>
              <w:sz w:val="24"/>
              <w:szCs w:val="24"/>
              <w:highlight w:val="none"/>
            </w:rPr>
            <w:t>28</w:t>
          </w:r>
          <w:r>
            <w:rPr>
              <w:color w:val="auto"/>
              <w:sz w:val="24"/>
              <w:szCs w:val="24"/>
              <w:highlight w:val="none"/>
            </w:rPr>
            <w:fldChar w:fldCharType="end"/>
          </w:r>
          <w:r>
            <w:rPr>
              <w:color w:val="auto"/>
              <w:sz w:val="24"/>
              <w:szCs w:val="24"/>
              <w:highlight w:val="none"/>
            </w:rPr>
            <w:fldChar w:fldCharType="end"/>
          </w:r>
        </w:p>
        <w:p w14:paraId="25D3C411">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_Toc26014 </w:instrText>
          </w:r>
          <w:r>
            <w:rPr>
              <w:color w:val="auto"/>
              <w:sz w:val="24"/>
              <w:szCs w:val="24"/>
              <w:highlight w:val="none"/>
            </w:rPr>
            <w:fldChar w:fldCharType="separate"/>
          </w:r>
          <w:r>
            <w:rPr>
              <w:rFonts w:ascii="仿宋" w:hAnsi="仿宋" w:eastAsia="仿宋" w:cs="仿宋"/>
              <w:bCs/>
              <w:color w:val="auto"/>
              <w:spacing w:val="-11"/>
              <w:sz w:val="24"/>
              <w:szCs w:val="24"/>
              <w:highlight w:val="none"/>
            </w:rPr>
            <w:t>二十一、争议解决</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_Toc26014 \h </w:instrText>
          </w:r>
          <w:r>
            <w:rPr>
              <w:color w:val="auto"/>
              <w:sz w:val="24"/>
              <w:szCs w:val="24"/>
              <w:highlight w:val="none"/>
            </w:rPr>
            <w:fldChar w:fldCharType="separate"/>
          </w:r>
          <w:r>
            <w:rPr>
              <w:color w:val="auto"/>
              <w:sz w:val="24"/>
              <w:szCs w:val="24"/>
              <w:highlight w:val="none"/>
            </w:rPr>
            <w:t>29</w:t>
          </w:r>
          <w:r>
            <w:rPr>
              <w:color w:val="auto"/>
              <w:sz w:val="24"/>
              <w:szCs w:val="24"/>
              <w:highlight w:val="none"/>
            </w:rPr>
            <w:fldChar w:fldCharType="end"/>
          </w:r>
          <w:r>
            <w:rPr>
              <w:color w:val="auto"/>
              <w:sz w:val="24"/>
              <w:szCs w:val="24"/>
              <w:highlight w:val="none"/>
            </w:rPr>
            <w:fldChar w:fldCharType="end"/>
          </w:r>
        </w:p>
        <w:p w14:paraId="3D29F375">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_Toc5795 </w:instrText>
          </w:r>
          <w:r>
            <w:rPr>
              <w:color w:val="auto"/>
              <w:sz w:val="24"/>
              <w:szCs w:val="24"/>
              <w:highlight w:val="none"/>
            </w:rPr>
            <w:fldChar w:fldCharType="separate"/>
          </w:r>
          <w:r>
            <w:rPr>
              <w:rFonts w:ascii="仿宋" w:hAnsi="仿宋" w:eastAsia="仿宋" w:cs="仿宋"/>
              <w:bCs/>
              <w:color w:val="auto"/>
              <w:spacing w:val="-8"/>
              <w:sz w:val="24"/>
              <w:szCs w:val="24"/>
              <w:highlight w:val="none"/>
            </w:rPr>
            <w:t>二十二、特别约定</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_Toc5795 \h </w:instrText>
          </w:r>
          <w:r>
            <w:rPr>
              <w:color w:val="auto"/>
              <w:sz w:val="24"/>
              <w:szCs w:val="24"/>
              <w:highlight w:val="none"/>
            </w:rPr>
            <w:fldChar w:fldCharType="separate"/>
          </w:r>
          <w:r>
            <w:rPr>
              <w:color w:val="auto"/>
              <w:sz w:val="24"/>
              <w:szCs w:val="24"/>
              <w:highlight w:val="none"/>
            </w:rPr>
            <w:t>30</w:t>
          </w:r>
          <w:r>
            <w:rPr>
              <w:color w:val="auto"/>
              <w:sz w:val="24"/>
              <w:szCs w:val="24"/>
              <w:highlight w:val="none"/>
            </w:rPr>
            <w:fldChar w:fldCharType="end"/>
          </w:r>
          <w:r>
            <w:rPr>
              <w:color w:val="auto"/>
              <w:sz w:val="24"/>
              <w:szCs w:val="24"/>
              <w:highlight w:val="none"/>
            </w:rPr>
            <w:fldChar w:fldCharType="end"/>
          </w:r>
        </w:p>
        <w:p w14:paraId="33E84F51">
          <w:pPr>
            <w:pStyle w:val="17"/>
            <w:tabs>
              <w:tab w:val="right" w:leader="dot" w:pos="8391"/>
            </w:tabs>
            <w:spacing w:line="360" w:lineRule="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_Toc10378 </w:instrText>
          </w:r>
          <w:r>
            <w:rPr>
              <w:color w:val="auto"/>
              <w:sz w:val="24"/>
              <w:szCs w:val="24"/>
              <w:highlight w:val="none"/>
            </w:rPr>
            <w:fldChar w:fldCharType="separate"/>
          </w:r>
          <w:r>
            <w:rPr>
              <w:rFonts w:ascii="仿宋" w:hAnsi="仿宋" w:eastAsia="仿宋" w:cs="仿宋"/>
              <w:bCs/>
              <w:color w:val="auto"/>
              <w:spacing w:val="-12"/>
              <w:sz w:val="24"/>
              <w:szCs w:val="24"/>
              <w:highlight w:val="none"/>
            </w:rPr>
            <w:t>二十三、附则</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_Toc10378 \h </w:instrText>
          </w:r>
          <w:r>
            <w:rPr>
              <w:color w:val="auto"/>
              <w:sz w:val="24"/>
              <w:szCs w:val="24"/>
              <w:highlight w:val="none"/>
            </w:rPr>
            <w:fldChar w:fldCharType="separate"/>
          </w:r>
          <w:r>
            <w:rPr>
              <w:color w:val="auto"/>
              <w:sz w:val="24"/>
              <w:szCs w:val="24"/>
              <w:highlight w:val="none"/>
            </w:rPr>
            <w:t>30</w:t>
          </w:r>
          <w:r>
            <w:rPr>
              <w:color w:val="auto"/>
              <w:sz w:val="24"/>
              <w:szCs w:val="24"/>
              <w:highlight w:val="none"/>
            </w:rPr>
            <w:fldChar w:fldCharType="end"/>
          </w:r>
          <w:r>
            <w:rPr>
              <w:color w:val="auto"/>
              <w:sz w:val="24"/>
              <w:szCs w:val="24"/>
              <w:highlight w:val="none"/>
            </w:rPr>
            <w:fldChar w:fldCharType="end"/>
          </w:r>
        </w:p>
        <w:p w14:paraId="75176EA8">
          <w:pPr>
            <w:pStyle w:val="17"/>
            <w:tabs>
              <w:tab w:val="right" w:leader="dot" w:pos="8391"/>
            </w:tabs>
            <w:spacing w:line="360" w:lineRule="auto"/>
            <w:rPr>
              <w:color w:val="auto"/>
              <w:highlight w:val="none"/>
            </w:rPr>
          </w:pPr>
          <w:r>
            <w:rPr>
              <w:color w:val="auto"/>
              <w:sz w:val="24"/>
              <w:szCs w:val="24"/>
              <w:highlight w:val="none"/>
            </w:rPr>
            <w:fldChar w:fldCharType="begin"/>
          </w:r>
          <w:r>
            <w:rPr>
              <w:color w:val="auto"/>
              <w:sz w:val="24"/>
              <w:szCs w:val="24"/>
              <w:highlight w:val="none"/>
            </w:rPr>
            <w:instrText xml:space="preserve"> HYPERLINK \l _Toc24223 </w:instrText>
          </w:r>
          <w:r>
            <w:rPr>
              <w:color w:val="auto"/>
              <w:sz w:val="24"/>
              <w:szCs w:val="24"/>
              <w:highlight w:val="none"/>
            </w:rPr>
            <w:fldChar w:fldCharType="separate"/>
          </w:r>
          <w:r>
            <w:rPr>
              <w:rFonts w:ascii="仿宋" w:hAnsi="仿宋" w:eastAsia="仿宋" w:cs="仿宋"/>
              <w:bCs/>
              <w:color w:val="auto"/>
              <w:spacing w:val="-13"/>
              <w:sz w:val="24"/>
              <w:szCs w:val="24"/>
              <w:highlight w:val="none"/>
            </w:rPr>
            <w:t>合同附件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_Toc24223 \h </w:instrText>
          </w:r>
          <w:r>
            <w:rPr>
              <w:color w:val="auto"/>
              <w:sz w:val="24"/>
              <w:szCs w:val="24"/>
              <w:highlight w:val="none"/>
            </w:rPr>
            <w:fldChar w:fldCharType="separate"/>
          </w:r>
          <w:r>
            <w:rPr>
              <w:color w:val="auto"/>
              <w:sz w:val="24"/>
              <w:szCs w:val="24"/>
              <w:highlight w:val="none"/>
            </w:rPr>
            <w:t>31</w:t>
          </w:r>
          <w:r>
            <w:rPr>
              <w:color w:val="auto"/>
              <w:sz w:val="24"/>
              <w:szCs w:val="24"/>
              <w:highlight w:val="none"/>
            </w:rPr>
            <w:fldChar w:fldCharType="end"/>
          </w:r>
          <w:r>
            <w:rPr>
              <w:color w:val="auto"/>
              <w:sz w:val="24"/>
              <w:szCs w:val="24"/>
              <w:highlight w:val="none"/>
            </w:rPr>
            <w:fldChar w:fldCharType="end"/>
          </w:r>
        </w:p>
        <w:p w14:paraId="2CA3334B">
          <w:pPr>
            <w:pStyle w:val="3"/>
            <w:numPr>
              <w:ilvl w:val="3"/>
              <w:numId w:val="0"/>
            </w:numPr>
            <w:ind w:leftChars="0"/>
            <w:rPr>
              <w:color w:val="auto"/>
              <w:highlight w:val="none"/>
            </w:rPr>
            <w:sectPr>
              <w:footerReference r:id="rId5" w:type="default"/>
              <w:pgSz w:w="11900" w:h="16830"/>
              <w:pgMar w:top="1430" w:right="1724" w:bottom="1350" w:left="1785" w:header="0" w:footer="397" w:gutter="0"/>
              <w:pgNumType w:fmt="decimal" w:start="1"/>
              <w:cols w:space="720" w:num="1"/>
            </w:sectPr>
          </w:pPr>
          <w:r>
            <w:rPr>
              <w:color w:val="auto"/>
              <w:highlight w:val="none"/>
            </w:rPr>
            <w:fldChar w:fldCharType="end"/>
          </w:r>
        </w:p>
      </w:sdtContent>
    </w:sdt>
    <w:p w14:paraId="71AB103B">
      <w:pPr>
        <w:spacing w:before="136" w:line="219" w:lineRule="auto"/>
        <w:jc w:val="center"/>
        <w:rPr>
          <w:rFonts w:ascii="宋体" w:hAnsi="宋体" w:eastAsia="宋体" w:cs="宋体"/>
          <w:color w:val="auto"/>
          <w:sz w:val="25"/>
          <w:szCs w:val="25"/>
          <w:highlight w:val="none"/>
        </w:rPr>
      </w:pPr>
      <w:bookmarkStart w:id="1" w:name="bookmark25"/>
      <w:bookmarkEnd w:id="1"/>
      <w:r>
        <w:rPr>
          <w:rFonts w:hint="eastAsia" w:ascii="仿宋" w:hAnsi="仿宋" w:eastAsia="仿宋" w:cs="仿宋"/>
          <w:b/>
          <w:bCs/>
          <w:color w:val="auto"/>
          <w:spacing w:val="-8"/>
          <w:sz w:val="33"/>
          <w:szCs w:val="33"/>
          <w:highlight w:val="none"/>
          <w:u w:val="single" w:color="auto"/>
          <w:lang w:val="en-US" w:eastAsia="zh-CN"/>
        </w:rPr>
        <w:t>会理市绿色农汽联创园建设项目主体工程劳务分包合同</w:t>
      </w:r>
    </w:p>
    <w:p w14:paraId="44FFA833">
      <w:pPr>
        <w:pStyle w:val="5"/>
        <w:spacing w:line="279" w:lineRule="auto"/>
        <w:rPr>
          <w:color w:val="auto"/>
          <w:highlight w:val="none"/>
        </w:rPr>
      </w:pPr>
    </w:p>
    <w:p w14:paraId="079FA9D4">
      <w:pPr>
        <w:spacing w:before="81" w:line="212" w:lineRule="auto"/>
        <w:ind w:left="2428"/>
        <w:outlineLvl w:val="0"/>
        <w:rPr>
          <w:rFonts w:ascii="Times New Roman" w:hAnsi="Times New Roman" w:eastAsia="Times New Roman" w:cs="Times New Roman"/>
          <w:color w:val="auto"/>
          <w:sz w:val="25"/>
          <w:szCs w:val="25"/>
          <w:highlight w:val="none"/>
        </w:rPr>
      </w:pPr>
      <w:bookmarkStart w:id="2" w:name="_Toc2855"/>
      <w:r>
        <w:rPr>
          <w:rFonts w:ascii="仿宋" w:hAnsi="仿宋" w:eastAsia="仿宋" w:cs="仿宋"/>
          <w:b/>
          <w:bCs/>
          <w:color w:val="auto"/>
          <w:spacing w:val="-20"/>
          <w:w w:val="98"/>
          <w:sz w:val="25"/>
          <w:szCs w:val="25"/>
          <w:highlight w:val="none"/>
        </w:rPr>
        <w:t>(合同编号：</w:t>
      </w:r>
      <w:r>
        <w:rPr>
          <w:rFonts w:hint="eastAsia" w:ascii="仿宋" w:hAnsi="仿宋" w:eastAsia="仿宋" w:cs="仿宋"/>
          <w:b/>
          <w:bCs/>
          <w:color w:val="auto"/>
          <w:spacing w:val="-20"/>
          <w:w w:val="98"/>
          <w:sz w:val="25"/>
          <w:szCs w:val="25"/>
          <w:highlight w:val="none"/>
          <w:u w:val="single"/>
          <w:lang w:eastAsia="zh-CN"/>
        </w:rPr>
        <w:t>WNT-HLQCC-2026-001</w:t>
      </w:r>
      <w:r>
        <w:rPr>
          <w:rFonts w:hint="eastAsia" w:ascii="Times New Roman" w:hAnsi="Times New Roman" w:eastAsia="宋体" w:cs="Times New Roman"/>
          <w:b/>
          <w:bCs/>
          <w:color w:val="auto"/>
          <w:spacing w:val="-20"/>
          <w:w w:val="98"/>
          <w:sz w:val="25"/>
          <w:szCs w:val="25"/>
          <w:highlight w:val="none"/>
          <w:lang w:val="en-US" w:eastAsia="zh-CN"/>
        </w:rPr>
        <w:t xml:space="preserve"> </w:t>
      </w:r>
      <w:r>
        <w:rPr>
          <w:rFonts w:ascii="Times New Roman" w:hAnsi="Times New Roman" w:eastAsia="Times New Roman" w:cs="Times New Roman"/>
          <w:b/>
          <w:bCs/>
          <w:color w:val="auto"/>
          <w:spacing w:val="-20"/>
          <w:w w:val="98"/>
          <w:sz w:val="25"/>
          <w:szCs w:val="25"/>
          <w:highlight w:val="none"/>
        </w:rPr>
        <w:t>)</w:t>
      </w:r>
      <w:bookmarkEnd w:id="2"/>
    </w:p>
    <w:p w14:paraId="3CB318FB">
      <w:pPr>
        <w:pStyle w:val="5"/>
        <w:spacing w:line="293" w:lineRule="auto"/>
        <w:rPr>
          <w:color w:val="auto"/>
          <w:highlight w:val="none"/>
        </w:rPr>
      </w:pPr>
    </w:p>
    <w:p w14:paraId="68C6D248">
      <w:pPr>
        <w:pStyle w:val="5"/>
        <w:spacing w:line="294" w:lineRule="auto"/>
        <w:rPr>
          <w:color w:val="auto"/>
          <w:highlight w:val="none"/>
        </w:rPr>
      </w:pPr>
    </w:p>
    <w:p w14:paraId="70C54B23">
      <w:pPr>
        <w:spacing w:before="81" w:line="222" w:lineRule="auto"/>
        <w:ind w:left="78"/>
        <w:rPr>
          <w:rFonts w:hint="eastAsia" w:ascii="仿宋" w:hAnsi="仿宋" w:eastAsia="仿宋" w:cs="仿宋"/>
          <w:b/>
          <w:bCs/>
          <w:color w:val="auto"/>
          <w:spacing w:val="-12"/>
          <w:sz w:val="25"/>
          <w:szCs w:val="25"/>
          <w:highlight w:val="none"/>
          <w:u w:val="single"/>
          <w:lang w:val="en-US" w:eastAsia="zh-CN"/>
        </w:rPr>
      </w:pPr>
      <w:r>
        <w:rPr>
          <w:rFonts w:ascii="仿宋" w:hAnsi="仿宋" w:eastAsia="仿宋" w:cs="仿宋"/>
          <w:b/>
          <w:bCs/>
          <w:color w:val="auto"/>
          <w:spacing w:val="-12"/>
          <w:sz w:val="25"/>
          <w:szCs w:val="25"/>
          <w:highlight w:val="none"/>
        </w:rPr>
        <w:t>甲方：</w:t>
      </w:r>
      <w:r>
        <w:rPr>
          <w:rFonts w:hint="eastAsia" w:ascii="仿宋" w:hAnsi="仿宋" w:eastAsia="仿宋" w:cs="仿宋"/>
          <w:b/>
          <w:bCs/>
          <w:color w:val="auto"/>
          <w:spacing w:val="-12"/>
          <w:sz w:val="25"/>
          <w:szCs w:val="25"/>
          <w:highlight w:val="none"/>
          <w:u w:val="single"/>
          <w:lang w:val="en-US" w:eastAsia="zh-CN"/>
        </w:rPr>
        <w:t>四川万尼腾建设工程有限公司</w:t>
      </w:r>
    </w:p>
    <w:p w14:paraId="593D80D3">
      <w:pPr>
        <w:pStyle w:val="5"/>
        <w:spacing w:before="191" w:line="329" w:lineRule="auto"/>
        <w:ind w:left="307" w:leftChars="35" w:right="1971" w:hanging="234" w:hangingChars="100"/>
        <w:jc w:val="both"/>
        <w:rPr>
          <w:rFonts w:hint="eastAsia" w:ascii="Times New Roman" w:hAnsi="Times New Roman" w:eastAsia="宋体" w:cs="Times New Roman"/>
          <w:b/>
          <w:bCs/>
          <w:color w:val="auto"/>
          <w:spacing w:val="-8"/>
          <w:sz w:val="25"/>
          <w:szCs w:val="25"/>
          <w:highlight w:val="none"/>
          <w:u w:val="single" w:color="auto"/>
          <w:lang w:val="en-US" w:eastAsia="zh-CN"/>
        </w:rPr>
      </w:pPr>
      <w:r>
        <w:rPr>
          <w:rFonts w:ascii="仿宋" w:hAnsi="仿宋" w:eastAsia="仿宋" w:cs="仿宋"/>
          <w:color w:val="auto"/>
          <w:spacing w:val="-8"/>
          <w:sz w:val="25"/>
          <w:szCs w:val="25"/>
          <w:highlight w:val="none"/>
        </w:rPr>
        <w:t>纳税人识别号(统一社会信用代码)</w:t>
      </w:r>
      <w:r>
        <w:rPr>
          <w:rFonts w:ascii="仿宋" w:hAnsi="仿宋" w:eastAsia="仿宋" w:cs="仿宋"/>
          <w:color w:val="auto"/>
          <w:spacing w:val="-8"/>
          <w:sz w:val="25"/>
          <w:szCs w:val="25"/>
          <w:highlight w:val="none"/>
          <w:u w:val="single" w:color="auto"/>
        </w:rPr>
        <w:t>:</w:t>
      </w:r>
      <w:r>
        <w:rPr>
          <w:rFonts w:hint="eastAsia" w:ascii="仿宋" w:hAnsi="仿宋" w:eastAsia="仿宋" w:cs="仿宋"/>
          <w:b/>
          <w:bCs/>
          <w:color w:val="auto"/>
          <w:spacing w:val="-8"/>
          <w:sz w:val="25"/>
          <w:szCs w:val="25"/>
          <w:highlight w:val="none"/>
          <w:u w:val="single" w:color="auto"/>
        </w:rPr>
        <w:t>91510104MA7LM1HN84</w:t>
      </w:r>
      <w:r>
        <w:rPr>
          <w:rFonts w:hint="eastAsia" w:ascii="仿宋" w:hAnsi="仿宋" w:eastAsia="仿宋" w:cs="仿宋"/>
          <w:b/>
          <w:bCs/>
          <w:snapToGrid w:val="0"/>
          <w:color w:val="auto"/>
          <w:spacing w:val="-12"/>
          <w:kern w:val="0"/>
          <w:sz w:val="25"/>
          <w:szCs w:val="25"/>
          <w:highlight w:val="none"/>
          <w:u w:val="none"/>
          <w:lang w:val="en-US" w:eastAsia="zh-CN" w:bidi="ar-SA"/>
        </w:rPr>
        <w:t xml:space="preserve">         </w:t>
      </w:r>
      <w:r>
        <w:rPr>
          <w:rFonts w:hint="eastAsia" w:ascii="仿宋" w:hAnsi="仿宋" w:eastAsia="仿宋" w:cs="仿宋"/>
          <w:b/>
          <w:bCs/>
          <w:snapToGrid w:val="0"/>
          <w:color w:val="auto"/>
          <w:spacing w:val="-12"/>
          <w:kern w:val="0"/>
          <w:sz w:val="25"/>
          <w:szCs w:val="25"/>
          <w:highlight w:val="none"/>
          <w:u w:val="single"/>
          <w:lang w:val="en-US" w:eastAsia="zh-CN" w:bidi="ar-SA"/>
        </w:rPr>
        <w:t xml:space="preserve">   </w:t>
      </w:r>
    </w:p>
    <w:p w14:paraId="176634D6">
      <w:pPr>
        <w:pStyle w:val="5"/>
        <w:spacing w:before="191" w:line="329" w:lineRule="auto"/>
        <w:ind w:left="301" w:leftChars="35" w:right="1971" w:hanging="228" w:hangingChars="100"/>
        <w:jc w:val="both"/>
        <w:rPr>
          <w:rFonts w:hint="eastAsia" w:ascii="仿宋" w:hAnsi="仿宋" w:eastAsia="仿宋" w:cs="仿宋"/>
          <w:b/>
          <w:bCs/>
          <w:color w:val="auto"/>
          <w:spacing w:val="-11"/>
          <w:sz w:val="25"/>
          <w:szCs w:val="25"/>
          <w:highlight w:val="none"/>
          <w:u w:val="single" w:color="auto"/>
          <w:lang w:val="en-US" w:eastAsia="zh-CN"/>
        </w:rPr>
      </w:pPr>
      <w:r>
        <w:rPr>
          <w:rFonts w:ascii="仿宋" w:hAnsi="仿宋" w:eastAsia="仿宋" w:cs="仿宋"/>
          <w:color w:val="auto"/>
          <w:spacing w:val="-11"/>
          <w:sz w:val="25"/>
          <w:szCs w:val="25"/>
          <w:highlight w:val="none"/>
        </w:rPr>
        <w:t>开户银行名称：</w:t>
      </w:r>
      <w:r>
        <w:rPr>
          <w:rFonts w:hint="eastAsia" w:ascii="仿宋" w:hAnsi="仿宋" w:eastAsia="仿宋" w:cs="仿宋"/>
          <w:b/>
          <w:bCs/>
          <w:color w:val="auto"/>
          <w:spacing w:val="-11"/>
          <w:sz w:val="25"/>
          <w:szCs w:val="25"/>
          <w:highlight w:val="none"/>
          <w:u w:val="single"/>
        </w:rPr>
        <w:t>中国工商银行股份有限公司凉山航天城支行</w:t>
      </w:r>
    </w:p>
    <w:p w14:paraId="300022F7">
      <w:pPr>
        <w:pStyle w:val="5"/>
        <w:spacing w:before="191" w:line="329" w:lineRule="auto"/>
        <w:ind w:left="315" w:leftChars="35" w:right="1971" w:hanging="242" w:hangingChars="100"/>
        <w:jc w:val="both"/>
        <w:rPr>
          <w:rFonts w:hint="default" w:eastAsia="宋体"/>
          <w:color w:val="auto"/>
          <w:sz w:val="25"/>
          <w:szCs w:val="25"/>
          <w:highlight w:val="none"/>
          <w:lang w:val="en-US" w:eastAsia="zh-CN"/>
        </w:rPr>
      </w:pPr>
      <w:r>
        <w:rPr>
          <w:rFonts w:ascii="仿宋" w:hAnsi="仿宋" w:eastAsia="仿宋" w:cs="仿宋"/>
          <w:color w:val="auto"/>
          <w:spacing w:val="-4"/>
          <w:sz w:val="25"/>
          <w:szCs w:val="25"/>
          <w:highlight w:val="none"/>
        </w:rPr>
        <w:t>开户银行账号：</w:t>
      </w:r>
      <w:r>
        <w:rPr>
          <w:rFonts w:hint="eastAsia" w:ascii="仿宋" w:hAnsi="仿宋" w:eastAsia="仿宋" w:cs="仿宋"/>
          <w:b/>
          <w:bCs/>
          <w:color w:val="auto"/>
          <w:spacing w:val="-11"/>
          <w:sz w:val="25"/>
          <w:szCs w:val="25"/>
          <w:highlight w:val="none"/>
          <w:u w:val="single" w:color="auto"/>
          <w:lang w:val="en-US" w:eastAsia="zh-CN"/>
        </w:rPr>
        <w:t xml:space="preserve"> 2320 6326 0910 0105 125 </w:t>
      </w:r>
    </w:p>
    <w:p w14:paraId="4EF09E08">
      <w:pPr>
        <w:spacing w:before="52" w:line="326" w:lineRule="auto"/>
        <w:ind w:left="74" w:right="1359"/>
        <w:rPr>
          <w:rFonts w:hint="eastAsia" w:ascii="仿宋" w:hAnsi="仿宋" w:eastAsia="仿宋" w:cs="仿宋"/>
          <w:b/>
          <w:bCs/>
          <w:color w:val="auto"/>
          <w:spacing w:val="3"/>
          <w:sz w:val="25"/>
          <w:szCs w:val="25"/>
          <w:highlight w:val="none"/>
          <w:u w:val="single" w:color="auto"/>
          <w:lang w:val="en-US" w:eastAsia="zh-CN"/>
        </w:rPr>
      </w:pPr>
      <w:r>
        <w:rPr>
          <w:rFonts w:ascii="仿宋" w:hAnsi="仿宋" w:eastAsia="仿宋" w:cs="仿宋"/>
          <w:color w:val="auto"/>
          <w:spacing w:val="3"/>
          <w:sz w:val="25"/>
          <w:szCs w:val="25"/>
          <w:highlight w:val="none"/>
        </w:rPr>
        <w:t>注册地址：</w:t>
      </w:r>
      <w:r>
        <w:rPr>
          <w:rFonts w:hint="eastAsia" w:ascii="仿宋" w:hAnsi="仿宋" w:eastAsia="仿宋" w:cs="仿宋"/>
          <w:b/>
          <w:bCs/>
          <w:color w:val="auto"/>
          <w:spacing w:val="3"/>
          <w:sz w:val="25"/>
          <w:szCs w:val="25"/>
          <w:highlight w:val="none"/>
          <w:u w:val="single"/>
        </w:rPr>
        <w:t>西昌市长安东路53号3幢1楼</w:t>
      </w:r>
    </w:p>
    <w:p w14:paraId="7A15F206">
      <w:pPr>
        <w:spacing w:before="52" w:line="326" w:lineRule="auto"/>
        <w:ind w:left="74" w:right="1359"/>
        <w:rPr>
          <w:rFonts w:ascii="仿宋" w:hAnsi="仿宋" w:eastAsia="仿宋" w:cs="仿宋"/>
          <w:color w:val="auto"/>
          <w:sz w:val="25"/>
          <w:szCs w:val="25"/>
          <w:highlight w:val="none"/>
        </w:rPr>
      </w:pPr>
      <w:r>
        <w:rPr>
          <w:rFonts w:ascii="仿宋" w:hAnsi="仿宋" w:eastAsia="仿宋" w:cs="仿宋"/>
          <w:color w:val="auto"/>
          <w:sz w:val="25"/>
          <w:szCs w:val="25"/>
          <w:highlight w:val="none"/>
        </w:rPr>
        <w:t xml:space="preserve"> </w:t>
      </w:r>
      <w:r>
        <w:rPr>
          <w:rFonts w:ascii="仿宋" w:hAnsi="仿宋" w:eastAsia="仿宋" w:cs="仿宋"/>
          <w:color w:val="auto"/>
          <w:spacing w:val="18"/>
          <w:sz w:val="25"/>
          <w:szCs w:val="25"/>
          <w:highlight w:val="none"/>
        </w:rPr>
        <w:t xml:space="preserve">纳税人类型： </w:t>
      </w:r>
      <w:r>
        <w:rPr>
          <w:rFonts w:hint="eastAsia" w:ascii="仿宋" w:hAnsi="仿宋" w:eastAsia="仿宋" w:cs="仿宋"/>
          <w:color w:val="auto"/>
          <w:spacing w:val="18"/>
          <w:sz w:val="25"/>
          <w:szCs w:val="25"/>
          <w:highlight w:val="none"/>
          <w:lang w:eastAsia="zh-CN"/>
        </w:rPr>
        <w:t>☑</w:t>
      </w:r>
      <w:r>
        <w:rPr>
          <w:rFonts w:ascii="仿宋" w:hAnsi="仿宋" w:eastAsia="仿宋" w:cs="仿宋"/>
          <w:color w:val="auto"/>
          <w:spacing w:val="18"/>
          <w:sz w:val="25"/>
          <w:szCs w:val="25"/>
          <w:highlight w:val="none"/>
        </w:rPr>
        <w:t>一般纳税人□小规模纳税人□其他</w:t>
      </w:r>
    </w:p>
    <w:p w14:paraId="0ED02182">
      <w:pPr>
        <w:spacing w:before="56" w:line="222" w:lineRule="auto"/>
        <w:ind w:left="78"/>
        <w:rPr>
          <w:rFonts w:hint="default" w:ascii="仿宋" w:hAnsi="仿宋" w:eastAsia="仿宋" w:cs="仿宋"/>
          <w:color w:val="auto"/>
          <w:sz w:val="25"/>
          <w:szCs w:val="25"/>
          <w:highlight w:val="none"/>
          <w:u w:val="single"/>
          <w:lang w:val="en-US" w:eastAsia="zh-CN"/>
        </w:rPr>
      </w:pPr>
      <w:r>
        <w:rPr>
          <w:rFonts w:ascii="仿宋" w:hAnsi="仿宋" w:eastAsia="仿宋" w:cs="仿宋"/>
          <w:b/>
          <w:bCs/>
          <w:color w:val="auto"/>
          <w:spacing w:val="-11"/>
          <w:sz w:val="25"/>
          <w:szCs w:val="25"/>
          <w:highlight w:val="none"/>
        </w:rPr>
        <w:t>乙方：</w:t>
      </w:r>
      <w:r>
        <w:rPr>
          <w:rFonts w:hint="eastAsia" w:ascii="仿宋" w:hAnsi="仿宋" w:eastAsia="仿宋" w:cs="仿宋"/>
          <w:b/>
          <w:bCs/>
          <w:color w:val="auto"/>
          <w:spacing w:val="-11"/>
          <w:sz w:val="25"/>
          <w:szCs w:val="25"/>
          <w:highlight w:val="none"/>
          <w:u w:val="single"/>
          <w:lang w:val="en-US" w:eastAsia="zh-CN"/>
        </w:rPr>
        <w:t xml:space="preserve"> *****************  </w:t>
      </w:r>
    </w:p>
    <w:p w14:paraId="481AE29F">
      <w:pPr>
        <w:spacing w:before="159" w:line="222" w:lineRule="auto"/>
        <w:ind w:left="74"/>
        <w:rPr>
          <w:rFonts w:hint="default" w:ascii="仿宋" w:hAnsi="仿宋" w:eastAsia="仿宋" w:cs="仿宋"/>
          <w:color w:val="auto"/>
          <w:sz w:val="25"/>
          <w:szCs w:val="25"/>
          <w:highlight w:val="none"/>
          <w:lang w:val="en-US" w:eastAsia="zh-CN"/>
        </w:rPr>
      </w:pPr>
      <w:r>
        <w:rPr>
          <w:rFonts w:ascii="仿宋" w:hAnsi="仿宋" w:eastAsia="仿宋" w:cs="仿宋"/>
          <w:color w:val="auto"/>
          <w:spacing w:val="-1"/>
          <w:sz w:val="25"/>
          <w:szCs w:val="25"/>
          <w:highlight w:val="none"/>
        </w:rPr>
        <w:t>法定代表人：</w:t>
      </w:r>
      <w:r>
        <w:rPr>
          <w:rFonts w:ascii="仿宋" w:hAnsi="仿宋" w:eastAsia="仿宋" w:cs="仿宋"/>
          <w:color w:val="auto"/>
          <w:spacing w:val="-45"/>
          <w:sz w:val="25"/>
          <w:szCs w:val="25"/>
          <w:highlight w:val="none"/>
        </w:rPr>
        <w:t xml:space="preserve"> </w:t>
      </w:r>
      <w:r>
        <w:rPr>
          <w:rFonts w:ascii="仿宋" w:hAnsi="仿宋" w:eastAsia="仿宋" w:cs="仿宋"/>
          <w:color w:val="auto"/>
          <w:spacing w:val="-110"/>
          <w:sz w:val="25"/>
          <w:szCs w:val="25"/>
          <w:highlight w:val="none"/>
          <w:u w:val="single" w:color="auto"/>
        </w:rPr>
        <w:t xml:space="preserve"> </w:t>
      </w:r>
      <w:r>
        <w:rPr>
          <w:rFonts w:hint="eastAsia" w:ascii="仿宋" w:hAnsi="仿宋" w:eastAsia="仿宋" w:cs="仿宋"/>
          <w:b/>
          <w:bCs/>
          <w:color w:val="auto"/>
          <w:spacing w:val="-1"/>
          <w:sz w:val="25"/>
          <w:szCs w:val="25"/>
          <w:highlight w:val="none"/>
          <w:u w:val="single" w:color="auto"/>
          <w:lang w:val="en-US" w:eastAsia="zh-CN"/>
        </w:rPr>
        <w:t xml:space="preserve"> *******  </w:t>
      </w:r>
    </w:p>
    <w:p w14:paraId="6429705F">
      <w:pPr>
        <w:spacing w:before="184" w:line="223" w:lineRule="auto"/>
        <w:ind w:left="74"/>
        <w:rPr>
          <w:rFonts w:ascii="宋体" w:hAnsi="宋体" w:eastAsia="宋体" w:cs="宋体"/>
          <w:color w:val="auto"/>
          <w:sz w:val="25"/>
          <w:szCs w:val="25"/>
          <w:highlight w:val="none"/>
        </w:rPr>
      </w:pPr>
      <w:r>
        <w:rPr>
          <w:rFonts w:ascii="仿宋" w:hAnsi="仿宋" w:eastAsia="仿宋" w:cs="仿宋"/>
          <w:color w:val="auto"/>
          <w:spacing w:val="-31"/>
          <w:sz w:val="25"/>
          <w:szCs w:val="25"/>
          <w:highlight w:val="none"/>
        </w:rPr>
        <w:t>委托代表人：</w:t>
      </w:r>
      <w:r>
        <w:rPr>
          <w:rFonts w:hint="eastAsia" w:ascii="仿宋" w:hAnsi="仿宋" w:eastAsia="仿宋" w:cs="仿宋"/>
          <w:b/>
          <w:bCs/>
          <w:color w:val="auto"/>
          <w:spacing w:val="-1"/>
          <w:sz w:val="25"/>
          <w:szCs w:val="25"/>
          <w:highlight w:val="none"/>
          <w:u w:val="single" w:color="auto"/>
          <w:lang w:val="en-US" w:eastAsia="zh-CN"/>
        </w:rPr>
        <w:t xml:space="preserve">  *******  </w:t>
      </w:r>
      <w:r>
        <w:rPr>
          <w:rFonts w:ascii="仿宋" w:hAnsi="仿宋" w:eastAsia="仿宋" w:cs="仿宋"/>
          <w:color w:val="auto"/>
          <w:spacing w:val="-31"/>
          <w:sz w:val="25"/>
          <w:szCs w:val="25"/>
          <w:highlight w:val="none"/>
        </w:rPr>
        <w:t>( 电 话</w:t>
      </w:r>
      <w:r>
        <w:rPr>
          <w:rFonts w:ascii="仿宋" w:hAnsi="仿宋" w:eastAsia="仿宋" w:cs="仿宋"/>
          <w:color w:val="auto"/>
          <w:spacing w:val="-38"/>
          <w:sz w:val="25"/>
          <w:szCs w:val="25"/>
          <w:highlight w:val="none"/>
        </w:rPr>
        <w:t xml:space="preserve"> </w:t>
      </w:r>
      <w:r>
        <w:rPr>
          <w:rFonts w:ascii="仿宋" w:hAnsi="仿宋" w:eastAsia="仿宋" w:cs="仿宋"/>
          <w:color w:val="auto"/>
          <w:spacing w:val="-31"/>
          <w:sz w:val="25"/>
          <w:szCs w:val="25"/>
          <w:highlight w:val="none"/>
        </w:rPr>
        <w:t>：</w:t>
      </w:r>
      <w:r>
        <w:rPr>
          <w:rFonts w:hint="eastAsia" w:ascii="仿宋" w:hAnsi="仿宋" w:eastAsia="仿宋" w:cs="仿宋"/>
          <w:b/>
          <w:bCs/>
          <w:color w:val="auto"/>
          <w:spacing w:val="-1"/>
          <w:sz w:val="25"/>
          <w:szCs w:val="25"/>
          <w:highlight w:val="none"/>
          <w:u w:val="single" w:color="auto"/>
          <w:lang w:val="en-US" w:eastAsia="zh-CN"/>
        </w:rPr>
        <w:t>**********</w:t>
      </w:r>
      <w:r>
        <w:rPr>
          <w:rFonts w:hint="eastAsia" w:ascii="仿宋" w:hAnsi="仿宋" w:eastAsia="仿宋" w:cs="仿宋"/>
          <w:b w:val="0"/>
          <w:bCs w:val="0"/>
          <w:color w:val="auto"/>
          <w:spacing w:val="-2"/>
          <w:sz w:val="25"/>
          <w:szCs w:val="25"/>
          <w:highlight w:val="none"/>
          <w:u w:val="none" w:color="auto"/>
          <w:lang w:val="en-US" w:eastAsia="zh-CN"/>
        </w:rPr>
        <w:t xml:space="preserve"> </w:t>
      </w:r>
      <w:r>
        <w:rPr>
          <w:rFonts w:ascii="宋体" w:hAnsi="宋体" w:eastAsia="宋体" w:cs="宋体"/>
          <w:color w:val="auto"/>
          <w:spacing w:val="-31"/>
          <w:sz w:val="25"/>
          <w:szCs w:val="25"/>
          <w:highlight w:val="none"/>
        </w:rPr>
        <w:t>)</w:t>
      </w:r>
    </w:p>
    <w:p w14:paraId="3362C4BB">
      <w:pPr>
        <w:spacing w:before="164" w:line="222" w:lineRule="auto"/>
        <w:ind w:left="74"/>
        <w:rPr>
          <w:rFonts w:hint="default" w:ascii="仿宋" w:hAnsi="仿宋" w:eastAsia="仿宋" w:cs="仿宋"/>
          <w:color w:val="auto"/>
          <w:sz w:val="25"/>
          <w:szCs w:val="25"/>
          <w:highlight w:val="none"/>
          <w:lang w:val="en-US" w:eastAsia="zh-CN"/>
        </w:rPr>
      </w:pPr>
      <w:r>
        <w:rPr>
          <w:rFonts w:ascii="仿宋" w:hAnsi="仿宋" w:eastAsia="仿宋" w:cs="仿宋"/>
          <w:color w:val="auto"/>
          <w:spacing w:val="-1"/>
          <w:sz w:val="25"/>
          <w:szCs w:val="25"/>
          <w:highlight w:val="none"/>
        </w:rPr>
        <w:t>注册地址：</w:t>
      </w:r>
      <w:r>
        <w:rPr>
          <w:rFonts w:ascii="仿宋" w:hAnsi="仿宋" w:eastAsia="仿宋" w:cs="仿宋"/>
          <w:color w:val="auto"/>
          <w:spacing w:val="-56"/>
          <w:sz w:val="25"/>
          <w:szCs w:val="25"/>
          <w:highlight w:val="none"/>
        </w:rPr>
        <w:t xml:space="preserve"> </w:t>
      </w:r>
      <w:r>
        <w:rPr>
          <w:rFonts w:hint="eastAsia" w:ascii="仿宋" w:hAnsi="仿宋" w:eastAsia="仿宋" w:cs="仿宋"/>
          <w:b/>
          <w:bCs/>
          <w:color w:val="auto"/>
          <w:spacing w:val="3"/>
          <w:sz w:val="25"/>
          <w:szCs w:val="25"/>
          <w:highlight w:val="none"/>
          <w:u w:val="single" w:color="auto"/>
          <w:lang w:val="en-US" w:eastAsia="zh-CN"/>
        </w:rPr>
        <w:t xml:space="preserve">********************** </w:t>
      </w:r>
    </w:p>
    <w:p w14:paraId="6FC912D2">
      <w:pPr>
        <w:spacing w:before="180" w:line="223" w:lineRule="auto"/>
        <w:ind w:left="74"/>
        <w:rPr>
          <w:rFonts w:hint="default" w:ascii="仿宋" w:hAnsi="仿宋" w:eastAsia="仿宋" w:cs="仿宋"/>
          <w:color w:val="auto"/>
          <w:sz w:val="25"/>
          <w:szCs w:val="25"/>
          <w:highlight w:val="none"/>
          <w:lang w:val="en-US" w:eastAsia="zh-CN"/>
        </w:rPr>
      </w:pPr>
      <w:r>
        <w:rPr>
          <w:rFonts w:ascii="仿宋" w:hAnsi="仿宋" w:eastAsia="仿宋" w:cs="仿宋"/>
          <w:color w:val="auto"/>
          <w:spacing w:val="-2"/>
          <w:sz w:val="25"/>
          <w:szCs w:val="25"/>
          <w:highlight w:val="none"/>
        </w:rPr>
        <w:t>资质专业及等级：</w:t>
      </w:r>
      <w:r>
        <w:rPr>
          <w:rFonts w:hint="eastAsia" w:ascii="仿宋" w:hAnsi="仿宋" w:eastAsia="仿宋" w:cs="仿宋"/>
          <w:b/>
          <w:bCs/>
          <w:color w:val="auto"/>
          <w:spacing w:val="-2"/>
          <w:sz w:val="25"/>
          <w:szCs w:val="25"/>
          <w:highlight w:val="none"/>
          <w:u w:val="single" w:color="auto"/>
          <w:lang w:val="en-US" w:eastAsia="zh-CN"/>
        </w:rPr>
        <w:t xml:space="preserve">    施工劳务不分等级     </w:t>
      </w:r>
    </w:p>
    <w:p w14:paraId="7158BB75">
      <w:pPr>
        <w:spacing w:before="177" w:line="222" w:lineRule="auto"/>
        <w:ind w:left="74"/>
        <w:rPr>
          <w:rFonts w:hint="default" w:ascii="仿宋" w:hAnsi="仿宋" w:eastAsia="仿宋" w:cs="仿宋"/>
          <w:color w:val="auto"/>
          <w:sz w:val="25"/>
          <w:szCs w:val="25"/>
          <w:highlight w:val="none"/>
          <w:lang w:val="en-US" w:eastAsia="zh-CN"/>
        </w:rPr>
      </w:pPr>
      <w:r>
        <w:rPr>
          <w:rFonts w:ascii="仿宋" w:hAnsi="仿宋" w:eastAsia="仿宋" w:cs="仿宋"/>
          <w:color w:val="auto"/>
          <w:spacing w:val="-2"/>
          <w:sz w:val="25"/>
          <w:szCs w:val="25"/>
          <w:highlight w:val="none"/>
        </w:rPr>
        <w:t>安全生产许可证号码：</w:t>
      </w:r>
      <w:r>
        <w:rPr>
          <w:rFonts w:ascii="仿宋" w:hAnsi="仿宋" w:eastAsia="仿宋" w:cs="仿宋"/>
          <w:color w:val="auto"/>
          <w:spacing w:val="88"/>
          <w:sz w:val="25"/>
          <w:szCs w:val="25"/>
          <w:highlight w:val="none"/>
        </w:rPr>
        <w:t xml:space="preserve"> </w:t>
      </w:r>
      <w:r>
        <w:rPr>
          <w:rFonts w:ascii="仿宋" w:hAnsi="仿宋" w:eastAsia="仿宋" w:cs="仿宋"/>
          <w:color w:val="auto"/>
          <w:spacing w:val="-73"/>
          <w:sz w:val="25"/>
          <w:szCs w:val="25"/>
          <w:highlight w:val="none"/>
          <w:u w:val="single" w:color="auto"/>
        </w:rPr>
        <w:t xml:space="preserve"> </w:t>
      </w:r>
      <w:r>
        <w:rPr>
          <w:rFonts w:hint="eastAsia" w:ascii="仿宋" w:hAnsi="仿宋" w:eastAsia="仿宋" w:cs="仿宋"/>
          <w:b/>
          <w:bCs/>
          <w:color w:val="auto"/>
          <w:spacing w:val="-2"/>
          <w:sz w:val="25"/>
          <w:szCs w:val="25"/>
          <w:highlight w:val="none"/>
          <w:u w:val="single" w:color="auto"/>
          <w:lang w:val="en-US" w:eastAsia="zh-CN"/>
        </w:rPr>
        <w:t xml:space="preserve"> **********************  </w:t>
      </w:r>
    </w:p>
    <w:p w14:paraId="4AFC61AF">
      <w:pPr>
        <w:spacing w:before="161" w:line="222" w:lineRule="auto"/>
        <w:ind w:left="74"/>
        <w:rPr>
          <w:rFonts w:hint="default" w:ascii="仿宋" w:hAnsi="仿宋" w:eastAsia="仿宋" w:cs="仿宋"/>
          <w:b/>
          <w:bCs/>
          <w:color w:val="auto"/>
          <w:spacing w:val="-10"/>
          <w:sz w:val="25"/>
          <w:szCs w:val="25"/>
          <w:highlight w:val="none"/>
          <w:u w:val="single" w:color="auto"/>
          <w:lang w:val="en-US" w:eastAsia="zh-CN"/>
        </w:rPr>
      </w:pPr>
      <w:r>
        <w:rPr>
          <w:rFonts w:ascii="仿宋" w:hAnsi="仿宋" w:eastAsia="仿宋" w:cs="仿宋"/>
          <w:color w:val="auto"/>
          <w:spacing w:val="-9"/>
          <w:sz w:val="25"/>
          <w:szCs w:val="25"/>
          <w:highlight w:val="none"/>
        </w:rPr>
        <w:t>纳税人识别号(统一社会信用代码</w:t>
      </w:r>
      <w:r>
        <w:rPr>
          <w:rFonts w:hint="eastAsia" w:ascii="仿宋" w:hAnsi="仿宋" w:eastAsia="仿宋" w:cs="仿宋"/>
          <w:color w:val="auto"/>
          <w:spacing w:val="-9"/>
          <w:sz w:val="25"/>
          <w:szCs w:val="25"/>
          <w:highlight w:val="none"/>
          <w:lang w:val="en-US" w:eastAsia="zh-CN"/>
        </w:rPr>
        <w:t>):</w:t>
      </w:r>
      <w:r>
        <w:rPr>
          <w:rFonts w:hint="eastAsia" w:ascii="仿宋" w:hAnsi="仿宋" w:eastAsia="仿宋" w:cs="仿宋"/>
          <w:b/>
          <w:bCs/>
          <w:color w:val="auto"/>
          <w:spacing w:val="-10"/>
          <w:sz w:val="25"/>
          <w:szCs w:val="25"/>
          <w:highlight w:val="none"/>
          <w:u w:val="single" w:color="auto"/>
          <w:lang w:val="en-US" w:eastAsia="zh-CN"/>
        </w:rPr>
        <w:t xml:space="preserve"> *************   </w:t>
      </w:r>
    </w:p>
    <w:p w14:paraId="55705FD0">
      <w:pPr>
        <w:spacing w:before="167" w:line="221" w:lineRule="auto"/>
        <w:ind w:left="74"/>
        <w:rPr>
          <w:rFonts w:hint="default" w:ascii="仿宋" w:hAnsi="仿宋" w:eastAsia="仿宋" w:cs="仿宋"/>
          <w:b/>
          <w:bCs/>
          <w:color w:val="auto"/>
          <w:spacing w:val="-10"/>
          <w:sz w:val="25"/>
          <w:szCs w:val="25"/>
          <w:highlight w:val="none"/>
          <w:u w:val="single" w:color="auto"/>
          <w:lang w:val="en-US" w:eastAsia="zh-CN"/>
        </w:rPr>
      </w:pPr>
      <w:r>
        <w:rPr>
          <w:rFonts w:ascii="仿宋" w:hAnsi="仿宋" w:eastAsia="仿宋" w:cs="仿宋"/>
          <w:color w:val="auto"/>
          <w:spacing w:val="-6"/>
          <w:sz w:val="25"/>
          <w:szCs w:val="25"/>
          <w:highlight w:val="none"/>
        </w:rPr>
        <w:t>开户银行名称</w:t>
      </w:r>
      <w:r>
        <w:rPr>
          <w:rFonts w:hint="eastAsia" w:ascii="仿宋" w:hAnsi="仿宋" w:eastAsia="仿宋" w:cs="仿宋"/>
          <w:color w:val="auto"/>
          <w:spacing w:val="-6"/>
          <w:sz w:val="25"/>
          <w:szCs w:val="25"/>
          <w:highlight w:val="none"/>
          <w:lang w:val="en-US" w:eastAsia="zh-CN"/>
        </w:rPr>
        <w:t>：</w:t>
      </w:r>
      <w:r>
        <w:rPr>
          <w:rFonts w:hint="eastAsia" w:ascii="仿宋" w:hAnsi="仿宋" w:eastAsia="仿宋" w:cs="仿宋"/>
          <w:b/>
          <w:bCs/>
          <w:color w:val="auto"/>
          <w:spacing w:val="-10"/>
          <w:sz w:val="25"/>
          <w:szCs w:val="25"/>
          <w:highlight w:val="none"/>
          <w:u w:val="single" w:color="auto"/>
          <w:lang w:val="en-US" w:eastAsia="zh-CN"/>
        </w:rPr>
        <w:t xml:space="preserve">  ******************* </w:t>
      </w:r>
    </w:p>
    <w:p w14:paraId="293CBA93">
      <w:pPr>
        <w:spacing w:before="167" w:line="221" w:lineRule="auto"/>
        <w:ind w:left="74"/>
        <w:rPr>
          <w:rFonts w:hint="default" w:ascii="仿宋" w:hAnsi="仿宋" w:eastAsia="仿宋" w:cs="仿宋"/>
          <w:color w:val="auto"/>
          <w:sz w:val="25"/>
          <w:szCs w:val="25"/>
          <w:highlight w:val="none"/>
          <w:lang w:val="en-US" w:eastAsia="zh-CN"/>
        </w:rPr>
      </w:pPr>
      <w:r>
        <w:rPr>
          <w:rFonts w:hint="eastAsia" w:ascii="仿宋" w:hAnsi="仿宋" w:eastAsia="仿宋" w:cs="仿宋"/>
          <w:color w:val="auto"/>
          <w:spacing w:val="-6"/>
          <w:sz w:val="25"/>
          <w:szCs w:val="25"/>
          <w:highlight w:val="none"/>
          <w:lang w:val="en-US" w:eastAsia="zh-CN"/>
        </w:rPr>
        <w:t>开户银行账号：</w:t>
      </w:r>
      <w:r>
        <w:rPr>
          <w:rFonts w:hint="eastAsia" w:ascii="仿宋" w:hAnsi="仿宋" w:eastAsia="仿宋" w:cs="仿宋"/>
          <w:b/>
          <w:bCs/>
          <w:color w:val="auto"/>
          <w:spacing w:val="-10"/>
          <w:sz w:val="25"/>
          <w:szCs w:val="25"/>
          <w:highlight w:val="none"/>
          <w:u w:val="single" w:color="auto"/>
          <w:lang w:val="en-US" w:eastAsia="zh-CN"/>
        </w:rPr>
        <w:t xml:space="preserve">   ********************     </w:t>
      </w:r>
    </w:p>
    <w:p w14:paraId="2FD357C2">
      <w:pPr>
        <w:spacing w:before="154" w:line="220" w:lineRule="auto"/>
        <w:ind w:left="74"/>
        <w:rPr>
          <w:rFonts w:ascii="仿宋" w:hAnsi="仿宋" w:eastAsia="仿宋" w:cs="仿宋"/>
          <w:color w:val="auto"/>
          <w:sz w:val="25"/>
          <w:szCs w:val="25"/>
          <w:highlight w:val="none"/>
        </w:rPr>
      </w:pPr>
      <w:r>
        <w:rPr>
          <w:rFonts w:ascii="仿宋" w:hAnsi="仿宋" w:eastAsia="仿宋" w:cs="仿宋"/>
          <w:color w:val="auto"/>
          <w:spacing w:val="12"/>
          <w:sz w:val="25"/>
          <w:szCs w:val="25"/>
          <w:highlight w:val="none"/>
        </w:rPr>
        <w:t>纳税人类型：</w:t>
      </w:r>
      <w:r>
        <w:rPr>
          <w:rFonts w:hint="eastAsia" w:ascii="仿宋" w:hAnsi="仿宋" w:eastAsia="仿宋" w:cs="仿宋"/>
          <w:color w:val="auto"/>
          <w:spacing w:val="12"/>
          <w:sz w:val="25"/>
          <w:szCs w:val="25"/>
          <w:highlight w:val="none"/>
          <w:lang w:eastAsia="zh-CN"/>
        </w:rPr>
        <w:t>☑</w:t>
      </w:r>
      <w:r>
        <w:rPr>
          <w:rFonts w:ascii="仿宋" w:hAnsi="仿宋" w:eastAsia="仿宋" w:cs="仿宋"/>
          <w:color w:val="auto"/>
          <w:spacing w:val="12"/>
          <w:sz w:val="25"/>
          <w:szCs w:val="25"/>
          <w:highlight w:val="none"/>
        </w:rPr>
        <w:t>一般纳税人□小规模纳税人□其他：(请详细说明)</w:t>
      </w:r>
    </w:p>
    <w:p w14:paraId="27CE9116">
      <w:pPr>
        <w:spacing w:before="181" w:line="222" w:lineRule="auto"/>
        <w:ind w:left="74"/>
        <w:rPr>
          <w:rFonts w:ascii="仿宋" w:hAnsi="仿宋" w:eastAsia="仿宋" w:cs="仿宋"/>
          <w:color w:val="auto"/>
          <w:sz w:val="25"/>
          <w:szCs w:val="25"/>
          <w:highlight w:val="none"/>
        </w:rPr>
      </w:pPr>
      <w:r>
        <w:rPr>
          <w:rFonts w:ascii="仿宋" w:hAnsi="仿宋" w:eastAsia="仿宋" w:cs="仿宋"/>
          <w:color w:val="auto"/>
          <w:spacing w:val="-5"/>
          <w:sz w:val="25"/>
          <w:szCs w:val="25"/>
          <w:highlight w:val="none"/>
        </w:rPr>
        <w:t>增值税发票类型：</w:t>
      </w:r>
      <w:r>
        <w:rPr>
          <w:rFonts w:ascii="MS Gothic" w:hAnsi="MS Gothic" w:eastAsia="MS Gothic" w:cs="MS Gothic"/>
          <w:color w:val="auto"/>
          <w:spacing w:val="-5"/>
          <w:sz w:val="25"/>
          <w:szCs w:val="25"/>
          <w:highlight w:val="none"/>
        </w:rPr>
        <w:t>☑</w:t>
      </w:r>
      <w:r>
        <w:rPr>
          <w:rFonts w:ascii="MS Gothic" w:hAnsi="MS Gothic" w:eastAsia="MS Gothic" w:cs="MS Gothic"/>
          <w:color w:val="auto"/>
          <w:spacing w:val="-28"/>
          <w:sz w:val="25"/>
          <w:szCs w:val="25"/>
          <w:highlight w:val="none"/>
        </w:rPr>
        <w:t xml:space="preserve"> </w:t>
      </w:r>
      <w:r>
        <w:rPr>
          <w:rFonts w:ascii="仿宋" w:hAnsi="仿宋" w:eastAsia="仿宋" w:cs="仿宋"/>
          <w:b/>
          <w:bCs/>
          <w:color w:val="auto"/>
          <w:spacing w:val="-5"/>
          <w:sz w:val="25"/>
          <w:szCs w:val="25"/>
          <w:highlight w:val="none"/>
        </w:rPr>
        <w:t>增值税专用发票</w:t>
      </w:r>
      <w:r>
        <w:rPr>
          <w:rFonts w:hint="eastAsia" w:ascii="仿宋" w:hAnsi="仿宋" w:eastAsia="仿宋" w:cs="仿宋"/>
          <w:b/>
          <w:bCs/>
          <w:color w:val="auto"/>
          <w:spacing w:val="-5"/>
          <w:sz w:val="25"/>
          <w:szCs w:val="25"/>
          <w:highlight w:val="none"/>
          <w:lang w:val="en-US" w:eastAsia="zh-CN"/>
        </w:rPr>
        <w:t xml:space="preserve">     </w:t>
      </w:r>
      <w:r>
        <w:rPr>
          <w:rFonts w:ascii="仿宋" w:hAnsi="仿宋" w:eastAsia="仿宋" w:cs="仿宋"/>
          <w:b/>
          <w:bCs/>
          <w:color w:val="auto"/>
          <w:spacing w:val="-5"/>
          <w:sz w:val="25"/>
          <w:szCs w:val="25"/>
          <w:highlight w:val="none"/>
        </w:rPr>
        <w:t>□增值税普通发票</w:t>
      </w:r>
    </w:p>
    <w:p w14:paraId="146C0020">
      <w:pPr>
        <w:spacing w:line="222" w:lineRule="auto"/>
        <w:rPr>
          <w:rFonts w:ascii="仿宋" w:hAnsi="仿宋" w:eastAsia="仿宋" w:cs="仿宋"/>
          <w:color w:val="auto"/>
          <w:sz w:val="25"/>
          <w:szCs w:val="25"/>
          <w:highlight w:val="none"/>
        </w:rPr>
        <w:sectPr>
          <w:footerReference r:id="rId6" w:type="default"/>
          <w:pgSz w:w="11900" w:h="16830"/>
          <w:pgMar w:top="1430" w:right="1785" w:bottom="1275" w:left="1785" w:header="0" w:footer="397" w:gutter="0"/>
          <w:pgNumType w:fmt="decimal" w:start="1"/>
          <w:cols w:space="720" w:num="1"/>
        </w:sectPr>
      </w:pPr>
    </w:p>
    <w:p w14:paraId="48DB363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rPr>
      </w:pPr>
      <w:bookmarkStart w:id="3" w:name="bookmark26"/>
      <w:bookmarkEnd w:id="3"/>
      <w:r>
        <w:rPr>
          <w:rFonts w:hint="eastAsia" w:ascii="仿宋" w:hAnsi="仿宋" w:eastAsia="仿宋" w:cs="仿宋"/>
          <w:color w:val="auto"/>
          <w:sz w:val="25"/>
          <w:szCs w:val="25"/>
          <w:highlight w:val="none"/>
        </w:rPr>
        <w:t>依照《中华人民共和国民法典》及其它有关法律、法规的规定，为确保工程优质、按期完工，甲乙双方本着诚实信用原则，经自愿、平等协商就</w:t>
      </w:r>
      <w:r>
        <w:rPr>
          <w:rFonts w:hint="eastAsia" w:ascii="仿宋" w:hAnsi="仿宋" w:eastAsia="仿宋" w:cs="仿宋"/>
          <w:color w:val="auto"/>
          <w:sz w:val="25"/>
          <w:szCs w:val="25"/>
          <w:highlight w:val="none"/>
          <w:lang w:eastAsia="zh-CN"/>
        </w:rPr>
        <w:t>会理市绿色农汽联创园建设项目</w:t>
      </w:r>
      <w:r>
        <w:rPr>
          <w:rFonts w:hint="eastAsia" w:ascii="仿宋" w:hAnsi="仿宋" w:eastAsia="仿宋" w:cs="仿宋"/>
          <w:color w:val="auto"/>
          <w:sz w:val="25"/>
          <w:szCs w:val="25"/>
          <w:highlight w:val="none"/>
        </w:rPr>
        <w:t>主体工程劳务分包事项达成一致，且乙方已充分注意、理解本合同各项条款的约定，并自愿履行由此产生的全部义务，特订立本合同，以兹共同遵守。</w:t>
      </w:r>
    </w:p>
    <w:p w14:paraId="6BEB7F1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rPr>
      </w:pPr>
      <w:bookmarkStart w:id="4" w:name="_Toc16608"/>
      <w:r>
        <w:rPr>
          <w:rFonts w:hint="eastAsia" w:ascii="仿宋" w:hAnsi="仿宋" w:eastAsia="仿宋" w:cs="仿宋"/>
          <w:b/>
          <w:bCs/>
          <w:color w:val="auto"/>
          <w:sz w:val="25"/>
          <w:szCs w:val="25"/>
          <w:highlight w:val="none"/>
        </w:rPr>
        <w:t>一、项目概况</w:t>
      </w:r>
      <w:bookmarkEnd w:id="4"/>
    </w:p>
    <w:p w14:paraId="6F49B7D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b/>
          <w:bCs/>
          <w:color w:val="auto"/>
          <w:sz w:val="25"/>
          <w:szCs w:val="25"/>
          <w:highlight w:val="none"/>
          <w:u w:val="single"/>
        </w:rPr>
      </w:pPr>
      <w:r>
        <w:rPr>
          <w:rFonts w:hint="eastAsia" w:ascii="仿宋" w:hAnsi="仿宋" w:eastAsia="仿宋" w:cs="仿宋"/>
          <w:color w:val="auto"/>
          <w:sz w:val="25"/>
          <w:szCs w:val="25"/>
          <w:highlight w:val="none"/>
        </w:rPr>
        <w:t>1、项目名称：</w:t>
      </w:r>
      <w:r>
        <w:rPr>
          <w:rFonts w:hint="eastAsia" w:ascii="仿宋" w:hAnsi="仿宋" w:eastAsia="仿宋" w:cs="仿宋"/>
          <w:b/>
          <w:bCs/>
          <w:color w:val="auto"/>
          <w:sz w:val="25"/>
          <w:szCs w:val="25"/>
          <w:highlight w:val="none"/>
          <w:u w:val="single"/>
          <w:lang w:eastAsia="zh-CN"/>
        </w:rPr>
        <w:t>会理市绿色农汽联创园建设项目</w:t>
      </w:r>
      <w:r>
        <w:rPr>
          <w:rFonts w:hint="eastAsia" w:ascii="仿宋" w:hAnsi="仿宋" w:eastAsia="仿宋" w:cs="仿宋"/>
          <w:b/>
          <w:bCs/>
          <w:color w:val="auto"/>
          <w:sz w:val="25"/>
          <w:szCs w:val="25"/>
          <w:highlight w:val="none"/>
          <w:u w:val="single"/>
        </w:rPr>
        <w:t>主体劳务分包合同</w:t>
      </w:r>
    </w:p>
    <w:p w14:paraId="3EE4F2A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rPr>
        <w:t>2、项目地点：</w:t>
      </w:r>
      <w:r>
        <w:rPr>
          <w:rFonts w:hint="eastAsia" w:ascii="仿宋" w:hAnsi="仿宋" w:eastAsia="仿宋" w:cs="仿宋"/>
          <w:color w:val="auto"/>
          <w:sz w:val="25"/>
          <w:szCs w:val="25"/>
          <w:highlight w:val="none"/>
          <w:u w:val="single"/>
        </w:rPr>
        <w:t>会理市城南街道南阁村6组</w:t>
      </w:r>
    </w:p>
    <w:p w14:paraId="4D5B82C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u w:val="single"/>
        </w:rPr>
      </w:pPr>
      <w:r>
        <w:rPr>
          <w:rFonts w:hint="eastAsia" w:ascii="仿宋" w:hAnsi="仿宋" w:eastAsia="仿宋" w:cs="仿宋"/>
          <w:color w:val="auto"/>
          <w:sz w:val="25"/>
          <w:szCs w:val="25"/>
          <w:highlight w:val="none"/>
        </w:rPr>
        <w:t>3、本项目采用</w:t>
      </w:r>
      <w:r>
        <w:rPr>
          <w:rFonts w:hint="eastAsia" w:ascii="仿宋" w:hAnsi="仿宋" w:eastAsia="仿宋" w:cs="仿宋"/>
          <w:color w:val="auto"/>
          <w:sz w:val="25"/>
          <w:szCs w:val="25"/>
          <w:highlight w:val="none"/>
          <w:lang w:eastAsia="zh-CN"/>
        </w:rPr>
        <w:t>：</w:t>
      </w:r>
      <w:r>
        <w:rPr>
          <w:rFonts w:hint="eastAsia" w:ascii="仿宋" w:hAnsi="仿宋" w:eastAsia="仿宋" w:cs="仿宋"/>
          <w:color w:val="auto"/>
          <w:sz w:val="25"/>
          <w:szCs w:val="25"/>
          <w:highlight w:val="none"/>
          <w:u w:val="single"/>
          <w:lang w:val="en-US" w:eastAsia="zh-CN"/>
        </w:rPr>
        <w:t>简易计税</w:t>
      </w:r>
      <w:r>
        <w:rPr>
          <w:rFonts w:hint="eastAsia" w:ascii="仿宋" w:hAnsi="仿宋" w:eastAsia="仿宋" w:cs="仿宋"/>
          <w:color w:val="auto"/>
          <w:sz w:val="25"/>
          <w:szCs w:val="25"/>
          <w:highlight w:val="none"/>
          <w:u w:val="none"/>
        </w:rPr>
        <w:t>方法计算增值税，税率为</w:t>
      </w:r>
      <w:r>
        <w:rPr>
          <w:rFonts w:hint="eastAsia" w:ascii="仿宋" w:hAnsi="仿宋" w:eastAsia="仿宋" w:cs="仿宋"/>
          <w:color w:val="auto"/>
          <w:sz w:val="25"/>
          <w:szCs w:val="25"/>
          <w:highlight w:val="none"/>
          <w:u w:val="single"/>
          <w:lang w:val="en-US" w:eastAsia="zh-CN"/>
        </w:rPr>
        <w:t>3%</w:t>
      </w:r>
    </w:p>
    <w:p w14:paraId="1D3E8EA3">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rPr>
      </w:pPr>
      <w:bookmarkStart w:id="5" w:name="_Toc9362"/>
      <w:r>
        <w:rPr>
          <w:rFonts w:hint="eastAsia" w:ascii="仿宋" w:hAnsi="仿宋" w:eastAsia="仿宋" w:cs="仿宋"/>
          <w:b/>
          <w:bCs/>
          <w:color w:val="auto"/>
          <w:sz w:val="25"/>
          <w:szCs w:val="25"/>
          <w:highlight w:val="none"/>
        </w:rPr>
        <w:t>二、合同范围</w:t>
      </w:r>
      <w:bookmarkEnd w:id="5"/>
    </w:p>
    <w:p w14:paraId="077AF4F1">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eastAsia="zh-CN"/>
        </w:rPr>
      </w:pPr>
      <w:r>
        <w:rPr>
          <w:rFonts w:hint="eastAsia" w:ascii="仿宋" w:hAnsi="仿宋" w:eastAsia="仿宋" w:cs="仿宋"/>
          <w:b/>
          <w:bCs/>
          <w:color w:val="auto"/>
          <w:sz w:val="25"/>
          <w:szCs w:val="25"/>
          <w:highlight w:val="none"/>
        </w:rPr>
        <w:t>1、主要合同</w:t>
      </w:r>
      <w:r>
        <w:rPr>
          <w:rFonts w:hint="eastAsia" w:ascii="仿宋" w:hAnsi="仿宋" w:eastAsia="仿宋" w:cs="仿宋"/>
          <w:b/>
          <w:bCs/>
          <w:color w:val="auto"/>
          <w:sz w:val="25"/>
          <w:szCs w:val="25"/>
          <w:highlight w:val="none"/>
          <w:lang w:val="en-US" w:eastAsia="zh-CN"/>
        </w:rPr>
        <w:t>范围</w:t>
      </w:r>
    </w:p>
    <w:p w14:paraId="2873AC3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rPr>
        <w:t>本工程图纸范围内包括但不限于：</w:t>
      </w:r>
    </w:p>
    <w:p w14:paraId="36F951B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（1）基础工程：包含基坑捡底、平整（包含基坑捡底人工及机械）、从土方开挖至回填结算基坑降排水、垫层（包含支模、砼浇筑与养护）、塔吊基础施工、止水钢板安装、砖胎膜</w:t>
      </w:r>
      <w:r>
        <w:rPr>
          <w:rFonts w:hint="eastAsia" w:ascii="仿宋" w:hAnsi="仿宋" w:eastAsia="仿宋" w:cs="仿宋"/>
          <w:color w:val="FF0000"/>
          <w:sz w:val="25"/>
          <w:szCs w:val="25"/>
          <w:highlight w:val="none"/>
          <w:lang w:val="en-US" w:eastAsia="zh-CN"/>
        </w:rPr>
        <w:t>及抹灰</w:t>
      </w:r>
      <w:r>
        <w:rPr>
          <w:rFonts w:hint="eastAsia" w:ascii="仿宋" w:hAnsi="仿宋" w:eastAsia="仿宋" w:cs="仿宋"/>
          <w:color w:val="auto"/>
          <w:sz w:val="25"/>
          <w:szCs w:val="25"/>
          <w:highlight w:val="none"/>
          <w:lang w:val="en-US" w:eastAsia="zh-CN"/>
        </w:rPr>
        <w:t>、设备基础（结构钢筋、混凝土及模板、不包括专业预埋等）、钢筋（含辅助钢筋、措施钢筋）的制作及安装、钢筋焊接与机械连接;钢筋保护层、剪力墙内支撑垫块的购买及安装、成品保护及清理、模板的制作与安装、接缝处理、涂刷脱模剂、模板拆除、</w:t>
      </w:r>
      <w:r>
        <w:rPr>
          <w:rFonts w:hint="eastAsia" w:ascii="仿宋" w:hAnsi="仿宋" w:eastAsia="仿宋" w:cs="仿宋"/>
          <w:color w:val="FF0000"/>
          <w:sz w:val="25"/>
          <w:szCs w:val="25"/>
          <w:highlight w:val="none"/>
          <w:lang w:val="en-US" w:eastAsia="zh-CN"/>
        </w:rPr>
        <w:t>后浇带留设（钢丝网购买、安设、剔打及建渣清理）、后浇带施工缝留设与剔打及建渣清理、</w:t>
      </w:r>
      <w:r>
        <w:rPr>
          <w:rFonts w:hint="eastAsia" w:ascii="仿宋" w:hAnsi="仿宋" w:eastAsia="仿宋" w:cs="仿宋"/>
          <w:color w:val="auto"/>
          <w:sz w:val="25"/>
          <w:szCs w:val="25"/>
          <w:highlight w:val="none"/>
          <w:lang w:val="en-US" w:eastAsia="zh-CN"/>
        </w:rPr>
        <w:t>砼浇筑与覆盖养护、泵管安装、拆卸、清洗、</w:t>
      </w:r>
      <w:r>
        <w:rPr>
          <w:rFonts w:hint="eastAsia" w:ascii="仿宋" w:hAnsi="仿宋" w:eastAsia="仿宋" w:cs="仿宋"/>
          <w:color w:val="FF0000"/>
          <w:sz w:val="25"/>
          <w:szCs w:val="25"/>
          <w:highlight w:val="none"/>
          <w:lang w:val="en-US" w:eastAsia="zh-CN"/>
        </w:rPr>
        <w:t>钢筋与混凝土试件制作与管理</w:t>
      </w:r>
      <w:r>
        <w:rPr>
          <w:rFonts w:hint="eastAsia" w:ascii="仿宋" w:hAnsi="仿宋" w:eastAsia="仿宋" w:cs="仿宋"/>
          <w:color w:val="auto"/>
          <w:sz w:val="25"/>
          <w:szCs w:val="25"/>
          <w:highlight w:val="none"/>
          <w:lang w:val="en-US" w:eastAsia="zh-CN"/>
        </w:rPr>
        <w:t>、砖砌体等所有分部分项工作内容。</w:t>
      </w:r>
    </w:p>
    <w:p w14:paraId="36DE817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主体工程（地上和地下）：钢筋（含辅助钢筋、措施钢筋）的制作及安装、钢筋焊接与机械连接;钢筋保护层、剪力墙内支撑垫块采购安装、成品保护及清理、模板的制作与安装、接缝处理、涂刷脱模剂、模板拆除、</w:t>
      </w:r>
      <w:r>
        <w:rPr>
          <w:rFonts w:hint="eastAsia" w:ascii="仿宋" w:hAnsi="仿宋" w:eastAsia="仿宋" w:cs="仿宋"/>
          <w:color w:val="FF0000"/>
          <w:sz w:val="25"/>
          <w:szCs w:val="25"/>
          <w:highlight w:val="none"/>
          <w:lang w:val="en-US" w:eastAsia="zh-CN"/>
        </w:rPr>
        <w:t>后浇带和施工缝留设（钢丝网采购、安装、剔打及建渣清理）、高低标号混凝土隔断措施、</w:t>
      </w:r>
      <w:r>
        <w:rPr>
          <w:rFonts w:hint="eastAsia" w:ascii="仿宋" w:hAnsi="仿宋" w:eastAsia="仿宋" w:cs="仿宋"/>
          <w:color w:val="auto"/>
          <w:sz w:val="25"/>
          <w:szCs w:val="25"/>
          <w:highlight w:val="none"/>
          <w:lang w:val="en-US" w:eastAsia="zh-CN"/>
        </w:rPr>
        <w:t>砼浇筑与覆盖养护、泵管安装、拆卸、清洗、</w:t>
      </w:r>
      <w:r>
        <w:rPr>
          <w:rFonts w:hint="eastAsia" w:ascii="仿宋" w:hAnsi="仿宋" w:eastAsia="仿宋" w:cs="仿宋"/>
          <w:color w:val="FF0000"/>
          <w:sz w:val="25"/>
          <w:szCs w:val="25"/>
          <w:highlight w:val="none"/>
          <w:lang w:val="en-US" w:eastAsia="zh-CN"/>
        </w:rPr>
        <w:t>钢筋与混凝土试件制作</w:t>
      </w:r>
      <w:r>
        <w:rPr>
          <w:rFonts w:hint="eastAsia" w:eastAsia="宋体"/>
          <w:lang w:val="en-US" w:eastAsia="zh-CN"/>
        </w:rPr>
        <w:t>与管理</w:t>
      </w:r>
      <w:r>
        <w:rPr>
          <w:rFonts w:hint="eastAsia" w:ascii="仿宋" w:hAnsi="仿宋" w:eastAsia="仿宋" w:cs="仿宋"/>
          <w:color w:val="FF0000"/>
          <w:sz w:val="25"/>
          <w:szCs w:val="25"/>
          <w:highlight w:val="none"/>
          <w:lang w:val="en-US" w:eastAsia="zh-CN"/>
        </w:rPr>
        <w:t>、水电预留的孔洞封堵及防水施工</w:t>
      </w:r>
      <w:r>
        <w:rPr>
          <w:rFonts w:hint="eastAsia" w:ascii="仿宋" w:hAnsi="仿宋" w:eastAsia="仿宋" w:cs="仿宋"/>
          <w:color w:val="auto"/>
          <w:sz w:val="25"/>
          <w:szCs w:val="25"/>
          <w:highlight w:val="none"/>
          <w:lang w:val="en-US" w:eastAsia="zh-CN"/>
        </w:rPr>
        <w:t>模板拆除、砖砌体及所有收边收口等所有分部分项工作内容。</w:t>
      </w:r>
    </w:p>
    <w:p w14:paraId="4328BF9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（3）屋面工程：屋面找坡、找平、防水保护、保温板的安装、钢筋制作与安装、砼浇筑与覆盖养护、收缩缝的处理等设计图纸所示的分部分项工作内容（收缩缝油膏由乙方购买）</w:t>
      </w:r>
      <w:r>
        <w:rPr>
          <w:rFonts w:hint="eastAsia" w:ascii="仿宋" w:hAnsi="仿宋" w:eastAsia="仿宋" w:cs="仿宋"/>
          <w:color w:val="FF0000"/>
          <w:sz w:val="25"/>
          <w:szCs w:val="25"/>
          <w:highlight w:val="none"/>
          <w:lang w:val="en-US" w:eastAsia="zh-CN"/>
        </w:rPr>
        <w:t>水电预留的孔洞封堵及防水施工</w:t>
      </w:r>
      <w:r>
        <w:rPr>
          <w:rFonts w:hint="eastAsia" w:ascii="仿宋" w:hAnsi="仿宋" w:eastAsia="仿宋" w:cs="仿宋"/>
          <w:color w:val="auto"/>
          <w:sz w:val="25"/>
          <w:szCs w:val="25"/>
          <w:highlight w:val="none"/>
          <w:lang w:val="en-US" w:eastAsia="zh-CN"/>
        </w:rPr>
        <w:t>。</w:t>
      </w:r>
    </w:p>
    <w:p w14:paraId="061AF6E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抹灰工程：地上室内外、阳台、走廊、女儿墙、屋面凸出结构墙面抹灰；地下室墙柱（含车道墙面）、设备间墙面抹灰；地下地上楼梯间墙面、顶棚抹灰；地下地上电梯井、水电井墙面抹灰等（所有抹灰砂浆自拌、</w:t>
      </w:r>
      <w:r>
        <w:rPr>
          <w:rFonts w:hint="eastAsia" w:ascii="仿宋" w:hAnsi="仿宋" w:eastAsia="仿宋" w:cs="仿宋"/>
          <w:color w:val="FF0000"/>
          <w:sz w:val="25"/>
          <w:szCs w:val="25"/>
          <w:highlight w:val="none"/>
          <w:lang w:val="en-US" w:eastAsia="zh-CN"/>
        </w:rPr>
        <w:t>所有辅材采购、抹灰设备提供乙方、砂浆自拌防护棚材料及搭设</w:t>
      </w:r>
      <w:r>
        <w:rPr>
          <w:rFonts w:hint="eastAsia" w:ascii="仿宋" w:hAnsi="仿宋" w:eastAsia="仿宋" w:cs="仿宋"/>
          <w:color w:val="auto"/>
          <w:sz w:val="25"/>
          <w:szCs w:val="25"/>
          <w:highlight w:val="none"/>
          <w:lang w:val="en-US" w:eastAsia="zh-CN"/>
        </w:rPr>
        <w:t>）。</w:t>
      </w:r>
    </w:p>
    <w:p w14:paraId="2DB5FC9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（5）地下室工程：地下室回填土捡平；地下室底板、地坪、车道路面钢筋砼浇筑。</w:t>
      </w:r>
      <w:r>
        <w:rPr>
          <w:rFonts w:hint="eastAsia" w:ascii="仿宋" w:hAnsi="仿宋" w:eastAsia="仿宋" w:cs="仿宋"/>
          <w:color w:val="FF0000"/>
          <w:sz w:val="25"/>
          <w:szCs w:val="25"/>
          <w:highlight w:val="none"/>
          <w:lang w:val="en-US" w:eastAsia="zh-CN"/>
        </w:rPr>
        <w:t>后浇带和施工缝留设（钢丝网采购、安装、剔打及建渣清理）、竖向后浇带挡土隔离板、水电预留的套管封堵及防水施工。</w:t>
      </w:r>
    </w:p>
    <w:p w14:paraId="482FFC0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（6）脚手架工程：所有脚手架所需的材料；综合支模架的搭拆、外墙脚手架的搭拆、外架安全防护、各种工棚的搭拆、安全平台、安全通道、临边防护、洞口防护、卸料平台的搭拆、日常维护等。</w:t>
      </w:r>
    </w:p>
    <w:p w14:paraId="696993B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（7）二次结构：模板制作与安拆、预制构件的制作与安装、钢筋制作与安装、植筋（不包含抗拉拔检测费）、砌体砌筑（砂浆自拌）、砼浇筑与养护等工作内容。</w:t>
      </w:r>
    </w:p>
    <w:p w14:paraId="310DDAC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（8）临水临电工程</w:t>
      </w:r>
    </w:p>
    <w:p w14:paraId="577BBE2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临水工程：由甲方按临水方案提供</w:t>
      </w:r>
      <w:r>
        <w:rPr>
          <w:rFonts w:hint="eastAsia" w:ascii="仿宋" w:hAnsi="仿宋" w:eastAsia="仿宋" w:cs="仿宋"/>
          <w:color w:val="FF0000"/>
          <w:sz w:val="25"/>
          <w:szCs w:val="25"/>
          <w:highlight w:val="yellow"/>
          <w:lang w:val="en-US" w:eastAsia="zh-CN"/>
        </w:rPr>
        <w:t>总坪</w:t>
      </w:r>
      <w:r>
        <w:rPr>
          <w:rFonts w:hint="eastAsia" w:ascii="仿宋" w:hAnsi="仿宋" w:eastAsia="仿宋" w:cs="仿宋"/>
          <w:color w:val="auto"/>
          <w:sz w:val="25"/>
          <w:szCs w:val="25"/>
          <w:highlight w:val="yellow"/>
          <w:lang w:val="en-US" w:eastAsia="zh-CN"/>
        </w:rPr>
        <w:t>环网临水接入点。</w:t>
      </w:r>
    </w:p>
    <w:p w14:paraId="309460C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临电工程：由甲方按临电施工方案实施至</w:t>
      </w:r>
      <w:r>
        <w:rPr>
          <w:rFonts w:hint="eastAsia" w:ascii="仿宋" w:hAnsi="仿宋" w:eastAsia="仿宋" w:cs="仿宋"/>
          <w:color w:val="FF0000"/>
          <w:sz w:val="25"/>
          <w:szCs w:val="25"/>
          <w:highlight w:val="yellow"/>
          <w:lang w:val="en-US" w:eastAsia="zh-CN"/>
        </w:rPr>
        <w:t>总坪</w:t>
      </w:r>
      <w:r>
        <w:rPr>
          <w:rFonts w:hint="eastAsia" w:ascii="仿宋" w:hAnsi="仿宋" w:eastAsia="仿宋" w:cs="仿宋"/>
          <w:color w:val="auto"/>
          <w:sz w:val="25"/>
          <w:szCs w:val="25"/>
          <w:highlight w:val="yellow"/>
          <w:lang w:val="en-US" w:eastAsia="zh-CN"/>
        </w:rPr>
        <w:t>二级配电箱</w:t>
      </w:r>
      <w:bookmarkStart w:id="49" w:name="_GoBack"/>
      <w:bookmarkEnd w:id="49"/>
      <w:r>
        <w:rPr>
          <w:rFonts w:hint="eastAsia" w:ascii="仿宋" w:hAnsi="仿宋" w:eastAsia="仿宋" w:cs="仿宋"/>
          <w:color w:val="auto"/>
          <w:sz w:val="25"/>
          <w:szCs w:val="25"/>
          <w:highlight w:val="yellow"/>
          <w:lang w:val="en-US" w:eastAsia="zh-CN"/>
        </w:rPr>
        <w:t>。</w:t>
      </w:r>
    </w:p>
    <w:p w14:paraId="63D2CEA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（9）成品保护：成品保护除对乙方自身完成的产品保护外，还应对其他工种、交叉作业队伍产品的保护。</w:t>
      </w:r>
    </w:p>
    <w:p w14:paraId="6BC2D64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（10）来料卸车</w:t>
      </w:r>
    </w:p>
    <w:p w14:paraId="7ED1088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甲方提供的材料如有卸车时，乙方应无条件安排卸车人员并承担相应的费用，包含但不限于人工费用、劳动保护费用等。</w:t>
      </w:r>
    </w:p>
    <w:p w14:paraId="3F5D59C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来料卸车包含的内容：钢筋、砂浆、砼、砖、砂、水泥及其他零星材料等。</w:t>
      </w:r>
    </w:p>
    <w:p w14:paraId="3E5A069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二次及多次转运材料：包括材料、周转材料进场下车、退场装车、水平运输、垂直运输、场地码放以及根据现场需要的其他转运工作。</w:t>
      </w:r>
    </w:p>
    <w:p w14:paraId="1FA783ED">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配合工作</w:t>
      </w:r>
    </w:p>
    <w:p w14:paraId="10C0BA27">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textAlignment w:val="baseline"/>
        <w:rPr>
          <w:rFonts w:hint="default"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 xml:space="preserve">    配合安装等专业预留预埋工作，实施并配合测量放线工作。</w:t>
      </w:r>
    </w:p>
    <w:p w14:paraId="481CC1E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（12）标准化施工</w:t>
      </w:r>
    </w:p>
    <w:p w14:paraId="1B3C046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整个施工区域内的安全文明施工，土方单位退场后，整个施工场地的安全文明施工由乙方全权负责。</w:t>
      </w:r>
    </w:p>
    <w:p w14:paraId="7A1CD5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安全文明施工包含的人、材、机全部由乙方负责（施工缝、集水坑、预留洞口的覆盖）。</w:t>
      </w:r>
    </w:p>
    <w:p w14:paraId="62E6D6B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安全文明施工必需达到州标化工地要求。</w:t>
      </w:r>
    </w:p>
    <w:p w14:paraId="66C7D8E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所有乙方产生的包括但不限于建筑、生活等垃圾的清运。</w:t>
      </w:r>
    </w:p>
    <w:p w14:paraId="26289D8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default"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办公区、生活区卫生清理和维护。</w:t>
      </w:r>
    </w:p>
    <w:p w14:paraId="572C0487">
      <w:pPr>
        <w:spacing w:before="140" w:line="347" w:lineRule="auto"/>
        <w:ind w:right="164" w:firstLine="530"/>
        <w:jc w:val="both"/>
        <w:rPr>
          <w:rFonts w:ascii="仿宋" w:hAnsi="仿宋" w:eastAsia="仿宋" w:cs="仿宋"/>
          <w:color w:val="auto"/>
          <w:sz w:val="25"/>
          <w:szCs w:val="25"/>
        </w:rPr>
      </w:pPr>
      <w:r>
        <w:rPr>
          <w:rFonts w:ascii="仿宋" w:hAnsi="仿宋" w:eastAsia="仿宋" w:cs="仿宋"/>
          <w:color w:val="auto"/>
          <w:spacing w:val="-14"/>
          <w:sz w:val="25"/>
          <w:szCs w:val="25"/>
        </w:rPr>
        <w:t>上述工程项目包括</w:t>
      </w:r>
      <w:r>
        <w:rPr>
          <w:rFonts w:hint="eastAsia" w:ascii="仿宋" w:hAnsi="仿宋" w:eastAsia="仿宋" w:cs="仿宋"/>
          <w:color w:val="auto"/>
          <w:spacing w:val="-14"/>
          <w:sz w:val="25"/>
          <w:szCs w:val="25"/>
          <w:lang w:val="en-US" w:eastAsia="zh-CN"/>
        </w:rPr>
        <w:t>除甲供材料以外的所有人工、材料、机械等内容</w:t>
      </w:r>
      <w:r>
        <w:rPr>
          <w:rFonts w:ascii="仿宋" w:hAnsi="仿宋" w:eastAsia="仿宋" w:cs="仿宋"/>
          <w:color w:val="auto"/>
          <w:spacing w:val="-9"/>
          <w:sz w:val="25"/>
          <w:szCs w:val="25"/>
        </w:rPr>
        <w:t>。</w:t>
      </w:r>
    </w:p>
    <w:p w14:paraId="44A1A2E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2、主要施工内容</w:t>
      </w:r>
    </w:p>
    <w:p w14:paraId="2974527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FF0000"/>
          <w:sz w:val="25"/>
          <w:szCs w:val="25"/>
          <w:highlight w:val="none"/>
          <w:lang w:val="en-US" w:eastAsia="zh-CN"/>
        </w:rPr>
        <w:t>(1)按设计、施工方案要求工序施工。</w:t>
      </w:r>
    </w:p>
    <w:p w14:paraId="1C808C1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砌筑工程：</w:t>
      </w:r>
      <w:r>
        <w:rPr>
          <w:rFonts w:hint="eastAsia" w:ascii="仿宋" w:hAnsi="仿宋" w:eastAsia="仿宋" w:cs="仿宋"/>
          <w:color w:val="auto"/>
          <w:sz w:val="25"/>
          <w:szCs w:val="25"/>
          <w:highlight w:val="none"/>
          <w:lang w:val="en-US" w:eastAsia="zh-CN"/>
        </w:rPr>
        <w:t>包含砂浆拌合制作、墙体砌筑，钢丝网加强、封堵、刮缝、浇水养护等完成该项工作的全部工序（工序不逐一列举，砂浆强度、砌体厚度、抹灰厚度等已综合考虑在综合单价中）；主材砖、砂、水泥、钢筋、等主材由甲方采购，其他辅材及消耗性材料、工器具由乙方自采，费用包含在单价内；包含材料及工器具（含甲供材）的垂直运输费、水平运输费、多次搬运费、上下车费、材料保管费、卫生清洁费（建筑垃圾按甲方项目部要求集中堆放）、砖、水泥及砂、砂浆等材料堆场的搭设费（材料堆场或加工棚的搭设按甲方项目部要求完成）费用包含在单价内；包含完成本项工作所需的措施费（如砌筑操作架、超高砌筑措施费，不逐一列举)、及劳保防护用品费，费用包含在单价内；</w:t>
      </w:r>
    </w:p>
    <w:p w14:paraId="176865F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保温层铺设：</w:t>
      </w:r>
      <w:r>
        <w:rPr>
          <w:rFonts w:hint="eastAsia" w:ascii="仿宋" w:hAnsi="仿宋" w:eastAsia="仿宋" w:cs="仿宋"/>
          <w:color w:val="auto"/>
          <w:sz w:val="25"/>
          <w:szCs w:val="25"/>
          <w:highlight w:val="none"/>
          <w:lang w:val="en-US" w:eastAsia="zh-CN"/>
        </w:rPr>
        <w:t>保温材料铺设(挤塑聚苯板、岩棉板、垫层聚苯泡沫板等）基层清理、刷粘结材料、铺粘保温层、铺、刷（喷）防护材料等完成该项工作的全部工序（工序不逐一列举，保温层采用等何种方式运输、不分部位、不分规格型号、不分施工工艺、不分材质已考虑在综合单价中）；保温材料由甲方采购，其他周转材料、辅材及消耗性材料、工器具由乙方自采，费用包含在单价中；包含材料及工器具（含甲供材）的垂直运输费、水平运输费、多次搬运费、上下车费、材料保管费、卫生清洁费（建筑垃圾按甲方项目部要求集中堆放）；包含保温材料等材料堆场的搭设费（材料堆场或加工棚的搭设按甲方项目部要求完成，费用包含在单价内）；包含措施费用（如操作架、超高措施费，不逐一列举）、及劳保防护用品费用；</w:t>
      </w:r>
    </w:p>
    <w:p w14:paraId="3146C09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内外墙面抹灰、天棚抹灰：</w:t>
      </w:r>
      <w:r>
        <w:rPr>
          <w:rFonts w:hint="eastAsia" w:ascii="仿宋" w:hAnsi="仿宋" w:eastAsia="仿宋" w:cs="仿宋"/>
          <w:color w:val="auto"/>
          <w:sz w:val="25"/>
          <w:szCs w:val="25"/>
          <w:highlight w:val="none"/>
          <w:lang w:val="en-US" w:eastAsia="zh-CN"/>
        </w:rPr>
        <w:t>包含基层清理、砂浆制作运输、架体搭设、底层抹灰、抹面层、成品挤塑板铺设（工序不逐一列举，水泥砂浆采用地泵或车泵等何种方式输送、水泥砂浆不分部位、不分强度等级、不分施工工艺、不分材质已考虑在综合单价中）；砂、水泥、成品挤塑板等由甲方采购，其他辅材及消耗性材料、工器具由乙方自采，费用包含在单价中；包含不同材料处钢丝网铺贴、拍浆等；包含门窗及管线开槽的修补；包含材料及工器具（含甲供材）的垂直运输费、水平运输费、多次搬运费、上下车费、材料保管费、卫生清洁费（建筑垃圾按甲方项目部要求集中堆放）；包含砂浆等材料堆场的搭设费（材料堆场或加工棚的搭设按甲方项目部要求完成，费用包含在单价内）；包含完成本项工作所需的措施费用（如抹灰操作架（如有）、超高措施费，不逐一列举）、及劳保防护用品费用；</w:t>
      </w:r>
    </w:p>
    <w:p w14:paraId="74B0C4D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人工捡底：</w:t>
      </w:r>
      <w:r>
        <w:rPr>
          <w:rFonts w:hint="eastAsia" w:ascii="仿宋" w:hAnsi="仿宋" w:eastAsia="仿宋" w:cs="仿宋"/>
          <w:color w:val="auto"/>
          <w:sz w:val="25"/>
          <w:szCs w:val="25"/>
          <w:highlight w:val="none"/>
          <w:lang w:val="en-US" w:eastAsia="zh-CN"/>
        </w:rPr>
        <w:t>包含基底范围土方人工捡底、平整、清理、标高控制放线、施工期间的抽排水等（工序不逐一列举，人工捡底不分方式、不分部位、不分土质情况、不分施工工艺已考虑在综合单价中）；辅材及消耗性材料、工器具由乙方自采，费用包含在单价中；包含材料及工器具（含甲供材）的垂直运输费、水平运输费、多次搬运费、上下车费、材料保管费、卫生清洁费（建筑垃圾按甲方项目部要求集中堆放）；包含土方等材料堆场的搭设费（材料堆场或加工棚的搭设按甲方项目部要求完成，费用包含在单价内）；包含完成本项工作所需的措施费用（如超高措施费，不逐一列举）、及劳保防护用品费用；</w:t>
      </w:r>
    </w:p>
    <w:p w14:paraId="399AE1D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钢筋制作安装：</w:t>
      </w:r>
      <w:r>
        <w:rPr>
          <w:rFonts w:hint="eastAsia" w:ascii="仿宋" w:hAnsi="仿宋" w:eastAsia="仿宋" w:cs="仿宋"/>
          <w:color w:val="auto"/>
          <w:sz w:val="25"/>
          <w:szCs w:val="25"/>
          <w:highlight w:val="none"/>
          <w:lang w:val="en-US" w:eastAsia="zh-CN"/>
        </w:rPr>
        <w:t>包含钢筋制作、加工、焊接和套筒连接、安装（工序不逐一列举，钢筋制作安装不分方式、不分部位、不分钢筋连接方式、不分钢筋的类型及级别、不分施工工艺、砌体及二次结构钢筋所采用施工方式（植筋/预留预埋）已考虑在综合单价中）、钢板止水带焊接、塔吊基础钢筋制作安装；主材钢筋、套筒、止水钢板由甲方采购；其他辅材及消耗性材料、工器具由乙方自采，费用包含在单价中；包含材料及工器具（含甲供材）的垂直运输费、水平运输费、多次搬运费、上下车费、材料保管费、卫生清洁费（建筑垃圾按甲方项目部要求集中堆放）；包含钢筋等材料堆场的搭设费（材料堆场或加工棚的搭设按甲方项目部要求完成，费用包含在单价内）；包含完成本项工作所需的措施费用（如操作架、超高措施费，不逐一列举）、及劳保防护用品费用；</w:t>
      </w:r>
    </w:p>
    <w:p w14:paraId="391F22BC">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模板搭拆费：</w:t>
      </w:r>
      <w:r>
        <w:rPr>
          <w:rFonts w:hint="eastAsia" w:ascii="仿宋" w:hAnsi="仿宋" w:eastAsia="仿宋" w:cs="仿宋"/>
          <w:color w:val="auto"/>
          <w:sz w:val="25"/>
          <w:szCs w:val="25"/>
          <w:highlight w:val="none"/>
          <w:lang w:val="en-US" w:eastAsia="zh-CN"/>
        </w:rPr>
        <w:t>包含模板及支撑的加工制作、安装、拆除、清理、整理堆放、涂刷隔离剂、止水螺栓的截断封堵防腐防锈等（工序不逐一列举，模板制作安装不分方式、不分部位、不分施工工艺已考虑在综合单价中）；超高模板增加费、地下室满堂脚手架费用、模板及支撑材料等为完成本项工作所用主材、辅材及消耗性材料、工器具均由乙方自采，费用包含在单价中。止水螺栓由甲方采购；包含材料及工器具（含甲供材）的垂直运输费、水平运输费、多次搬运费、上下车费、材料保管费、卫生清洁费（建筑垃圾按甲方项目部要求集中堆放）；包含模板、钢管、扣减、顶托材料等材料堆场的搭设费（材料堆场或加工棚的搭设按甲方项目部要求完成，费用包含在单价内）；包含完成本项工作所需的措施费用（如操作架、超高措施费，不逐一列举）、及劳保防护用品费用；</w:t>
      </w:r>
    </w:p>
    <w:p w14:paraId="4D6C5F2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地上地下外脚手架、内局部支撑脚手架制安：</w:t>
      </w:r>
      <w:r>
        <w:rPr>
          <w:rFonts w:hint="eastAsia" w:ascii="仿宋" w:hAnsi="仿宋" w:eastAsia="仿宋" w:cs="仿宋"/>
          <w:color w:val="auto"/>
          <w:sz w:val="25"/>
          <w:szCs w:val="25"/>
          <w:highlight w:val="none"/>
          <w:lang w:val="en-US" w:eastAsia="zh-CN"/>
        </w:rPr>
        <w:t>项目范围内竣工验收前结构图及建筑图的所有脚手架工程承包内容（包工包料）包含按甲方提供的外架施工方案搭设、按规范要求、包括定额规定综合外脚手架搭设全工序内容；包含材料进场整理并运至场内指定地点堆放、材料分类归集、堆码，工程完工材料拆除后钢管、安全网、扣件分类堆放到项目部指定地点及时运出工地等全部工作内容；包含施工中的钢管脚手架维护和修缮工作，定期清理安全网、兜底网；包含钢管、扣减、悬挑槽钢等乙方提供的材料必须符合国家现行规范、行业标准（以标准高者为准）验收标准，并按当地安监站规定要求材料送检，提供检测合格报告发包人；相关费用综合考虑在综合单价内；包含红白油漆涂刷，按文明施工要求安装、标识标牌、临边洞口防护;密目网、水平兜网、水平硬防护、挑板等按规范要求的所有材料均包含在单价内；包含材料及工器具（含甲供材）的垂直运输费、水平运输费、多次搬运费、上下车费、材料保管费、卫生清洁费（建筑垃圾按甲方项目部要求集中堆放）；模板、钢管、扣减、顶托材料等材料堆场的搭设费（材料堆场或加工棚的搭设按甲方项目部要求完成，费用包含在单价内）包含完成本项工作所需的措施费用（如操作架、超高措施费，不逐一列举）、及劳保防护用品费用；</w:t>
      </w:r>
    </w:p>
    <w:p w14:paraId="0F8A0FC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安全文明施工费及迎检费：</w:t>
      </w:r>
      <w:r>
        <w:rPr>
          <w:rFonts w:hint="eastAsia" w:ascii="仿宋" w:hAnsi="仿宋" w:eastAsia="仿宋" w:cs="仿宋"/>
          <w:color w:val="auto"/>
          <w:sz w:val="25"/>
          <w:szCs w:val="25"/>
          <w:highlight w:val="none"/>
          <w:lang w:val="en-US" w:eastAsia="zh-CN"/>
        </w:rPr>
        <w:t>乙方提供人员配合甲方完成迎检及安全文明施工设施设备的配置、悬挂标识标牌、标语、搭设迎检或安全通道、搭设甲方提供的成品定型防护围栏、成品定型外墙防护网，卫生清洁、裸土覆盖（室外总平进场后裸土覆盖由总坪单位负责）、演练、宣传片拍摄等具体以项目部安排为准，其费用包含在单价中。标识标牌、标语、裸土覆盖密目网、成品定型防护围栏、成品定型外墙防护网由甲方提供（具体要求按甲方要求为准）。</w:t>
      </w:r>
    </w:p>
    <w:p w14:paraId="1450597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二次深化设计：</w:t>
      </w:r>
      <w:r>
        <w:rPr>
          <w:rFonts w:hint="eastAsia" w:ascii="仿宋" w:hAnsi="仿宋" w:eastAsia="仿宋" w:cs="仿宋"/>
          <w:color w:val="auto"/>
          <w:sz w:val="25"/>
          <w:szCs w:val="25"/>
          <w:highlight w:val="none"/>
          <w:lang w:val="en-US" w:eastAsia="zh-CN"/>
        </w:rPr>
        <w:t>如需要二次深化设计的均需在原设计基础上进行，并经设计与业主方确认。所有二次深化设计均需满足施工、验收和相应国家规范标准的要求。需要编制专项施工方案的，乙方应组织编制并报甲方审核。</w:t>
      </w:r>
    </w:p>
    <w:p w14:paraId="55DD631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(2)以上工作内容涉及到的全部人工费、材料费、机械费、设备费、管理费、利润、一切风险费、安全文明施工费、规费、税金等均由乙方自行负责，相关价格已包含在合同价格中，不再另行计价。</w:t>
      </w:r>
    </w:p>
    <w:p w14:paraId="2125D30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(3)以上施工内容为列举，未尽事宜均包含在本合同分包范围且均属于乙方施工内容，施工图纸或设计内容有增减或调整的，工程量对应增减，但不因任何原因调整合同单价。</w:t>
      </w:r>
    </w:p>
    <w:p w14:paraId="2174A7E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(4)乙方负责现场文明施工、环境保护、水土保持工作及施工现场的安全、文明施工的管理。</w:t>
      </w:r>
    </w:p>
    <w:p w14:paraId="7C050B9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(5)乙方设备险及职工的（人身）事故险、未单独计列的生产生活用临时设施等为了本工程的顺利实施而可能发生的一切费用，均包含在合同价内。</w:t>
      </w:r>
    </w:p>
    <w:p w14:paraId="5662B3F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(6)为完成以上各工程项目所需的全部附属及临时工程施工，以及为完成本合同工程所做的其它一切准备工作。</w:t>
      </w:r>
    </w:p>
    <w:p w14:paraId="70FA790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(7)该工程不允许以任何形式转包，若被发现转包，取消乙方工程承包权，对完成工程量不予结算，合同自动失效，且甲方将对乙方进行经济处罚，造成甲方损失的，乙方应当赔偿甲方相应损失。</w:t>
      </w:r>
    </w:p>
    <w:p w14:paraId="40E0FB1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3、工程量</w:t>
      </w:r>
    </w:p>
    <w:p w14:paraId="667B53C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详见后附工程量计价清单，</w:t>
      </w:r>
      <w:r>
        <w:rPr>
          <w:rFonts w:hint="eastAsia" w:ascii="仿宋" w:hAnsi="仿宋" w:eastAsia="仿宋" w:cs="仿宋"/>
          <w:color w:val="auto"/>
          <w:sz w:val="25"/>
          <w:szCs w:val="25"/>
          <w:highlight w:val="none"/>
          <w:lang w:val="en-US" w:eastAsia="zh-CN"/>
        </w:rPr>
        <w:t>清单中工程数量为暂定量，乙方不能由于工程量的变化而调整清单单价。</w:t>
      </w:r>
    </w:p>
    <w:p w14:paraId="5EA0C52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合同外劳务作业单价确认：对于新增加的劳务作业项目，应遵循先签合同后施工的原则，按合同明确的单价、工程量计算原则、工程量签认程序和时效性执行。特殊紧急情况下未签合同的劳务作业项目，其新增加项目劳务单价的确定，首先选用本合同劳务单价中合适或相近作业内容单价；若无合适或相近的劳务单价时，甲方可参照同行业同类劳务予以确定。</w:t>
      </w:r>
    </w:p>
    <w:p w14:paraId="118B3FAA">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4、知识产权</w:t>
      </w:r>
    </w:p>
    <w:p w14:paraId="5BD0F37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68A0873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(2)除本合同另有约定外，乙方在合同签订前和签订时已确定采用的专利、专有技术、技术秘密的使用费已包含在签约合同价中。</w:t>
      </w:r>
    </w:p>
    <w:p w14:paraId="3785117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5、合同工期</w:t>
      </w:r>
    </w:p>
    <w:p w14:paraId="7EDFC8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FF0000"/>
          <w:sz w:val="25"/>
          <w:szCs w:val="25"/>
          <w:highlight w:val="none"/>
          <w:lang w:val="en-US" w:eastAsia="zh-CN"/>
        </w:rPr>
      </w:pP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1</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开工日期以甲方通知为准，施工时间 严格按工程部进度计划。本合同工期以甲方制订的总体施工进度计划为准，如需调整，以甲方调整后的进度计划要求时间为准。</w:t>
      </w:r>
    </w:p>
    <w:p w14:paraId="00F1174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进度计划：乙方按建设单位和甲方要求的计划组织施工，确保作业期限。乙方除满足主合同约定的节点工期以外，还应满足甲方安排的期间计划(周计划、月计划)。若由于乙方原因(包括但不限于：人员数量、质量、管理水平、施工能力等)不能完成甲方期间计划的，已经或预计会影响劳务作业项目的合同工期时，甲方提出口头或书面警告并限期整改。若在限期整改时间内仍不满足期间计划时，甲方可提前解除本合同并另选劳务队伍进场，乙方承诺 5 日内无条件退场完毕，由此造成的损失由乙方自行承担并赔偿因此给甲方造成的损失。在施工过程中，如乙方出现消极怠工，阻挠施工，中途停工等非正常方式延误工期情形的，甲方有权单方解除合同，责令其立即退出施工场地，若乙方于解除合同后不按甲方规定时间撤出施工场地的。场地占用费金额为</w:t>
      </w:r>
      <w:r>
        <w:rPr>
          <w:rFonts w:hint="eastAsia" w:ascii="仿宋" w:hAnsi="仿宋" w:eastAsia="仿宋" w:cs="仿宋"/>
          <w:b/>
          <w:bCs/>
          <w:color w:val="auto"/>
          <w:sz w:val="25"/>
          <w:szCs w:val="25"/>
          <w:highlight w:val="none"/>
          <w:u w:val="single"/>
          <w:lang w:val="en-US" w:eastAsia="zh-CN"/>
        </w:rPr>
        <w:t xml:space="preserve">5000 </w:t>
      </w:r>
      <w:r>
        <w:rPr>
          <w:rFonts w:hint="eastAsia" w:ascii="仿宋" w:hAnsi="仿宋" w:eastAsia="仿宋" w:cs="仿宋"/>
          <w:color w:val="auto"/>
          <w:sz w:val="25"/>
          <w:szCs w:val="25"/>
          <w:highlight w:val="none"/>
          <w:lang w:val="en-US" w:eastAsia="zh-CN"/>
        </w:rPr>
        <w:t>元/天，违约金为</w:t>
      </w:r>
      <w:r>
        <w:rPr>
          <w:rFonts w:hint="eastAsia" w:ascii="仿宋" w:hAnsi="仿宋" w:eastAsia="仿宋" w:cs="仿宋"/>
          <w:b/>
          <w:bCs/>
          <w:color w:val="auto"/>
          <w:sz w:val="25"/>
          <w:szCs w:val="25"/>
          <w:highlight w:val="none"/>
          <w:u w:val="single"/>
          <w:lang w:val="en-US" w:eastAsia="zh-CN"/>
        </w:rPr>
        <w:t xml:space="preserve">10000 </w:t>
      </w:r>
      <w:r>
        <w:rPr>
          <w:rFonts w:hint="eastAsia" w:ascii="仿宋" w:hAnsi="仿宋" w:eastAsia="仿宋" w:cs="仿宋"/>
          <w:color w:val="auto"/>
          <w:sz w:val="25"/>
          <w:szCs w:val="25"/>
          <w:highlight w:val="none"/>
          <w:lang w:val="en-US" w:eastAsia="zh-CN"/>
        </w:rPr>
        <w:t>元/天，若对甲方造成损失的，乙方还应赔偿甲方的损失。</w:t>
      </w:r>
    </w:p>
    <w:p w14:paraId="0F11BB2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(3)工期延误</w:t>
      </w:r>
    </w:p>
    <w:p w14:paraId="20E4583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如果关键线路的节点工期在发生以下情形之一而造成工期延误，经甲方书面确认后，工期顺延：</w:t>
      </w:r>
    </w:p>
    <w:p w14:paraId="49D9AEB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a. 重大设计变更；</w:t>
      </w:r>
    </w:p>
    <w:p w14:paraId="343F1E9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b.重大自然灾害、不可抗力；</w:t>
      </w:r>
    </w:p>
    <w:p w14:paraId="40C2E65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c.由于业主原因导致停工；</w:t>
      </w:r>
    </w:p>
    <w:p w14:paraId="0393D8B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d.甲方书面同意工期顺延的其它情况。</w:t>
      </w:r>
    </w:p>
    <w:p w14:paraId="1984B6C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应在发生工期延误造成窝工事实后5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602514D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(5)因乙方原因导致工期延误，工期不予顺延，乙方应采取有效的赶工措施并承担增加的费用以及其他经济损失，包含工期延误产生的业主方罚款及违约金。</w:t>
      </w:r>
    </w:p>
    <w:p w14:paraId="075DF19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(6)业主及甲方需提前完成工期时，有关事宜由双方协商解决另行约定。</w:t>
      </w:r>
    </w:p>
    <w:p w14:paraId="597B2B9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6" w:name="_Toc22615"/>
      <w:r>
        <w:rPr>
          <w:rFonts w:hint="eastAsia" w:ascii="仿宋" w:hAnsi="仿宋" w:eastAsia="仿宋" w:cs="仿宋"/>
          <w:b/>
          <w:bCs/>
          <w:color w:val="auto"/>
          <w:sz w:val="25"/>
          <w:szCs w:val="25"/>
          <w:highlight w:val="none"/>
          <w:lang w:val="en-US" w:eastAsia="zh-CN"/>
        </w:rPr>
        <w:t>三、合同价款</w:t>
      </w:r>
      <w:bookmarkEnd w:id="6"/>
    </w:p>
    <w:p w14:paraId="0BB4817E">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1、合同总额</w:t>
      </w:r>
    </w:p>
    <w:p w14:paraId="78A09F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lang w:val="en-US" w:eastAsia="zh-CN"/>
        </w:rPr>
      </w:pPr>
      <w:r>
        <w:rPr>
          <w:rFonts w:hint="eastAsia" w:ascii="仿宋" w:hAnsi="仿宋" w:eastAsia="仿宋" w:cs="仿宋"/>
          <w:color w:val="FF0000"/>
          <w:sz w:val="25"/>
          <w:szCs w:val="25"/>
          <w:highlight w:val="none"/>
          <w:lang w:val="en-US" w:eastAsia="zh-CN"/>
        </w:rPr>
        <w:t>本合同采用</w:t>
      </w:r>
      <w:r>
        <w:rPr>
          <w:rFonts w:hint="eastAsia" w:ascii="仿宋" w:hAnsi="仿宋" w:eastAsia="仿宋" w:cs="仿宋"/>
          <w:color w:val="FF0000"/>
          <w:sz w:val="25"/>
          <w:szCs w:val="25"/>
          <w:highlight w:val="none"/>
          <w:u w:val="single"/>
          <w:lang w:val="en-US" w:eastAsia="zh-CN"/>
        </w:rPr>
        <w:t>固定全费用综合单价</w:t>
      </w:r>
      <w:r>
        <w:rPr>
          <w:rFonts w:hint="eastAsia" w:ascii="仿宋" w:hAnsi="仿宋" w:eastAsia="仿宋" w:cs="仿宋"/>
          <w:color w:val="FF0000"/>
          <w:sz w:val="25"/>
          <w:szCs w:val="25"/>
          <w:highlight w:val="none"/>
          <w:lang w:val="en-US" w:eastAsia="zh-CN"/>
        </w:rPr>
        <w:t>承包方式，具体详见后附工程量计价清单。暂定合同总价金额(含税):</w:t>
      </w:r>
      <w:r>
        <w:rPr>
          <w:rFonts w:hint="eastAsia" w:ascii="仿宋" w:hAnsi="仿宋" w:eastAsia="仿宋" w:cs="仿宋"/>
          <w:color w:val="FF0000"/>
          <w:sz w:val="25"/>
          <w:szCs w:val="25"/>
          <w:highlight w:val="none"/>
          <w:u w:val="single"/>
          <w:lang w:val="en-US" w:eastAsia="zh-CN"/>
        </w:rPr>
        <w:t xml:space="preserve">  **** </w:t>
      </w:r>
      <w:r>
        <w:rPr>
          <w:rFonts w:hint="eastAsia" w:ascii="仿宋" w:hAnsi="仿宋" w:eastAsia="仿宋" w:cs="仿宋"/>
          <w:color w:val="FF0000"/>
          <w:sz w:val="25"/>
          <w:szCs w:val="25"/>
          <w:highlight w:val="none"/>
          <w:lang w:val="en-US" w:eastAsia="zh-CN"/>
        </w:rPr>
        <w:t>元，(大写：人 民 币</w:t>
      </w:r>
      <w:r>
        <w:rPr>
          <w:rFonts w:hint="eastAsia" w:ascii="仿宋" w:hAnsi="仿宋" w:eastAsia="仿宋" w:cs="仿宋"/>
          <w:color w:val="FF0000"/>
          <w:sz w:val="25"/>
          <w:szCs w:val="25"/>
          <w:highlight w:val="none"/>
          <w:u w:val="single"/>
          <w:lang w:val="en-US" w:eastAsia="zh-CN"/>
        </w:rPr>
        <w:t xml:space="preserve">  **********    </w:t>
      </w:r>
      <w:r>
        <w:rPr>
          <w:rFonts w:hint="eastAsia" w:ascii="仿宋" w:hAnsi="仿宋" w:eastAsia="仿宋" w:cs="仿宋"/>
          <w:color w:val="FF0000"/>
          <w:sz w:val="25"/>
          <w:szCs w:val="25"/>
          <w:highlight w:val="none"/>
          <w:lang w:val="en-US" w:eastAsia="zh-CN"/>
        </w:rPr>
        <w:t>),增值税税率为3%,其中不含增值税价款为</w:t>
      </w:r>
      <w:r>
        <w:rPr>
          <w:rFonts w:hint="eastAsia" w:ascii="仿宋" w:hAnsi="仿宋" w:eastAsia="仿宋" w:cs="仿宋"/>
          <w:color w:val="FF0000"/>
          <w:sz w:val="25"/>
          <w:szCs w:val="25"/>
          <w:highlight w:val="none"/>
          <w:u w:val="single"/>
          <w:lang w:val="en-US" w:eastAsia="zh-CN"/>
        </w:rPr>
        <w:t xml:space="preserve"> ******* </w:t>
      </w:r>
      <w:r>
        <w:rPr>
          <w:rFonts w:hint="eastAsia" w:ascii="仿宋" w:hAnsi="仿宋" w:eastAsia="仿宋" w:cs="仿宋"/>
          <w:color w:val="FF0000"/>
          <w:sz w:val="25"/>
          <w:szCs w:val="25"/>
          <w:highlight w:val="none"/>
          <w:lang w:val="en-US" w:eastAsia="zh-CN"/>
        </w:rPr>
        <w:t>元，增值税额为</w:t>
      </w:r>
      <w:r>
        <w:rPr>
          <w:rFonts w:hint="eastAsia" w:ascii="仿宋" w:hAnsi="仿宋" w:eastAsia="仿宋" w:cs="仿宋"/>
          <w:color w:val="FF0000"/>
          <w:sz w:val="25"/>
          <w:szCs w:val="25"/>
          <w:highlight w:val="none"/>
          <w:u w:val="single"/>
          <w:lang w:val="en-US" w:eastAsia="zh-CN"/>
        </w:rPr>
        <w:t xml:space="preserve">********** </w:t>
      </w:r>
      <w:r>
        <w:rPr>
          <w:rFonts w:hint="eastAsia" w:ascii="仿宋" w:hAnsi="仿宋" w:eastAsia="仿宋" w:cs="仿宋"/>
          <w:color w:val="FF0000"/>
          <w:sz w:val="25"/>
          <w:szCs w:val="25"/>
          <w:highlight w:val="none"/>
          <w:lang w:val="en-US" w:eastAsia="zh-CN"/>
        </w:rPr>
        <w:t>元。</w:t>
      </w:r>
    </w:p>
    <w:p w14:paraId="670F7F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单价在合同执行期间，无论工程量、材料费、人工费、机械费或其它工程风险是否变化，合同单价均不作调整。暂定总价不作为结算支付依据，最终以经甲方验收合格并经签认的满足计量验收规范的实际完成的合格劳务作业量作为结算依据。</w:t>
      </w:r>
    </w:p>
    <w:p w14:paraId="430F90AC">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2、合同单价</w:t>
      </w:r>
    </w:p>
    <w:p w14:paraId="46A046B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单价中包含且不限于以下内容：除本合同约定甲供材料外为完成施工项目所需人工费、材料费、机械费，人员和机械的进出场费、油料费、生活设施费、安全文明施工费、环境保护费、人员及设备保险费用、综合管理费、合理利润、税金以及为完成合同规定所有项目工作所采取的临时措施费(含乙方为满足自身施工需要临时修建便道)等所有可能发生一切费用。还包括但不限于因国家法律法规及政策的变化、气候季节、地质水文、市场价格变化、因施工特殊处置项目等影响正常施工而降效增加的费用，施工环境、工程量增减、外部阻碍以及工序协调等各项风险因素导致的施工停滞窝工费等；乙方应充分考虑本工程施工的风险，风险费用已含在合同单价中，甲方不再承担由于任何风险引起的费用。在合同履行过程中和合同履行完毕后，甲乙双方不得以任何理由要求调整本合同单价。</w:t>
      </w:r>
    </w:p>
    <w:p w14:paraId="6B2408E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25E63D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合同价清单项目所包含的工序在实际施工过程中若有部分工序非分包人完成时，承包人将扣除相应工序的总价。分包人为实施本工程发生的全部费用已包含在上述费用中，分包人不得以任何理由要求承包人额外支付任何费用。</w:t>
      </w:r>
    </w:p>
    <w:p w14:paraId="04108BE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（4）如因施工需要调整施工工序和方法，乙方承诺予以执行，并不因此调整单价，增加费用。如因甲方需要，调用乙方机械和人员，乙方应积极予以配合。</w:t>
      </w:r>
    </w:p>
    <w:p w14:paraId="336E19A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（5）如果实施过程中发生工程量清单以外的项目，新增项目单价双方遵循市场价格原则协商确定。</w:t>
      </w:r>
    </w:p>
    <w:p w14:paraId="4C1ED240">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3、税费的承担</w:t>
      </w:r>
    </w:p>
    <w:p w14:paraId="6F40E70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bookmarkStart w:id="7" w:name="bookmark27"/>
      <w:bookmarkEnd w:id="7"/>
      <w:r>
        <w:rPr>
          <w:rFonts w:hint="eastAsia" w:ascii="仿宋" w:hAnsi="仿宋" w:eastAsia="仿宋" w:cs="仿宋"/>
          <w:color w:val="auto"/>
          <w:sz w:val="25"/>
          <w:szCs w:val="25"/>
          <w:highlight w:val="none"/>
          <w:lang w:val="en-US" w:eastAsia="zh-CN"/>
        </w:rPr>
        <w:t>本工程税金(增值税、企业所得税、城市维护建设税及教育附加费)和其他 税费已包含在合同单价及合同总价中，由乙方自行缴纳。其中，增值税按照</w:t>
      </w:r>
      <w:r>
        <w:rPr>
          <w:rFonts w:hint="eastAsia" w:ascii="仿宋" w:hAnsi="仿宋" w:eastAsia="仿宋" w:cs="仿宋"/>
          <w:b/>
          <w:bCs/>
          <w:color w:val="auto"/>
          <w:sz w:val="25"/>
          <w:szCs w:val="25"/>
          <w:highlight w:val="none"/>
          <w:lang w:val="en-US" w:eastAsia="zh-CN"/>
        </w:rPr>
        <w:t>简易计税法</w:t>
      </w:r>
      <w:r>
        <w:rPr>
          <w:rFonts w:hint="eastAsia" w:ascii="仿宋" w:hAnsi="仿宋" w:eastAsia="仿宋" w:cs="仿宋"/>
          <w:color w:val="auto"/>
          <w:sz w:val="25"/>
          <w:szCs w:val="25"/>
          <w:highlight w:val="none"/>
          <w:lang w:val="en-US" w:eastAsia="zh-CN"/>
        </w:rPr>
        <w:t>，征收率为</w:t>
      </w:r>
      <w:r>
        <w:rPr>
          <w:rFonts w:hint="eastAsia" w:ascii="仿宋" w:hAnsi="仿宋" w:eastAsia="仿宋" w:cs="仿宋"/>
          <w:b/>
          <w:bCs/>
          <w:color w:val="auto"/>
          <w:sz w:val="25"/>
          <w:szCs w:val="25"/>
          <w:highlight w:val="none"/>
          <w:lang w:val="en-US" w:eastAsia="zh-CN"/>
        </w:rPr>
        <w:t>3%</w:t>
      </w:r>
      <w:r>
        <w:rPr>
          <w:rFonts w:hint="eastAsia" w:ascii="仿宋" w:hAnsi="仿宋" w:eastAsia="仿宋" w:cs="仿宋"/>
          <w:color w:val="auto"/>
          <w:sz w:val="25"/>
          <w:szCs w:val="25"/>
          <w:highlight w:val="none"/>
          <w:lang w:val="en-US" w:eastAsia="zh-CN"/>
        </w:rPr>
        <w:t>,乙方办理结算后，必须向甲方提供</w:t>
      </w:r>
      <w:r>
        <w:rPr>
          <w:rFonts w:hint="eastAsia" w:ascii="仿宋" w:hAnsi="仿宋" w:eastAsia="仿宋" w:cs="仿宋"/>
          <w:b/>
          <w:bCs/>
          <w:color w:val="auto"/>
          <w:sz w:val="25"/>
          <w:szCs w:val="25"/>
          <w:highlight w:val="none"/>
          <w:lang w:val="en-US" w:eastAsia="zh-CN"/>
        </w:rPr>
        <w:t>3%的增值税专用发票</w:t>
      </w:r>
      <w:r>
        <w:rPr>
          <w:rFonts w:hint="eastAsia" w:ascii="仿宋" w:hAnsi="仿宋" w:eastAsia="仿宋" w:cs="仿宋"/>
          <w:color w:val="auto"/>
          <w:sz w:val="25"/>
          <w:szCs w:val="25"/>
          <w:highlight w:val="none"/>
          <w:lang w:val="en-US" w:eastAsia="zh-CN"/>
        </w:rPr>
        <w:t>(发票备注栏须填写项目名称及项目施工地点),提供发票中的甲方名称必须符合要求，收到发票后，甲方财务部门方可办理挂账支付手续。</w:t>
      </w:r>
    </w:p>
    <w:p w14:paraId="5644FEC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乙方未能及时向甲方提供足额增值税专用发票的，甲方有权拒绝付款。</w:t>
      </w:r>
    </w:p>
    <w:p w14:paraId="450C224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若乙方开具的发票不规范、不合法或者涉嫌虚开的，乙方应向甲方承担相应 的赔偿责任；同时，乙方应当按照甲方的要求重新开具合法合规且符合本合同约定的发票。</w:t>
      </w:r>
    </w:p>
    <w:p w14:paraId="41BD336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 损失的，乙方还应予以赔偿。甲方可以在应当支付给乙方的工程进度款中直接将前述违约金和赔偿金予以扣除。</w:t>
      </w:r>
    </w:p>
    <w:p w14:paraId="779730A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8" w:name="_Toc6186"/>
      <w:r>
        <w:rPr>
          <w:rFonts w:hint="eastAsia" w:ascii="仿宋" w:hAnsi="仿宋" w:eastAsia="仿宋" w:cs="仿宋"/>
          <w:b/>
          <w:bCs/>
          <w:color w:val="auto"/>
          <w:sz w:val="25"/>
          <w:szCs w:val="25"/>
          <w:highlight w:val="none"/>
          <w:lang w:val="en-US" w:eastAsia="zh-CN"/>
        </w:rPr>
        <w:t>四、双方权利与义务</w:t>
      </w:r>
      <w:bookmarkEnd w:id="8"/>
    </w:p>
    <w:p w14:paraId="52839C1D">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1、甲方权利与义务</w:t>
      </w:r>
    </w:p>
    <w:p w14:paraId="6FF6820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(1)甲方负责工程施工期间工程总进度计划安排、组织、协调工作及工程质量、进度、安全、环保、文明施工的管理、监督、检查。</w:t>
      </w:r>
    </w:p>
    <w:p w14:paraId="2F4E75B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(2)甲方负责进场道路通畅，负责混凝土试验费用、钢筋检验费用等工程方面的各项技术指标的检测检验试验费用。</w:t>
      </w:r>
    </w:p>
    <w:p w14:paraId="4AFFA71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(3)甲方负责组织相关施工图纸的技术、质量、安全、环保等交底工作。 但只对资料本身负责，不对乙方在使用上述资料所作的分析、判断和结论负责。</w:t>
      </w:r>
    </w:p>
    <w:p w14:paraId="664530A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(4)甲方负责组织现场调度会，协调现场施工；甲方负责与业主、监理工程师、设计单位的各种工作联系(包括协商、签证等)。</w:t>
      </w:r>
    </w:p>
    <w:p w14:paraId="24D688F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(5)甲方负责向乙方发布书面开工通知，并向乙方下达承包工程总体进度计划、月工程进度计划及周进度计划。</w:t>
      </w:r>
    </w:p>
    <w:p w14:paraId="4DE7B1B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就承包工程范围内的有关工作，甲方随时可以向乙方发出指令，乙方应执行甲方根据本合同和甲方项目管理规章制度所发出的所有指令。乙方拒不执行指令的，甲方有权采取相应措施或直接委托其他施工单位完成该指令事项，发生</w:t>
      </w:r>
      <w:bookmarkStart w:id="9" w:name="bookmark28"/>
      <w:bookmarkEnd w:id="9"/>
      <w:r>
        <w:rPr>
          <w:rFonts w:hint="eastAsia" w:ascii="仿宋" w:hAnsi="仿宋" w:eastAsia="仿宋" w:cs="仿宋"/>
          <w:color w:val="auto"/>
          <w:sz w:val="25"/>
          <w:szCs w:val="25"/>
          <w:highlight w:val="none"/>
          <w:lang w:val="en-US" w:eastAsia="zh-CN"/>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1DF29F6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(7)负责主要材料或半成品的管理和核销。</w:t>
      </w:r>
    </w:p>
    <w:p w14:paraId="7573AB8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(8)甲方负责对乙方完成的工程量进行审核、计价结算，并按业主资金到位情况进行工程款的支付。</w:t>
      </w:r>
    </w:p>
    <w:p w14:paraId="3F2A2A7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(9)甲方有权要求乙方撤换不能胜任本职工作的管理及施工人员。</w:t>
      </w:r>
    </w:p>
    <w:p w14:paraId="5114C7D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(10)甲方有权对乙方施工工作面存在的安全隐患进行监督、检查，并督促乙方采取整改措施。</w:t>
      </w:r>
    </w:p>
    <w:p w14:paraId="072FC98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(11)甲方有权对乙方的现场资源进行合理调配。</w:t>
      </w:r>
    </w:p>
    <w:p w14:paraId="776C706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(12)甲方有权要求乙方提供甲方认为必要的合法合规票据及资料原件，或将经甲方核对与原件无异的复印件交甲方留存备案。</w:t>
      </w:r>
    </w:p>
    <w:p w14:paraId="492A7CF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2、乙方权利与义务</w:t>
      </w:r>
    </w:p>
    <w:p w14:paraId="08267AD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(1)在接到甲方进场通知后</w:t>
      </w:r>
      <w:r>
        <w:rPr>
          <w:rFonts w:hint="eastAsia" w:ascii="仿宋" w:hAnsi="仿宋" w:eastAsia="仿宋" w:cs="仿宋"/>
          <w:color w:val="auto"/>
          <w:sz w:val="25"/>
          <w:szCs w:val="25"/>
          <w:highlight w:val="none"/>
          <w:u w:val="single"/>
          <w:lang w:val="en-US" w:eastAsia="zh-CN"/>
        </w:rPr>
        <w:t xml:space="preserve">  7 </w:t>
      </w:r>
      <w:r>
        <w:rPr>
          <w:rFonts w:hint="eastAsia" w:ascii="仿宋" w:hAnsi="仿宋" w:eastAsia="仿宋" w:cs="仿宋"/>
          <w:color w:val="auto"/>
          <w:sz w:val="25"/>
          <w:szCs w:val="25"/>
          <w:highlight w:val="none"/>
          <w:lang w:val="en-US" w:eastAsia="zh-CN"/>
        </w:rPr>
        <w:t>日内，乙方应组织人员接受甲方的技术、质量、安全、环保等交底，乙方负责组织人员研究和熟悉施工图纸、按照施工总布置要求、做好各项施工准备工作。</w:t>
      </w:r>
    </w:p>
    <w:p w14:paraId="7AE381E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(2)乙方保证在合同签订后，按承诺组织人员和机械设备进场，组织人员接受甲方的技术、质量、安全、环保等交底，保证开工后立即形成一定的生产能力。如果延期投入乙方承诺：每延期一天按</w:t>
      </w:r>
      <w:r>
        <w:rPr>
          <w:rFonts w:hint="eastAsia" w:ascii="仿宋" w:hAnsi="仿宋" w:eastAsia="仿宋" w:cs="仿宋"/>
          <w:color w:val="auto"/>
          <w:sz w:val="25"/>
          <w:szCs w:val="25"/>
          <w:highlight w:val="none"/>
          <w:u w:val="single"/>
          <w:lang w:val="en-US" w:eastAsia="zh-CN"/>
        </w:rPr>
        <w:t xml:space="preserve"> 3000 </w:t>
      </w:r>
      <w:r>
        <w:rPr>
          <w:rFonts w:hint="eastAsia" w:ascii="仿宋" w:hAnsi="仿宋" w:eastAsia="仿宋" w:cs="仿宋"/>
          <w:color w:val="auto"/>
          <w:sz w:val="25"/>
          <w:szCs w:val="25"/>
          <w:highlight w:val="none"/>
          <w:lang w:val="en-US" w:eastAsia="zh-CN"/>
        </w:rPr>
        <w:t>元/天计算，作为对甲方的损失补偿。</w:t>
      </w:r>
    </w:p>
    <w:p w14:paraId="497E2A6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自行对进场人员进行安全、质量和相关的技能培训并接受甲方的监督检查。特种作业人员必须有作业资格证并持证上岗。必须严格按照《安全操作规程》进行施工，在合同履行过程中，发生一切安全、质量事故均由乙方承担。施工过程中乙方若造成任何人身、财产损失的，责任由乙方承担。</w:t>
      </w:r>
    </w:p>
    <w:p w14:paraId="216EA3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(4)乙方为满足自身施工要求而修建的施工便道和对甲方修建的施工便道进行的整修、维护等相关费用由乙方自行承担，费用含在单价中。</w:t>
      </w:r>
    </w:p>
    <w:p w14:paraId="207FA09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(5)承担因乙方原因造成的业主、监理及行政主管部门等对甲方的罚款以及合同约定乙方应向甲方支付的违约金。</w:t>
      </w:r>
    </w:p>
    <w:p w14:paraId="30FC795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(6)遵照甲方相关管理体系运行要求及规定，加强相应的质量、环境保护、职业健康安全管理措施。</w:t>
      </w:r>
    </w:p>
    <w:p w14:paraId="2501DFB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(7)乙方必须积极配合甲方做好业主等上级领导的各类检查工作。</w:t>
      </w:r>
    </w:p>
    <w:p w14:paraId="31B2781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乙方必须按甲方要求的进度计划组织施工，接受甲方对工程进度的检查、监督和管理。工程实际进度不满足计划进度要求时，乙方应向甲方提交整改措施和方案，经甲方批准后执行；但并不免除因乙方原因造成的工期延误和应由乙方承担的一切损失及责任。</w:t>
      </w:r>
    </w:p>
    <w:p w14:paraId="69AC4B6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(9)乙方必须服从甲方的施工调度及甲方转发的业主或监理工程师与承包工程有关的指令。乙方不得直接致函业主或监理工程师，不得直接从业主处收取工程款。</w:t>
      </w:r>
    </w:p>
    <w:p w14:paraId="0ABE102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乙方必须遵守国家及当地政府有关安全生产和环境保护等法律、法规和甲方相关规定及制度，乙方必须严格遵守甲方质量、职业健康、安全、环境保护等管理，并及时提供相关各种见证资料及记录，对所属员工及因其过错造成他人人身、财产损失等负责。</w:t>
      </w:r>
    </w:p>
    <w:p w14:paraId="09487EB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(11)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7747CD9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(12)乙方负责施工现场及其生活营地的看护、保卫及未完工程的安全工作；按时向甲方移交工程。保护期内发生损坏的，由乙方承担全部损失并自费修复。</w:t>
      </w:r>
    </w:p>
    <w:p w14:paraId="070E61E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(13)乙方应对在保修期内承包工程出现的缺陷进行保修。如乙方未在甲方通知的时间内进行修理或经修理仍不符合要求的，甲方则有权另行指定第三方修理并不承担任何法律责任，所发生的一切费用由甲方直接从乙方质保金或应得、可能得到的款项中扣除，不足部分由乙方另行支付。</w:t>
      </w:r>
    </w:p>
    <w:p w14:paraId="4CE16AC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(14)如分包合同工程跨年度，乙方应在其营业执照、资质证书、安全生产许可证、税务登记证等相应证书年检或到期更换新证书后7   日内将通过年检或更换的新证书复印件(需加盖乙方单位公章)送交甲方备案，否则承担管理部门检查为此进行的罚款等一切损失。</w:t>
      </w:r>
    </w:p>
    <w:p w14:paraId="6D210E4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(15)乙方确保其施工人员工资及时发放，并配合甲方对其施工人员工资发放情况的检查和监督工作。</w:t>
      </w:r>
    </w:p>
    <w:p w14:paraId="78E3602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(16)乙方负责其施工人员的培训、安全教育、持证上岗、职业病防治、工资发放、各种社会保险、伤亡事故处理、劳动争议等事宜，并负责因其施工人员、机械设备在合同履行期间给甲方及第三人造成的人身、财产损失赔偿。</w:t>
      </w:r>
    </w:p>
    <w:p w14:paraId="2875E66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(17)乙方必须为其施工及管理人员办理意外伤害(或雇主责任)保险，保险费用由乙方承担，为其施工设备办理相关保险。</w:t>
      </w:r>
    </w:p>
    <w:p w14:paraId="6CF274E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(18)乙方承担不按设计要求施工造成的甲方各项经济损失的所有费用。</w:t>
      </w:r>
    </w:p>
    <w:p w14:paraId="3C6F4D1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(19)业主或监理工程师的指令，乙方必须无条件服从，业主或监理工程师明确不予补偿或赔偿的事项，乙方不得向甲方提出补偿或赔偿要求。</w:t>
      </w:r>
    </w:p>
    <w:p w14:paraId="27243F1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(20)乙方在签订本协议时，已经充分了解到施工现场条件及自然地理环境的风险，并承担由该风险所带来的损失和责任。</w:t>
      </w:r>
    </w:p>
    <w:p w14:paraId="58127F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(21)乙方确认</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b/>
          <w:bCs/>
          <w:color w:val="auto"/>
          <w:sz w:val="25"/>
          <w:szCs w:val="25"/>
          <w:highlight w:val="none"/>
          <w:u w:val="single"/>
          <w:lang w:val="en-US" w:eastAsia="zh-CN"/>
        </w:rPr>
        <w:t>****</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为本合同工程劳务分包作业负责人(身份证号：</w:t>
      </w:r>
      <w:r>
        <w:rPr>
          <w:rFonts w:hint="eastAsia" w:ascii="仿宋" w:hAnsi="仿宋" w:eastAsia="仿宋" w:cs="仿宋"/>
          <w:b/>
          <w:bCs/>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 电 话：</w:t>
      </w:r>
      <w:r>
        <w:rPr>
          <w:rFonts w:hint="eastAsia" w:ascii="仿宋" w:hAnsi="仿宋" w:eastAsia="仿宋" w:cs="仿宋"/>
          <w:b/>
          <w:bCs/>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zh-CN"/>
        </w:rPr>
        <w:t>)。乙方依据本合同发出的请求及通知，必须由劳务分包作业负责人或授权代表签字，否则视为无效。在本合同履约期内不得兼任除本合同以外其他工程的项目经理或主要负责人，否则，乙方应向甲方支付违约金人民币</w:t>
      </w:r>
      <w:r>
        <w:rPr>
          <w:rFonts w:hint="eastAsia" w:ascii="仿宋" w:hAnsi="仿宋" w:eastAsia="仿宋" w:cs="仿宋"/>
          <w:b/>
          <w:bCs/>
          <w:color w:val="auto"/>
          <w:sz w:val="25"/>
          <w:szCs w:val="25"/>
          <w:highlight w:val="none"/>
          <w:u w:val="single"/>
          <w:lang w:val="en-US" w:eastAsia="zh-CN"/>
        </w:rPr>
        <w:t xml:space="preserve"> 10000 </w:t>
      </w:r>
      <w:r>
        <w:rPr>
          <w:rFonts w:hint="eastAsia" w:ascii="仿宋" w:hAnsi="仿宋" w:eastAsia="仿宋" w:cs="仿宋"/>
          <w:color w:val="auto"/>
          <w:sz w:val="25"/>
          <w:szCs w:val="25"/>
          <w:highlight w:val="none"/>
          <w:lang w:val="en-US" w:eastAsia="zh-CN"/>
        </w:rPr>
        <w:t>元；未经甲方同意更换分包负责人，乙方应向甲方缴纳违约金人民币</w:t>
      </w:r>
      <w:r>
        <w:rPr>
          <w:rFonts w:hint="eastAsia" w:ascii="仿宋" w:hAnsi="仿宋" w:eastAsia="仿宋" w:cs="仿宋"/>
          <w:b/>
          <w:bCs/>
          <w:color w:val="auto"/>
          <w:sz w:val="25"/>
          <w:szCs w:val="25"/>
          <w:highlight w:val="none"/>
          <w:u w:val="single"/>
          <w:lang w:val="en-US" w:eastAsia="zh-CN"/>
        </w:rPr>
        <w:t>5000</w:t>
      </w:r>
      <w:r>
        <w:rPr>
          <w:rFonts w:hint="eastAsia" w:ascii="仿宋" w:hAnsi="仿宋" w:eastAsia="仿宋" w:cs="仿宋"/>
          <w:color w:val="auto"/>
          <w:sz w:val="25"/>
          <w:szCs w:val="25"/>
          <w:highlight w:val="none"/>
          <w:lang w:val="en-US" w:eastAsia="zh-CN"/>
        </w:rPr>
        <w:t>元。</w:t>
      </w:r>
    </w:p>
    <w:p w14:paraId="0F59574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(22)乙方的分包负责人须常驻工地，全权负责乙方施工进度、质量、技术、安全、结算、民工管理等职责，负责人离开工地时，须以书面形式向甲方单位请假，经甲方项目经理或其授权代表书面同意后方可离开工地。负责人每月在工地时间不得低于</w:t>
      </w:r>
      <w:r>
        <w:rPr>
          <w:rFonts w:hint="eastAsia" w:ascii="仿宋" w:hAnsi="仿宋" w:eastAsia="仿宋" w:cs="仿宋"/>
          <w:b/>
          <w:bCs/>
          <w:color w:val="auto"/>
          <w:sz w:val="25"/>
          <w:szCs w:val="25"/>
          <w:highlight w:val="none"/>
          <w:u w:val="single"/>
          <w:lang w:val="en-US" w:eastAsia="zh-CN"/>
        </w:rPr>
        <w:t xml:space="preserve"> 25 </w:t>
      </w:r>
      <w:r>
        <w:rPr>
          <w:rFonts w:hint="eastAsia" w:ascii="仿宋" w:hAnsi="仿宋" w:eastAsia="仿宋" w:cs="仿宋"/>
          <w:color w:val="auto"/>
          <w:sz w:val="25"/>
          <w:szCs w:val="25"/>
          <w:highlight w:val="none"/>
          <w:lang w:val="en-US" w:eastAsia="zh-CN"/>
        </w:rPr>
        <w:t>日。工地现场建立考勤制度，每少1天应向甲方缴纳</w:t>
      </w:r>
      <w:r>
        <w:rPr>
          <w:rFonts w:hint="eastAsia" w:ascii="仿宋" w:hAnsi="仿宋" w:eastAsia="仿宋" w:cs="仿宋"/>
          <w:b/>
          <w:bCs/>
          <w:i w:val="0"/>
          <w:iCs w:val="0"/>
          <w:color w:val="auto"/>
          <w:sz w:val="25"/>
          <w:szCs w:val="25"/>
          <w:highlight w:val="none"/>
          <w:u w:val="single"/>
          <w:lang w:val="en-US" w:eastAsia="zh-CN"/>
        </w:rPr>
        <w:t>1000元/天</w:t>
      </w:r>
      <w:r>
        <w:rPr>
          <w:rFonts w:hint="eastAsia" w:ascii="仿宋" w:hAnsi="仿宋" w:eastAsia="仿宋" w:cs="仿宋"/>
          <w:color w:val="auto"/>
          <w:sz w:val="25"/>
          <w:szCs w:val="25"/>
          <w:highlight w:val="none"/>
          <w:lang w:val="en-US" w:eastAsia="zh-CN"/>
        </w:rPr>
        <w:t>的违约金。</w:t>
      </w:r>
    </w:p>
    <w:p w14:paraId="4EFB598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(23)乙方已全面了解并承诺遵守甲方各项管理制度，服从甲方对施工现场管理的各项管理规定及指令，乙方不得以甲方的名义从事其它任何活动。</w:t>
      </w:r>
    </w:p>
    <w:p w14:paraId="71AD832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(24)乙方不得将本合同中乙方的权利和义务转让给第三方(包括再次分包、事实上的转包等)。一经查出再次分包和事实上转包的，甲方有权要求乙方按合同总金额的</w:t>
      </w:r>
      <w:r>
        <w:rPr>
          <w:rFonts w:hint="eastAsia" w:ascii="仿宋" w:hAnsi="仿宋" w:eastAsia="仿宋" w:cs="仿宋"/>
          <w:b/>
          <w:bCs/>
          <w:color w:val="auto"/>
          <w:sz w:val="25"/>
          <w:szCs w:val="25"/>
          <w:highlight w:val="none"/>
          <w:u w:val="single"/>
          <w:lang w:val="en-US" w:eastAsia="zh-CN"/>
        </w:rPr>
        <w:t xml:space="preserve">10 </w:t>
      </w:r>
      <w:r>
        <w:rPr>
          <w:rFonts w:hint="eastAsia" w:ascii="仿宋" w:hAnsi="仿宋" w:eastAsia="仿宋" w:cs="仿宋"/>
          <w:b/>
          <w:bCs/>
          <w:color w:val="auto"/>
          <w:sz w:val="25"/>
          <w:szCs w:val="25"/>
          <w:highlight w:val="none"/>
          <w:lang w:val="en-US" w:eastAsia="zh-CN"/>
        </w:rPr>
        <w:t>%</w:t>
      </w:r>
      <w:r>
        <w:rPr>
          <w:rFonts w:hint="eastAsia" w:ascii="仿宋" w:hAnsi="仿宋" w:eastAsia="仿宋" w:cs="仿宋"/>
          <w:color w:val="auto"/>
          <w:sz w:val="25"/>
          <w:szCs w:val="25"/>
          <w:highlight w:val="none"/>
          <w:lang w:val="en-US" w:eastAsia="zh-CN"/>
        </w:rPr>
        <w:t>向甲方支付违约金，并有权单方面解除合同。乙方应当赔偿由此给甲方造成的一切损失，并就工程质量、安全、进度、文明施工、环境保护、水土保持等与其转包人承担连带责任。</w:t>
      </w:r>
      <w:bookmarkStart w:id="10" w:name="bookmark29"/>
      <w:bookmarkEnd w:id="10"/>
    </w:p>
    <w:p w14:paraId="3D853DF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(25)乙方须按照合同及甲方的管理要求，及时向甲方提供相关资料。如不能按时提供资料，甲方有权暂停给乙方的工程款结算和支付，且甲方不承担任何责任。</w:t>
      </w:r>
    </w:p>
    <w:p w14:paraId="2B60FA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(26)乙方从甲方领用的材料,乙方均负有看守、保护责任，一旦发生丢失、损毁，乙方均负有赔偿责任。</w:t>
      </w:r>
    </w:p>
    <w:p w14:paraId="4D4144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(27)</w:t>
      </w:r>
      <w:r>
        <w:rPr>
          <w:rFonts w:hint="eastAsia" w:ascii="仿宋" w:hAnsi="仿宋" w:eastAsia="仿宋" w:cs="仿宋"/>
          <w:color w:val="FF0000"/>
          <w:spacing w:val="-7"/>
          <w:sz w:val="25"/>
          <w:szCs w:val="25"/>
          <w:lang w:val="en-US" w:eastAsia="zh-CN"/>
        </w:rPr>
        <w:t>在甲方资金短缺期间，乙方应有一定的资金能力，必须保证工程施工按照合同约定正常进行</w:t>
      </w:r>
      <w:r>
        <w:rPr>
          <w:rFonts w:hint="eastAsia" w:ascii="仿宋" w:hAnsi="仿宋" w:eastAsia="仿宋" w:cs="仿宋"/>
          <w:color w:val="auto"/>
          <w:sz w:val="25"/>
          <w:szCs w:val="25"/>
          <w:highlight w:val="none"/>
          <w:lang w:val="en-US" w:eastAsia="zh-CN"/>
        </w:rPr>
        <w:t>。</w:t>
      </w:r>
    </w:p>
    <w:p w14:paraId="219D13A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1" w:name="_Toc8254"/>
      <w:r>
        <w:rPr>
          <w:rFonts w:hint="eastAsia" w:ascii="仿宋" w:hAnsi="仿宋" w:eastAsia="仿宋" w:cs="仿宋"/>
          <w:b/>
          <w:bCs/>
          <w:color w:val="auto"/>
          <w:sz w:val="25"/>
          <w:szCs w:val="25"/>
          <w:highlight w:val="none"/>
          <w:lang w:val="en-US" w:eastAsia="zh-CN"/>
        </w:rPr>
        <w:t>五、施工辅助设施</w:t>
      </w:r>
      <w:bookmarkEnd w:id="11"/>
    </w:p>
    <w:p w14:paraId="596D372C">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bookmarkStart w:id="12" w:name="bookmark7"/>
      <w:bookmarkEnd w:id="12"/>
      <w:r>
        <w:rPr>
          <w:rFonts w:hint="eastAsia" w:ascii="仿宋" w:hAnsi="仿宋" w:eastAsia="仿宋" w:cs="仿宋"/>
          <w:b/>
          <w:bCs/>
          <w:i w:val="0"/>
          <w:iCs w:val="0"/>
          <w:snapToGrid/>
          <w:color w:val="auto"/>
          <w:kern w:val="2"/>
          <w:sz w:val="24"/>
          <w:szCs w:val="24"/>
          <w:highlight w:val="none"/>
          <w:lang w:val="en-US" w:eastAsia="zh-CN"/>
        </w:rPr>
        <w:t>1、施工供水</w:t>
      </w:r>
    </w:p>
    <w:p w14:paraId="2815A9C4">
      <w:pPr>
        <w:pageBreakBefore w:val="0"/>
        <w:kinsoku/>
        <w:wordWrap/>
        <w:overflowPunct/>
        <w:topLinePunct w:val="0"/>
        <w:bidi w:val="0"/>
        <w:snapToGrid/>
        <w:spacing w:line="460" w:lineRule="exact"/>
        <w:ind w:firstLine="480" w:firstLineChars="200"/>
        <w:textAlignment w:val="auto"/>
        <w:rPr>
          <w:rFonts w:hint="eastAsia" w:ascii="仿宋" w:hAnsi="仿宋" w:eastAsia="仿宋" w:cs="仿宋"/>
          <w:color w:val="auto"/>
          <w:sz w:val="25"/>
          <w:szCs w:val="25"/>
          <w:highlight w:val="none"/>
          <w:u w:val="single"/>
          <w:lang w:val="en-US" w:eastAsia="zh-CN"/>
        </w:rPr>
      </w:pPr>
      <w:r>
        <w:rPr>
          <w:rFonts w:hint="eastAsia" w:ascii="仿宋" w:hAnsi="仿宋" w:eastAsia="仿宋" w:cs="仿宋"/>
          <w:i w:val="0"/>
          <w:iCs w:val="0"/>
          <w:color w:val="auto"/>
          <w:sz w:val="24"/>
          <w:szCs w:val="24"/>
          <w:highlight w:val="none"/>
          <w:u w:val="single"/>
          <w:lang w:val="en-US" w:eastAsia="zh-CN"/>
        </w:rPr>
        <w:t>甲方原则不提供施工用水，若甲方有现成临时用水接入点，乙方自行完成临水接入并完成从临水接入点往下至各个工作面的管路接入，场地内临水所需人工、材料、机械等费用均由乙方自行承担，甲方提供施工用水接入点的，施工用水费用由甲方承担。</w:t>
      </w:r>
    </w:p>
    <w:p w14:paraId="74A1C0FE">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2、施工供电</w:t>
      </w:r>
    </w:p>
    <w:p w14:paraId="5E48F2BA">
      <w:pPr>
        <w:pageBreakBefore w:val="0"/>
        <w:kinsoku/>
        <w:wordWrap/>
        <w:overflowPunct/>
        <w:topLinePunct w:val="0"/>
        <w:bidi w:val="0"/>
        <w:snapToGrid/>
        <w:spacing w:line="46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u w:val="single"/>
          <w:lang w:val="en-US" w:eastAsia="zh-CN"/>
        </w:rPr>
        <w:t>甲方原则不提供施工用电，若甲方有现成临时用电接入点，乙方自行接入使用。若甲方没有临电接入口，现场临时施工电源由乙方自行解决，包括发电机、配电箱、以及所有电源箱、电源线、灯具、开关、插座、设备、机械均由乙方提供，乙方应配备专业电工进行现场用电维护，电工应满足持证上岗要求，甲方提供施工用电接入点的，施工用电费用由甲方承担。</w:t>
      </w:r>
    </w:p>
    <w:p w14:paraId="59208F58">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3、施工排水</w:t>
      </w:r>
    </w:p>
    <w:p w14:paraId="5761168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lang w:val="en-US" w:eastAsia="zh-CN"/>
        </w:rPr>
      </w:pPr>
      <w:r>
        <w:rPr>
          <w:rFonts w:hint="eastAsia" w:ascii="仿宋" w:hAnsi="仿宋" w:eastAsia="仿宋" w:cs="仿宋"/>
          <w:i w:val="0"/>
          <w:iCs w:val="0"/>
          <w:color w:val="auto"/>
          <w:sz w:val="24"/>
          <w:szCs w:val="24"/>
          <w:highlight w:val="none"/>
          <w:u w:val="single"/>
          <w:lang w:val="en-US" w:eastAsia="zh-CN"/>
        </w:rPr>
        <w:t>甲方不提供临时排水接入点，如施工现场需要进行施工降水、排水的，相关措施由乙方按照设计要求实施并承担相应费用。</w:t>
      </w:r>
    </w:p>
    <w:p w14:paraId="10F0C015">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4、施工供风</w:t>
      </w:r>
    </w:p>
    <w:p w14:paraId="38A75AF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lang w:val="en-US" w:eastAsia="zh-CN"/>
        </w:rPr>
      </w:pPr>
      <w:r>
        <w:rPr>
          <w:rFonts w:hint="eastAsia" w:ascii="仿宋" w:hAnsi="仿宋" w:eastAsia="仿宋" w:cs="仿宋"/>
          <w:i w:val="0"/>
          <w:iCs w:val="0"/>
          <w:color w:val="auto"/>
          <w:sz w:val="24"/>
          <w:szCs w:val="24"/>
          <w:highlight w:val="none"/>
          <w:u w:val="single"/>
          <w:lang w:val="en-US" w:eastAsia="zh-CN"/>
        </w:rPr>
        <w:t>甲方不负责施工供风，如施工现场需要进行施工供风的，相关措施由乙方按照设计要求实施并承担相应费用。</w:t>
      </w:r>
    </w:p>
    <w:p w14:paraId="38758589">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5、现场施工道路</w:t>
      </w:r>
    </w:p>
    <w:p w14:paraId="652A790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lang w:val="en-US" w:eastAsia="zh-CN"/>
        </w:rPr>
      </w:pPr>
      <w:r>
        <w:rPr>
          <w:rFonts w:hint="eastAsia" w:ascii="仿宋" w:hAnsi="仿宋" w:eastAsia="仿宋" w:cs="仿宋"/>
          <w:i w:val="0"/>
          <w:iCs w:val="0"/>
          <w:color w:val="auto"/>
          <w:sz w:val="24"/>
          <w:szCs w:val="24"/>
          <w:highlight w:val="none"/>
          <w:u w:val="single"/>
          <w:lang w:val="en-US" w:eastAsia="zh-CN"/>
        </w:rPr>
        <w:t>甲方不提供施工道路，如施工现场需要使用临时施工道路的，相关措施由乙方按照设计及方案要求实施并承担相应费用。</w:t>
      </w:r>
    </w:p>
    <w:p w14:paraId="1AE2C8B9">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6、施工住房</w:t>
      </w:r>
    </w:p>
    <w:p w14:paraId="0136FE6C">
      <w:pPr>
        <w:pageBreakBefore w:val="0"/>
        <w:kinsoku/>
        <w:wordWrap/>
        <w:overflowPunct/>
        <w:topLinePunct w:val="0"/>
        <w:bidi w:val="0"/>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lang w:eastAsia="zh-CN"/>
        </w:rPr>
      </w:pPr>
      <w:r>
        <w:rPr>
          <w:rFonts w:hint="eastAsia" w:ascii="仿宋" w:hAnsi="仿宋" w:eastAsia="仿宋" w:cs="仿宋"/>
          <w:i w:val="0"/>
          <w:iCs w:val="0"/>
          <w:color w:val="auto"/>
          <w:sz w:val="24"/>
          <w:szCs w:val="24"/>
          <w:highlight w:val="none"/>
          <w:u w:val="single"/>
        </w:rPr>
        <w:t>乙方管理人员及施工人员住房由乙方自行解决，相关费用已包含在</w:t>
      </w:r>
      <w:r>
        <w:rPr>
          <w:rFonts w:hint="eastAsia" w:ascii="仿宋" w:hAnsi="仿宋" w:eastAsia="仿宋" w:cs="仿宋"/>
          <w:i w:val="0"/>
          <w:iCs w:val="0"/>
          <w:color w:val="auto"/>
          <w:sz w:val="24"/>
          <w:szCs w:val="24"/>
          <w:highlight w:val="none"/>
          <w:u w:val="single"/>
          <w:lang w:val="en-US" w:eastAsia="zh-CN"/>
        </w:rPr>
        <w:t>下浮报价中</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甲方不再单独支付</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lang w:val="en-US" w:eastAsia="zh-CN"/>
        </w:rPr>
        <w:t>且其</w:t>
      </w:r>
      <w:r>
        <w:rPr>
          <w:rFonts w:hint="eastAsia" w:ascii="仿宋" w:hAnsi="仿宋" w:eastAsia="仿宋" w:cs="仿宋"/>
          <w:i w:val="0"/>
          <w:iCs w:val="0"/>
          <w:color w:val="auto"/>
          <w:sz w:val="24"/>
          <w:szCs w:val="24"/>
          <w:highlight w:val="none"/>
          <w:u w:val="single"/>
        </w:rPr>
        <w:t>安全责任和文明</w:t>
      </w:r>
      <w:r>
        <w:rPr>
          <w:rFonts w:hint="eastAsia" w:ascii="仿宋" w:hAnsi="仿宋" w:eastAsia="仿宋" w:cs="仿宋"/>
          <w:i w:val="0"/>
          <w:iCs w:val="0"/>
          <w:color w:val="auto"/>
          <w:sz w:val="24"/>
          <w:szCs w:val="24"/>
          <w:highlight w:val="none"/>
          <w:u w:val="single"/>
          <w:lang w:val="en-US" w:eastAsia="zh-CN"/>
        </w:rPr>
        <w:t>管理</w:t>
      </w:r>
      <w:r>
        <w:rPr>
          <w:rFonts w:hint="eastAsia" w:ascii="仿宋" w:hAnsi="仿宋" w:eastAsia="仿宋" w:cs="仿宋"/>
          <w:i w:val="0"/>
          <w:iCs w:val="0"/>
          <w:color w:val="auto"/>
          <w:sz w:val="24"/>
          <w:szCs w:val="24"/>
          <w:highlight w:val="none"/>
          <w:u w:val="single"/>
        </w:rPr>
        <w:t>责任由乙方</w:t>
      </w:r>
      <w:r>
        <w:rPr>
          <w:rFonts w:hint="eastAsia" w:ascii="仿宋" w:hAnsi="仿宋" w:eastAsia="仿宋" w:cs="仿宋"/>
          <w:i w:val="0"/>
          <w:iCs w:val="0"/>
          <w:color w:val="auto"/>
          <w:sz w:val="24"/>
          <w:szCs w:val="24"/>
          <w:highlight w:val="none"/>
          <w:u w:val="single"/>
          <w:lang w:val="en-US" w:eastAsia="zh-CN"/>
        </w:rPr>
        <w:t>自行</w:t>
      </w:r>
      <w:r>
        <w:rPr>
          <w:rFonts w:hint="eastAsia" w:ascii="仿宋" w:hAnsi="仿宋" w:eastAsia="仿宋" w:cs="仿宋"/>
          <w:i w:val="0"/>
          <w:iCs w:val="0"/>
          <w:color w:val="auto"/>
          <w:sz w:val="24"/>
          <w:szCs w:val="24"/>
          <w:highlight w:val="none"/>
          <w:u w:val="single"/>
        </w:rPr>
        <w:t>负责</w:t>
      </w:r>
      <w:r>
        <w:rPr>
          <w:rFonts w:hint="eastAsia" w:ascii="仿宋" w:hAnsi="仿宋" w:eastAsia="仿宋" w:cs="仿宋"/>
          <w:i w:val="0"/>
          <w:iCs w:val="0"/>
          <w:color w:val="auto"/>
          <w:sz w:val="24"/>
          <w:szCs w:val="24"/>
          <w:highlight w:val="none"/>
          <w:u w:val="single"/>
          <w:lang w:eastAsia="zh-CN"/>
        </w:rPr>
        <w:t>。</w:t>
      </w:r>
    </w:p>
    <w:p w14:paraId="16CB7AC2">
      <w:pPr>
        <w:pageBreakBefore w:val="0"/>
        <w:widowControl w:val="0"/>
        <w:kinsoku/>
        <w:wordWrap/>
        <w:overflowPunct/>
        <w:topLinePunct w:val="0"/>
        <w:autoSpaceDE/>
        <w:autoSpaceDN/>
        <w:bidi w:val="0"/>
        <w:adjustRightInd/>
        <w:snapToGrid/>
        <w:spacing w:line="460" w:lineRule="exact"/>
        <w:ind w:firstLine="482" w:firstLineChars="200"/>
        <w:jc w:val="both"/>
        <w:textAlignment w:val="auto"/>
        <w:rPr>
          <w:rFonts w:hint="eastAsia" w:ascii="仿宋" w:hAnsi="仿宋" w:eastAsia="仿宋" w:cs="仿宋"/>
          <w:b/>
          <w:bCs/>
          <w:i w:val="0"/>
          <w:iCs w:val="0"/>
          <w:snapToGrid/>
          <w:color w:val="auto"/>
          <w:kern w:val="2"/>
          <w:sz w:val="24"/>
          <w:szCs w:val="24"/>
          <w:highlight w:val="none"/>
          <w:lang w:val="en-US" w:eastAsia="zh-CN"/>
        </w:rPr>
      </w:pPr>
      <w:r>
        <w:rPr>
          <w:rFonts w:hint="eastAsia" w:ascii="仿宋" w:hAnsi="仿宋" w:eastAsia="仿宋" w:cs="仿宋"/>
          <w:b/>
          <w:bCs/>
          <w:i w:val="0"/>
          <w:iCs w:val="0"/>
          <w:snapToGrid/>
          <w:color w:val="auto"/>
          <w:kern w:val="2"/>
          <w:sz w:val="24"/>
          <w:szCs w:val="24"/>
          <w:highlight w:val="none"/>
          <w:lang w:val="en-US" w:eastAsia="zh-CN"/>
        </w:rPr>
        <w:t>7、季节性施工措施</w:t>
      </w:r>
    </w:p>
    <w:p w14:paraId="342F0406">
      <w:pPr>
        <w:pageBreakBefore w:val="0"/>
        <w:kinsoku/>
        <w:wordWrap/>
        <w:overflowPunct/>
        <w:topLinePunct w:val="0"/>
        <w:bidi w:val="0"/>
        <w:snapToGrid/>
        <w:spacing w:line="460" w:lineRule="exact"/>
        <w:ind w:firstLine="480" w:firstLineChars="200"/>
        <w:textAlignment w:val="auto"/>
        <w:rPr>
          <w:rFonts w:hint="eastAsia" w:ascii="仿宋" w:hAnsi="仿宋" w:eastAsia="仿宋" w:cs="仿宋"/>
          <w:i w:val="0"/>
          <w:iCs w:val="0"/>
          <w:color w:val="auto"/>
          <w:sz w:val="24"/>
          <w:szCs w:val="24"/>
          <w:highlight w:val="none"/>
          <w:u w:val="single"/>
        </w:rPr>
      </w:pPr>
      <w:bookmarkStart w:id="13" w:name="_Toc26255"/>
      <w:r>
        <w:rPr>
          <w:rFonts w:hint="eastAsia" w:ascii="仿宋" w:hAnsi="仿宋" w:eastAsia="仿宋" w:cs="仿宋"/>
          <w:i w:val="0"/>
          <w:iCs w:val="0"/>
          <w:color w:val="auto"/>
          <w:sz w:val="24"/>
          <w:szCs w:val="24"/>
          <w:highlight w:val="none"/>
          <w:u w:val="single"/>
        </w:rPr>
        <w:t>冬雨季施工增加的人工费、材料费及其他发生的所有冬雨季施工措施费均由乙方承担，费用已包含在合同价中，甲方不再另行支付。</w:t>
      </w:r>
    </w:p>
    <w:p w14:paraId="4F9715D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六、材料供应</w:t>
      </w:r>
      <w:bookmarkEnd w:id="13"/>
    </w:p>
    <w:p w14:paraId="31069DF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(一)甲供材料</w:t>
      </w:r>
    </w:p>
    <w:p w14:paraId="6B0C4D8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本项目甲供材料：</w:t>
      </w:r>
      <w:r>
        <w:rPr>
          <w:rFonts w:hint="eastAsia" w:ascii="仿宋" w:hAnsi="仿宋" w:eastAsia="仿宋" w:cs="仿宋"/>
          <w:color w:val="FF0000"/>
          <w:sz w:val="25"/>
          <w:szCs w:val="25"/>
          <w:highlight w:val="none"/>
          <w:u w:val="single"/>
          <w:lang w:val="en-US" w:eastAsia="zh-CN"/>
        </w:rPr>
        <w:t>水泥、沙、商品混凝土、砌块、配砖、扁钢、空心砖、多孔砖、标砖、混凝土实心砖、钢卡件原材、泵管、钢筋、套筒、钢板及预埋件</w:t>
      </w:r>
      <w:r>
        <w:rPr>
          <w:rFonts w:hint="eastAsia" w:eastAsia="宋体"/>
          <w:lang w:val="en-US" w:eastAsia="zh-CN"/>
        </w:rPr>
        <w:t>、</w:t>
      </w:r>
      <w:r>
        <w:rPr>
          <w:rFonts w:hint="eastAsia" w:ascii="仿宋" w:hAnsi="仿宋" w:eastAsia="仿宋" w:cs="仿宋"/>
          <w:color w:val="FF0000"/>
          <w:sz w:val="25"/>
          <w:szCs w:val="25"/>
          <w:highlight w:val="none"/>
          <w:u w:val="single"/>
          <w:lang w:val="en-US" w:eastAsia="zh-CN"/>
        </w:rPr>
        <w:t>止水钢+板或止水带、止水丝杆（不含相应配件）、网格布、防水粉、保温板</w:t>
      </w:r>
      <w:r>
        <w:rPr>
          <w:rFonts w:hint="eastAsia" w:ascii="仿宋" w:hAnsi="仿宋" w:eastAsia="仿宋" w:cs="仿宋"/>
          <w:color w:val="auto"/>
          <w:sz w:val="25"/>
          <w:szCs w:val="25"/>
          <w:highlight w:val="none"/>
          <w:lang w:val="en-US" w:eastAsia="zh-CN"/>
        </w:rPr>
        <w:t>由甲方统一提供，除上述材料外的其他材料均由乙方自行采购，已包含在综合单价中。</w:t>
      </w:r>
    </w:p>
    <w:p w14:paraId="1D537C1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（针对每种甲供材料需求计划、物资管理、损耗等单独写）</w:t>
      </w:r>
    </w:p>
    <w:p w14:paraId="69DE0A5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(二)甲供材损耗控制</w:t>
      </w:r>
    </w:p>
    <w:p w14:paraId="7565F75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甲供材料的损耗实行限额控制，超过损耗率限额外的由乙方按甲方材料采购 合同价赔偿，损耗率约定如下：</w:t>
      </w:r>
    </w:p>
    <w:tbl>
      <w:tblPr>
        <w:tblStyle w:val="1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26"/>
        <w:gridCol w:w="777"/>
        <w:gridCol w:w="1062"/>
        <w:gridCol w:w="5973"/>
      </w:tblGrid>
      <w:tr w14:paraId="3ACFA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0" w:type="auto"/>
            <w:vAlign w:val="top"/>
          </w:tcPr>
          <w:p w14:paraId="5D860C53">
            <w:pPr>
              <w:pStyle w:val="15"/>
              <w:keepNext w:val="0"/>
              <w:keepLines w:val="0"/>
              <w:pageBreakBefore w:val="0"/>
              <w:wordWrap/>
              <w:overflowPunct/>
              <w:topLinePunct w:val="0"/>
              <w:bidi w:val="0"/>
              <w:spacing w:before="141" w:line="400" w:lineRule="exact"/>
              <w:ind w:left="324"/>
              <w:jc w:val="left"/>
              <w:rPr>
                <w:rFonts w:hint="eastAsia" w:ascii="仿宋" w:hAnsi="仿宋" w:eastAsia="仿宋" w:cs="仿宋"/>
                <w:color w:val="auto"/>
                <w:highlight w:val="none"/>
              </w:rPr>
            </w:pPr>
            <w:r>
              <w:rPr>
                <w:rFonts w:hint="eastAsia" w:ascii="仿宋" w:hAnsi="仿宋" w:eastAsia="仿宋" w:cs="仿宋"/>
                <w:color w:val="auto"/>
                <w:spacing w:val="-2"/>
                <w:highlight w:val="none"/>
              </w:rPr>
              <w:t>材料名称</w:t>
            </w:r>
          </w:p>
        </w:tc>
        <w:tc>
          <w:tcPr>
            <w:tcW w:w="0" w:type="auto"/>
            <w:vAlign w:val="top"/>
          </w:tcPr>
          <w:p w14:paraId="78F5306C">
            <w:pPr>
              <w:pStyle w:val="15"/>
              <w:keepNext w:val="0"/>
              <w:keepLines w:val="0"/>
              <w:pageBreakBefore w:val="0"/>
              <w:wordWrap/>
              <w:overflowPunct/>
              <w:topLinePunct w:val="0"/>
              <w:bidi w:val="0"/>
              <w:spacing w:before="142" w:line="400" w:lineRule="exact"/>
              <w:ind w:left="231"/>
              <w:jc w:val="left"/>
              <w:rPr>
                <w:rFonts w:hint="eastAsia" w:ascii="仿宋" w:hAnsi="仿宋" w:eastAsia="仿宋" w:cs="仿宋"/>
                <w:color w:val="auto"/>
                <w:highlight w:val="none"/>
              </w:rPr>
            </w:pPr>
            <w:r>
              <w:rPr>
                <w:rFonts w:hint="eastAsia" w:ascii="仿宋" w:hAnsi="仿宋" w:eastAsia="仿宋" w:cs="仿宋"/>
                <w:color w:val="auto"/>
                <w:spacing w:val="-2"/>
                <w:highlight w:val="none"/>
              </w:rPr>
              <w:t>损耗率</w:t>
            </w:r>
          </w:p>
        </w:tc>
        <w:tc>
          <w:tcPr>
            <w:tcW w:w="0" w:type="auto"/>
            <w:vAlign w:val="top"/>
          </w:tcPr>
          <w:p w14:paraId="117927A4">
            <w:pPr>
              <w:pStyle w:val="15"/>
              <w:keepNext w:val="0"/>
              <w:keepLines w:val="0"/>
              <w:pageBreakBefore w:val="0"/>
              <w:wordWrap/>
              <w:overflowPunct/>
              <w:topLinePunct w:val="0"/>
              <w:bidi w:val="0"/>
              <w:spacing w:before="140" w:line="400" w:lineRule="exact"/>
              <w:ind w:left="342"/>
              <w:rPr>
                <w:rFonts w:hint="eastAsia" w:ascii="仿宋" w:hAnsi="仿宋" w:eastAsia="仿宋" w:cs="仿宋"/>
                <w:color w:val="auto"/>
                <w:highlight w:val="none"/>
              </w:rPr>
            </w:pPr>
            <w:r>
              <w:rPr>
                <w:rFonts w:hint="eastAsia" w:ascii="仿宋" w:hAnsi="仿宋" w:eastAsia="仿宋" w:cs="仿宋"/>
                <w:color w:val="auto"/>
                <w:spacing w:val="-2"/>
                <w:highlight w:val="none"/>
              </w:rPr>
              <w:t>赔偿价</w:t>
            </w:r>
          </w:p>
        </w:tc>
        <w:tc>
          <w:tcPr>
            <w:tcW w:w="0" w:type="auto"/>
            <w:vAlign w:val="top"/>
          </w:tcPr>
          <w:p w14:paraId="351F899F">
            <w:pPr>
              <w:pStyle w:val="15"/>
              <w:keepNext w:val="0"/>
              <w:keepLines w:val="0"/>
              <w:pageBreakBefore w:val="0"/>
              <w:wordWrap/>
              <w:overflowPunct/>
              <w:topLinePunct w:val="0"/>
              <w:bidi w:val="0"/>
              <w:spacing w:before="142" w:line="400" w:lineRule="exact"/>
              <w:ind w:left="2093"/>
              <w:rPr>
                <w:rFonts w:hint="eastAsia" w:ascii="仿宋" w:hAnsi="仿宋" w:eastAsia="仿宋" w:cs="仿宋"/>
                <w:color w:val="auto"/>
                <w:highlight w:val="none"/>
              </w:rPr>
            </w:pPr>
            <w:r>
              <w:rPr>
                <w:rFonts w:hint="eastAsia" w:ascii="仿宋" w:hAnsi="仿宋" w:eastAsia="仿宋" w:cs="仿宋"/>
                <w:color w:val="auto"/>
                <w:spacing w:val="-1"/>
                <w:highlight w:val="none"/>
              </w:rPr>
              <w:t>损耗率的计算</w:t>
            </w:r>
          </w:p>
        </w:tc>
      </w:tr>
      <w:tr w14:paraId="17621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0" w:type="auto"/>
            <w:vAlign w:val="top"/>
          </w:tcPr>
          <w:p w14:paraId="01195EB6">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highlight w:val="none"/>
                <w:lang w:eastAsia="zh-CN"/>
              </w:rPr>
            </w:pPr>
            <w:r>
              <w:rPr>
                <w:rFonts w:hint="eastAsia" w:ascii="仿宋" w:hAnsi="仿宋" w:eastAsia="仿宋" w:cs="仿宋"/>
                <w:color w:val="auto"/>
                <w:spacing w:val="-3"/>
                <w:highlight w:val="none"/>
                <w:lang w:val="en-US" w:eastAsia="zh-CN"/>
              </w:rPr>
              <w:t>水泥</w:t>
            </w:r>
          </w:p>
        </w:tc>
        <w:tc>
          <w:tcPr>
            <w:tcW w:w="0" w:type="auto"/>
            <w:vAlign w:val="top"/>
          </w:tcPr>
          <w:p w14:paraId="10C419AA">
            <w:pPr>
              <w:pStyle w:val="15"/>
              <w:keepNext w:val="0"/>
              <w:keepLines w:val="0"/>
              <w:pageBreakBefore w:val="0"/>
              <w:wordWrap/>
              <w:overflowPunct/>
              <w:topLinePunct w:val="0"/>
              <w:bidi w:val="0"/>
              <w:spacing w:before="194" w:line="400" w:lineRule="exact"/>
              <w:jc w:val="center"/>
              <w:rPr>
                <w:rFonts w:hint="eastAsia" w:ascii="仿宋" w:hAnsi="仿宋" w:eastAsia="仿宋" w:cs="仿宋"/>
                <w:color w:val="auto"/>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restart"/>
            <w:vAlign w:val="top"/>
          </w:tcPr>
          <w:p w14:paraId="2ECD3C67">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p w14:paraId="7B9231B4">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p w14:paraId="4F12972F">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p w14:paraId="17B1D427">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p w14:paraId="503B6A43">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p w14:paraId="2E9D8666">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p w14:paraId="74650DBB">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p w14:paraId="4C6D52EF">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p w14:paraId="702F0381">
            <w:pPr>
              <w:pStyle w:val="15"/>
              <w:keepNext w:val="0"/>
              <w:keepLines w:val="0"/>
              <w:pageBreakBefore w:val="0"/>
              <w:wordWrap/>
              <w:overflowPunct/>
              <w:topLinePunct w:val="0"/>
              <w:bidi w:val="0"/>
              <w:spacing w:before="59" w:line="400" w:lineRule="exact"/>
              <w:ind w:left="162"/>
              <w:rPr>
                <w:rFonts w:hint="eastAsia" w:ascii="仿宋" w:hAnsi="仿宋" w:eastAsia="仿宋" w:cs="仿宋"/>
                <w:color w:val="auto"/>
                <w:highlight w:val="none"/>
              </w:rPr>
            </w:pPr>
            <w:r>
              <w:rPr>
                <w:rFonts w:hint="eastAsia" w:ascii="仿宋" w:hAnsi="仿宋" w:eastAsia="仿宋" w:cs="仿宋"/>
                <w:color w:val="auto"/>
                <w:spacing w:val="-2"/>
                <w:highlight w:val="none"/>
              </w:rPr>
              <w:t>根据甲方材</w:t>
            </w:r>
          </w:p>
          <w:p w14:paraId="09B4CDF1">
            <w:pPr>
              <w:pStyle w:val="15"/>
              <w:keepNext w:val="0"/>
              <w:keepLines w:val="0"/>
              <w:pageBreakBefore w:val="0"/>
              <w:wordWrap/>
              <w:overflowPunct/>
              <w:topLinePunct w:val="0"/>
              <w:bidi w:val="0"/>
              <w:spacing w:before="265" w:line="400" w:lineRule="exact"/>
              <w:ind w:left="252"/>
              <w:rPr>
                <w:rFonts w:hint="eastAsia" w:ascii="仿宋" w:hAnsi="仿宋" w:eastAsia="仿宋" w:cs="仿宋"/>
                <w:color w:val="auto"/>
                <w:highlight w:val="none"/>
              </w:rPr>
            </w:pPr>
            <w:r>
              <w:rPr>
                <w:rFonts w:hint="eastAsia" w:ascii="仿宋" w:hAnsi="仿宋" w:eastAsia="仿宋" w:cs="仿宋"/>
                <w:color w:val="auto"/>
                <w:spacing w:val="-2"/>
                <w:highlight w:val="none"/>
              </w:rPr>
              <w:t>料采购价</w:t>
            </w:r>
          </w:p>
        </w:tc>
        <w:tc>
          <w:tcPr>
            <w:tcW w:w="0" w:type="auto"/>
            <w:vAlign w:val="top"/>
          </w:tcPr>
          <w:p w14:paraId="5918F8FB">
            <w:pPr>
              <w:pStyle w:val="15"/>
              <w:keepNext w:val="0"/>
              <w:keepLines w:val="0"/>
              <w:pageBreakBefore w:val="0"/>
              <w:wordWrap/>
              <w:overflowPunct/>
              <w:topLinePunct w:val="0"/>
              <w:bidi w:val="0"/>
              <w:spacing w:before="148"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533CEE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0" w:type="auto"/>
            <w:vAlign w:val="top"/>
          </w:tcPr>
          <w:p w14:paraId="295C0E6D">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商品混凝土</w:t>
            </w:r>
          </w:p>
        </w:tc>
        <w:tc>
          <w:tcPr>
            <w:tcW w:w="0" w:type="auto"/>
            <w:vAlign w:val="top"/>
          </w:tcPr>
          <w:p w14:paraId="60B3A41F">
            <w:pPr>
              <w:pStyle w:val="15"/>
              <w:keepNext w:val="0"/>
              <w:keepLines w:val="0"/>
              <w:pageBreakBefore w:val="0"/>
              <w:wordWrap/>
              <w:overflowPunct/>
              <w:topLinePunct w:val="0"/>
              <w:bidi w:val="0"/>
              <w:spacing w:before="195" w:line="400" w:lineRule="exact"/>
              <w:jc w:val="center"/>
              <w:rPr>
                <w:rFonts w:hint="eastAsia" w:ascii="仿宋" w:hAnsi="仿宋" w:eastAsia="仿宋" w:cs="仿宋"/>
                <w:color w:val="auto"/>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31922A2D">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2B386F79">
            <w:pPr>
              <w:pStyle w:val="15"/>
              <w:keepNext w:val="0"/>
              <w:keepLines w:val="0"/>
              <w:pageBreakBefore w:val="0"/>
              <w:wordWrap/>
              <w:overflowPunct/>
              <w:topLinePunct w:val="0"/>
              <w:bidi w:val="0"/>
              <w:spacing w:before="150"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1C08B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0" w:type="auto"/>
            <w:vAlign w:val="top"/>
          </w:tcPr>
          <w:p w14:paraId="68174647">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砌块</w:t>
            </w:r>
          </w:p>
        </w:tc>
        <w:tc>
          <w:tcPr>
            <w:tcW w:w="0" w:type="auto"/>
            <w:vAlign w:val="top"/>
          </w:tcPr>
          <w:p w14:paraId="5C2E3827">
            <w:pPr>
              <w:pStyle w:val="15"/>
              <w:keepNext w:val="0"/>
              <w:keepLines w:val="0"/>
              <w:pageBreakBefore w:val="0"/>
              <w:wordWrap/>
              <w:overflowPunct/>
              <w:topLinePunct w:val="0"/>
              <w:bidi w:val="0"/>
              <w:spacing w:before="195" w:line="400" w:lineRule="exact"/>
              <w:jc w:val="center"/>
              <w:rPr>
                <w:rFonts w:hint="eastAsia" w:ascii="仿宋" w:hAnsi="仿宋" w:eastAsia="仿宋" w:cs="仿宋"/>
                <w:color w:val="auto"/>
                <w:spacing w:val="-6"/>
                <w:highlight w:val="none"/>
                <w:lang w:val="en-US" w:eastAsia="zh-CN"/>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3023DE9B">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0D390D85">
            <w:pPr>
              <w:pStyle w:val="15"/>
              <w:keepNext w:val="0"/>
              <w:keepLines w:val="0"/>
              <w:pageBreakBefore w:val="0"/>
              <w:wordWrap/>
              <w:overflowPunct/>
              <w:topLinePunct w:val="0"/>
              <w:bidi w:val="0"/>
              <w:spacing w:before="150"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2B837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0" w:type="auto"/>
            <w:vAlign w:val="top"/>
          </w:tcPr>
          <w:p w14:paraId="1F55C5B2">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配砖</w:t>
            </w:r>
          </w:p>
        </w:tc>
        <w:tc>
          <w:tcPr>
            <w:tcW w:w="0" w:type="auto"/>
            <w:vAlign w:val="top"/>
          </w:tcPr>
          <w:p w14:paraId="729DE621">
            <w:pPr>
              <w:pStyle w:val="15"/>
              <w:keepNext w:val="0"/>
              <w:keepLines w:val="0"/>
              <w:pageBreakBefore w:val="0"/>
              <w:wordWrap/>
              <w:overflowPunct/>
              <w:topLinePunct w:val="0"/>
              <w:bidi w:val="0"/>
              <w:spacing w:before="157" w:line="400" w:lineRule="exact"/>
              <w:jc w:val="center"/>
              <w:rPr>
                <w:rFonts w:hint="eastAsia" w:ascii="仿宋" w:hAnsi="仿宋" w:eastAsia="仿宋" w:cs="仿宋"/>
                <w:color w:val="auto"/>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0CE20087">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0A567080">
            <w:pPr>
              <w:pStyle w:val="15"/>
              <w:keepNext w:val="0"/>
              <w:keepLines w:val="0"/>
              <w:pageBreakBefore w:val="0"/>
              <w:wordWrap/>
              <w:overflowPunct/>
              <w:topLinePunct w:val="0"/>
              <w:bidi w:val="0"/>
              <w:spacing w:before="152"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2211F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0" w:type="auto"/>
            <w:vAlign w:val="top"/>
          </w:tcPr>
          <w:p w14:paraId="3AC26757">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扁钢</w:t>
            </w:r>
          </w:p>
        </w:tc>
        <w:tc>
          <w:tcPr>
            <w:tcW w:w="0" w:type="auto"/>
            <w:vAlign w:val="top"/>
          </w:tcPr>
          <w:p w14:paraId="1FECF957">
            <w:pPr>
              <w:pStyle w:val="15"/>
              <w:keepNext w:val="0"/>
              <w:keepLines w:val="0"/>
              <w:pageBreakBefore w:val="0"/>
              <w:wordWrap/>
              <w:overflowPunct/>
              <w:topLinePunct w:val="0"/>
              <w:bidi w:val="0"/>
              <w:spacing w:before="189" w:line="400" w:lineRule="exact"/>
              <w:jc w:val="center"/>
              <w:rPr>
                <w:rFonts w:hint="eastAsia" w:ascii="仿宋" w:hAnsi="仿宋" w:eastAsia="仿宋" w:cs="仿宋"/>
                <w:color w:val="auto"/>
                <w:highlight w:val="none"/>
              </w:rPr>
            </w:pPr>
            <w:r>
              <w:rPr>
                <w:rFonts w:hint="eastAsia" w:ascii="仿宋" w:hAnsi="仿宋" w:eastAsia="仿宋" w:cs="仿宋"/>
                <w:color w:val="auto"/>
                <w:spacing w:val="-1"/>
                <w:highlight w:val="none"/>
                <w:lang w:val="en-US" w:eastAsia="zh-CN"/>
              </w:rPr>
              <w:t>1.5</w:t>
            </w:r>
            <w:r>
              <w:rPr>
                <w:rFonts w:hint="eastAsia" w:ascii="仿宋" w:hAnsi="仿宋" w:eastAsia="仿宋" w:cs="仿宋"/>
                <w:color w:val="auto"/>
                <w:spacing w:val="-1"/>
                <w:highlight w:val="none"/>
              </w:rPr>
              <w:t>%</w:t>
            </w:r>
          </w:p>
        </w:tc>
        <w:tc>
          <w:tcPr>
            <w:tcW w:w="0" w:type="auto"/>
            <w:vMerge w:val="continue"/>
            <w:vAlign w:val="top"/>
          </w:tcPr>
          <w:p w14:paraId="48C028C5">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6FFFA911">
            <w:pPr>
              <w:pStyle w:val="15"/>
              <w:keepNext w:val="0"/>
              <w:keepLines w:val="0"/>
              <w:pageBreakBefore w:val="0"/>
              <w:wordWrap/>
              <w:overflowPunct/>
              <w:topLinePunct w:val="0"/>
              <w:bidi w:val="0"/>
              <w:spacing w:before="143"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45A51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0" w:type="auto"/>
            <w:vAlign w:val="top"/>
          </w:tcPr>
          <w:p w14:paraId="5EA02B53">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空心砖</w:t>
            </w:r>
          </w:p>
        </w:tc>
        <w:tc>
          <w:tcPr>
            <w:tcW w:w="0" w:type="auto"/>
            <w:vAlign w:val="top"/>
          </w:tcPr>
          <w:p w14:paraId="0AE0C856">
            <w:pPr>
              <w:pStyle w:val="15"/>
              <w:keepNext w:val="0"/>
              <w:keepLines w:val="0"/>
              <w:pageBreakBefore w:val="0"/>
              <w:wordWrap/>
              <w:overflowPunct/>
              <w:topLinePunct w:val="0"/>
              <w:bidi w:val="0"/>
              <w:spacing w:before="200" w:line="400" w:lineRule="exact"/>
              <w:jc w:val="center"/>
              <w:rPr>
                <w:rFonts w:hint="eastAsia" w:ascii="仿宋" w:hAnsi="仿宋" w:eastAsia="仿宋" w:cs="仿宋"/>
                <w:color w:val="auto"/>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3A4EB374">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1D23B2DA">
            <w:pPr>
              <w:pStyle w:val="15"/>
              <w:keepNext w:val="0"/>
              <w:keepLines w:val="0"/>
              <w:pageBreakBefore w:val="0"/>
              <w:wordWrap/>
              <w:overflowPunct/>
              <w:topLinePunct w:val="0"/>
              <w:bidi w:val="0"/>
              <w:spacing w:before="154"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198A1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0" w:type="auto"/>
            <w:vAlign w:val="top"/>
          </w:tcPr>
          <w:p w14:paraId="6B803D3B">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多孔砖</w:t>
            </w:r>
          </w:p>
        </w:tc>
        <w:tc>
          <w:tcPr>
            <w:tcW w:w="0" w:type="auto"/>
            <w:vAlign w:val="top"/>
          </w:tcPr>
          <w:p w14:paraId="1D0E527D">
            <w:pPr>
              <w:pStyle w:val="15"/>
              <w:keepNext w:val="0"/>
              <w:keepLines w:val="0"/>
              <w:pageBreakBefore w:val="0"/>
              <w:wordWrap/>
              <w:overflowPunct/>
              <w:topLinePunct w:val="0"/>
              <w:bidi w:val="0"/>
              <w:spacing w:before="200" w:line="400" w:lineRule="exact"/>
              <w:jc w:val="center"/>
              <w:rPr>
                <w:rFonts w:hint="eastAsia" w:ascii="仿宋" w:hAnsi="仿宋" w:eastAsia="仿宋" w:cs="仿宋"/>
                <w:color w:val="auto"/>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6F55B713">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6EFCF5E5">
            <w:pPr>
              <w:pStyle w:val="15"/>
              <w:keepNext w:val="0"/>
              <w:keepLines w:val="0"/>
              <w:pageBreakBefore w:val="0"/>
              <w:wordWrap/>
              <w:overflowPunct/>
              <w:topLinePunct w:val="0"/>
              <w:bidi w:val="0"/>
              <w:spacing w:before="155"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6C7BE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0" w:type="auto"/>
            <w:vAlign w:val="top"/>
          </w:tcPr>
          <w:p w14:paraId="7572B673">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标砖</w:t>
            </w:r>
          </w:p>
        </w:tc>
        <w:tc>
          <w:tcPr>
            <w:tcW w:w="0" w:type="auto"/>
            <w:vAlign w:val="top"/>
          </w:tcPr>
          <w:p w14:paraId="5F7273D2">
            <w:pPr>
              <w:pStyle w:val="15"/>
              <w:keepNext w:val="0"/>
              <w:keepLines w:val="0"/>
              <w:pageBreakBefore w:val="0"/>
              <w:wordWrap/>
              <w:overflowPunct/>
              <w:topLinePunct w:val="0"/>
              <w:bidi w:val="0"/>
              <w:spacing w:before="191" w:line="400" w:lineRule="exact"/>
              <w:jc w:val="center"/>
              <w:rPr>
                <w:rFonts w:hint="eastAsia" w:ascii="仿宋" w:hAnsi="仿宋" w:eastAsia="仿宋" w:cs="仿宋"/>
                <w:color w:val="auto"/>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79B18DD5">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3FEE23AC">
            <w:pPr>
              <w:pStyle w:val="15"/>
              <w:keepNext w:val="0"/>
              <w:keepLines w:val="0"/>
              <w:pageBreakBefore w:val="0"/>
              <w:wordWrap/>
              <w:overflowPunct/>
              <w:topLinePunct w:val="0"/>
              <w:bidi w:val="0"/>
              <w:spacing w:before="146"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1A3C3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0" w:type="auto"/>
            <w:vAlign w:val="top"/>
          </w:tcPr>
          <w:p w14:paraId="579061C8">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混凝土实心砖</w:t>
            </w:r>
          </w:p>
        </w:tc>
        <w:tc>
          <w:tcPr>
            <w:tcW w:w="0" w:type="auto"/>
            <w:vAlign w:val="top"/>
          </w:tcPr>
          <w:p w14:paraId="345CE162">
            <w:pPr>
              <w:pStyle w:val="15"/>
              <w:keepNext w:val="0"/>
              <w:keepLines w:val="0"/>
              <w:pageBreakBefore w:val="0"/>
              <w:wordWrap/>
              <w:overflowPunct/>
              <w:topLinePunct w:val="0"/>
              <w:bidi w:val="0"/>
              <w:spacing w:before="191" w:line="400" w:lineRule="exact"/>
              <w:jc w:val="center"/>
              <w:rPr>
                <w:rFonts w:hint="eastAsia" w:ascii="仿宋" w:hAnsi="仿宋" w:eastAsia="仿宋" w:cs="仿宋"/>
                <w:color w:val="auto"/>
                <w:spacing w:val="-6"/>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6F3A78E6">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6B9A6234">
            <w:pPr>
              <w:pStyle w:val="15"/>
              <w:keepNext w:val="0"/>
              <w:keepLines w:val="0"/>
              <w:pageBreakBefore w:val="0"/>
              <w:wordWrap/>
              <w:overflowPunct/>
              <w:topLinePunct w:val="0"/>
              <w:bidi w:val="0"/>
              <w:spacing w:before="146" w:line="400" w:lineRule="exact"/>
              <w:ind w:left="383"/>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(领用量-甲方审核确定的</w:t>
            </w:r>
            <w:r>
              <w:rPr>
                <w:rFonts w:hint="eastAsia" w:ascii="仿宋" w:hAnsi="仿宋" w:eastAsia="仿宋" w:cs="仿宋"/>
                <w:color w:val="auto"/>
                <w:highlight w:val="none"/>
                <w:lang w:val="en-US" w:eastAsia="zh-CN"/>
              </w:rPr>
              <w:t>施工方案用量</w:t>
            </w:r>
            <w:r>
              <w:rPr>
                <w:rFonts w:hint="eastAsia" w:ascii="仿宋" w:hAnsi="仿宋" w:eastAsia="仿宋" w:cs="仿宋"/>
                <w:color w:val="auto"/>
                <w:highlight w:val="none"/>
              </w:rPr>
              <w:t>)/甲方审核确定的</w:t>
            </w:r>
            <w:r>
              <w:rPr>
                <w:rFonts w:hint="eastAsia" w:ascii="仿宋" w:hAnsi="仿宋" w:eastAsia="仿宋" w:cs="仿宋"/>
                <w:color w:val="auto"/>
                <w:highlight w:val="none"/>
                <w:lang w:val="en-US" w:eastAsia="zh-CN"/>
              </w:rPr>
              <w:t>施工方案用量</w:t>
            </w:r>
          </w:p>
        </w:tc>
      </w:tr>
      <w:tr w14:paraId="4D231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0" w:type="auto"/>
            <w:vAlign w:val="top"/>
          </w:tcPr>
          <w:p w14:paraId="32FECE7F">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钢卡件原材</w:t>
            </w:r>
          </w:p>
        </w:tc>
        <w:tc>
          <w:tcPr>
            <w:tcW w:w="0" w:type="auto"/>
            <w:vAlign w:val="top"/>
          </w:tcPr>
          <w:p w14:paraId="1904B679">
            <w:pPr>
              <w:pStyle w:val="15"/>
              <w:keepNext w:val="0"/>
              <w:keepLines w:val="0"/>
              <w:pageBreakBefore w:val="0"/>
              <w:wordWrap/>
              <w:overflowPunct/>
              <w:topLinePunct w:val="0"/>
              <w:bidi w:val="0"/>
              <w:spacing w:before="191" w:line="400" w:lineRule="exact"/>
              <w:jc w:val="center"/>
              <w:rPr>
                <w:rFonts w:hint="eastAsia" w:ascii="仿宋" w:hAnsi="仿宋" w:eastAsia="仿宋" w:cs="仿宋"/>
                <w:color w:val="auto"/>
                <w:spacing w:val="-6"/>
                <w:highlight w:val="none"/>
                <w:lang w:val="en-US" w:eastAsia="zh-CN"/>
              </w:rPr>
            </w:pPr>
            <w:r>
              <w:rPr>
                <w:rFonts w:hint="eastAsia" w:ascii="仿宋" w:hAnsi="仿宋" w:eastAsia="仿宋" w:cs="仿宋"/>
                <w:color w:val="auto"/>
                <w:spacing w:val="-1"/>
                <w:highlight w:val="none"/>
                <w:lang w:val="en-US" w:eastAsia="zh-CN"/>
              </w:rPr>
              <w:t>1.5</w:t>
            </w:r>
            <w:r>
              <w:rPr>
                <w:rFonts w:hint="eastAsia" w:ascii="仿宋" w:hAnsi="仿宋" w:eastAsia="仿宋" w:cs="仿宋"/>
                <w:color w:val="auto"/>
                <w:spacing w:val="-1"/>
                <w:highlight w:val="none"/>
              </w:rPr>
              <w:t>%</w:t>
            </w:r>
          </w:p>
        </w:tc>
        <w:tc>
          <w:tcPr>
            <w:tcW w:w="0" w:type="auto"/>
            <w:vMerge w:val="continue"/>
            <w:vAlign w:val="top"/>
          </w:tcPr>
          <w:p w14:paraId="678ADEA5">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66F07D17">
            <w:pPr>
              <w:pStyle w:val="15"/>
              <w:keepNext w:val="0"/>
              <w:keepLines w:val="0"/>
              <w:pageBreakBefore w:val="0"/>
              <w:wordWrap/>
              <w:overflowPunct/>
              <w:topLinePunct w:val="0"/>
              <w:bidi w:val="0"/>
              <w:spacing w:before="146"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0FCA7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0" w:type="auto"/>
            <w:vAlign w:val="top"/>
          </w:tcPr>
          <w:p w14:paraId="6F164C24">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泵管</w:t>
            </w:r>
          </w:p>
        </w:tc>
        <w:tc>
          <w:tcPr>
            <w:tcW w:w="0" w:type="auto"/>
            <w:vAlign w:val="top"/>
          </w:tcPr>
          <w:p w14:paraId="47A29B96">
            <w:pPr>
              <w:pStyle w:val="15"/>
              <w:keepNext w:val="0"/>
              <w:keepLines w:val="0"/>
              <w:pageBreakBefore w:val="0"/>
              <w:wordWrap/>
              <w:overflowPunct/>
              <w:topLinePunct w:val="0"/>
              <w:bidi w:val="0"/>
              <w:spacing w:before="202" w:line="400" w:lineRule="exact"/>
              <w:jc w:val="center"/>
              <w:rPr>
                <w:rFonts w:hint="eastAsia" w:ascii="仿宋" w:hAnsi="仿宋" w:eastAsia="仿宋" w:cs="仿宋"/>
                <w:color w:val="auto"/>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0179C88A">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52641E3F">
            <w:pPr>
              <w:pStyle w:val="15"/>
              <w:keepNext w:val="0"/>
              <w:keepLines w:val="0"/>
              <w:pageBreakBefore w:val="0"/>
              <w:wordWrap/>
              <w:overflowPunct/>
              <w:topLinePunct w:val="0"/>
              <w:bidi w:val="0"/>
              <w:spacing w:before="157"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63642F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0" w:type="auto"/>
            <w:vAlign w:val="top"/>
          </w:tcPr>
          <w:p w14:paraId="43FA4C6D">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钢筋</w:t>
            </w:r>
          </w:p>
        </w:tc>
        <w:tc>
          <w:tcPr>
            <w:tcW w:w="0" w:type="auto"/>
            <w:vAlign w:val="top"/>
          </w:tcPr>
          <w:p w14:paraId="29D2C912">
            <w:pPr>
              <w:pStyle w:val="15"/>
              <w:keepNext w:val="0"/>
              <w:keepLines w:val="0"/>
              <w:pageBreakBefore w:val="0"/>
              <w:wordWrap/>
              <w:overflowPunct/>
              <w:topLinePunct w:val="0"/>
              <w:bidi w:val="0"/>
              <w:spacing w:before="202" w:line="400" w:lineRule="exact"/>
              <w:jc w:val="center"/>
              <w:rPr>
                <w:rFonts w:hint="eastAsia" w:ascii="仿宋" w:hAnsi="仿宋" w:eastAsia="仿宋" w:cs="仿宋"/>
                <w:color w:val="auto"/>
                <w:spacing w:val="-6"/>
                <w:highlight w:val="none"/>
              </w:rPr>
            </w:pPr>
            <w:r>
              <w:rPr>
                <w:rFonts w:hint="eastAsia" w:ascii="仿宋" w:hAnsi="仿宋" w:eastAsia="仿宋" w:cs="仿宋"/>
                <w:color w:val="auto"/>
                <w:spacing w:val="-1"/>
                <w:highlight w:val="none"/>
                <w:lang w:val="en-US" w:eastAsia="zh-CN"/>
              </w:rPr>
              <w:t>1.5</w:t>
            </w:r>
            <w:r>
              <w:rPr>
                <w:rFonts w:hint="eastAsia" w:ascii="仿宋" w:hAnsi="仿宋" w:eastAsia="仿宋" w:cs="仿宋"/>
                <w:color w:val="auto"/>
                <w:spacing w:val="-1"/>
                <w:highlight w:val="none"/>
              </w:rPr>
              <w:t>%</w:t>
            </w:r>
          </w:p>
        </w:tc>
        <w:tc>
          <w:tcPr>
            <w:tcW w:w="0" w:type="auto"/>
            <w:vMerge w:val="continue"/>
            <w:vAlign w:val="top"/>
          </w:tcPr>
          <w:p w14:paraId="45602B35">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20EB8E56">
            <w:pPr>
              <w:pStyle w:val="15"/>
              <w:keepNext w:val="0"/>
              <w:keepLines w:val="0"/>
              <w:pageBreakBefore w:val="0"/>
              <w:wordWrap/>
              <w:overflowPunct/>
              <w:topLinePunct w:val="0"/>
              <w:bidi w:val="0"/>
              <w:spacing w:before="157"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0D52E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0" w:type="auto"/>
            <w:vAlign w:val="top"/>
          </w:tcPr>
          <w:p w14:paraId="1570B604">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套筒</w:t>
            </w:r>
          </w:p>
        </w:tc>
        <w:tc>
          <w:tcPr>
            <w:tcW w:w="0" w:type="auto"/>
            <w:vAlign w:val="top"/>
          </w:tcPr>
          <w:p w14:paraId="31C40E05">
            <w:pPr>
              <w:pStyle w:val="15"/>
              <w:keepNext w:val="0"/>
              <w:keepLines w:val="0"/>
              <w:pageBreakBefore w:val="0"/>
              <w:wordWrap/>
              <w:overflowPunct/>
              <w:topLinePunct w:val="0"/>
              <w:bidi w:val="0"/>
              <w:spacing w:before="202" w:line="400" w:lineRule="exact"/>
              <w:jc w:val="center"/>
              <w:rPr>
                <w:rFonts w:hint="eastAsia" w:ascii="仿宋" w:hAnsi="仿宋" w:eastAsia="仿宋" w:cs="仿宋"/>
                <w:color w:val="auto"/>
                <w:spacing w:val="-6"/>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67DF4573">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29BF5D1D">
            <w:pPr>
              <w:pStyle w:val="15"/>
              <w:keepNext w:val="0"/>
              <w:keepLines w:val="0"/>
              <w:pageBreakBefore w:val="0"/>
              <w:wordWrap/>
              <w:overflowPunct/>
              <w:topLinePunct w:val="0"/>
              <w:bidi w:val="0"/>
              <w:spacing w:before="157"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45E48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0" w:type="auto"/>
            <w:vAlign w:val="top"/>
          </w:tcPr>
          <w:p w14:paraId="312CC531">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止水钢板或止水带</w:t>
            </w:r>
          </w:p>
        </w:tc>
        <w:tc>
          <w:tcPr>
            <w:tcW w:w="0" w:type="auto"/>
            <w:vAlign w:val="top"/>
          </w:tcPr>
          <w:p w14:paraId="1DA22DBF">
            <w:pPr>
              <w:pStyle w:val="15"/>
              <w:keepNext w:val="0"/>
              <w:keepLines w:val="0"/>
              <w:pageBreakBefore w:val="0"/>
              <w:wordWrap/>
              <w:overflowPunct/>
              <w:topLinePunct w:val="0"/>
              <w:bidi w:val="0"/>
              <w:spacing w:before="202" w:line="400" w:lineRule="exact"/>
              <w:jc w:val="center"/>
              <w:rPr>
                <w:rFonts w:hint="eastAsia" w:ascii="仿宋" w:hAnsi="仿宋" w:eastAsia="仿宋" w:cs="仿宋"/>
                <w:color w:val="auto"/>
                <w:spacing w:val="-6"/>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68F5B16A">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1B6EF499">
            <w:pPr>
              <w:pStyle w:val="15"/>
              <w:keepNext w:val="0"/>
              <w:keepLines w:val="0"/>
              <w:pageBreakBefore w:val="0"/>
              <w:wordWrap/>
              <w:overflowPunct/>
              <w:topLinePunct w:val="0"/>
              <w:bidi w:val="0"/>
              <w:spacing w:before="157"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211C7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0" w:type="auto"/>
            <w:vAlign w:val="top"/>
          </w:tcPr>
          <w:p w14:paraId="45A50031">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止水丝杆</w:t>
            </w:r>
          </w:p>
        </w:tc>
        <w:tc>
          <w:tcPr>
            <w:tcW w:w="0" w:type="auto"/>
            <w:vAlign w:val="top"/>
          </w:tcPr>
          <w:p w14:paraId="51CCF2CB">
            <w:pPr>
              <w:pStyle w:val="15"/>
              <w:keepNext w:val="0"/>
              <w:keepLines w:val="0"/>
              <w:pageBreakBefore w:val="0"/>
              <w:wordWrap/>
              <w:overflowPunct/>
              <w:topLinePunct w:val="0"/>
              <w:bidi w:val="0"/>
              <w:spacing w:before="202" w:line="400" w:lineRule="exact"/>
              <w:ind w:left="411"/>
              <w:jc w:val="center"/>
              <w:rPr>
                <w:rFonts w:hint="eastAsia" w:ascii="仿宋" w:hAnsi="仿宋" w:eastAsia="仿宋" w:cs="仿宋"/>
                <w:color w:val="auto"/>
                <w:spacing w:val="-6"/>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6CC00425">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5AC68BA6">
            <w:pPr>
              <w:pStyle w:val="15"/>
              <w:keepNext w:val="0"/>
              <w:keepLines w:val="0"/>
              <w:pageBreakBefore w:val="0"/>
              <w:wordWrap/>
              <w:overflowPunct/>
              <w:topLinePunct w:val="0"/>
              <w:bidi w:val="0"/>
              <w:spacing w:before="157"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4E5F1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0" w:type="auto"/>
            <w:vAlign w:val="top"/>
          </w:tcPr>
          <w:p w14:paraId="5FD2B7DA">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外脚手架</w:t>
            </w:r>
          </w:p>
        </w:tc>
        <w:tc>
          <w:tcPr>
            <w:tcW w:w="0" w:type="auto"/>
            <w:vAlign w:val="top"/>
          </w:tcPr>
          <w:p w14:paraId="22E7ECE1">
            <w:pPr>
              <w:pStyle w:val="15"/>
              <w:keepNext w:val="0"/>
              <w:keepLines w:val="0"/>
              <w:pageBreakBefore w:val="0"/>
              <w:wordWrap/>
              <w:overflowPunct/>
              <w:topLinePunct w:val="0"/>
              <w:bidi w:val="0"/>
              <w:spacing w:before="202" w:line="400" w:lineRule="exact"/>
              <w:ind w:left="411"/>
              <w:jc w:val="center"/>
              <w:rPr>
                <w:rFonts w:hint="eastAsia" w:ascii="仿宋" w:hAnsi="仿宋" w:eastAsia="仿宋" w:cs="仿宋"/>
                <w:color w:val="auto"/>
                <w:spacing w:val="-6"/>
                <w:highlight w:val="none"/>
              </w:rPr>
            </w:pPr>
            <w:r>
              <w:rPr>
                <w:rFonts w:hint="eastAsia" w:ascii="仿宋" w:hAnsi="仿宋" w:eastAsia="仿宋" w:cs="仿宋"/>
                <w:color w:val="auto"/>
                <w:spacing w:val="-1"/>
                <w:highlight w:val="none"/>
                <w:lang w:val="en-US" w:eastAsia="zh-CN"/>
              </w:rPr>
              <w:t>1.5</w:t>
            </w:r>
            <w:r>
              <w:rPr>
                <w:rFonts w:hint="eastAsia" w:ascii="仿宋" w:hAnsi="仿宋" w:eastAsia="仿宋" w:cs="仿宋"/>
                <w:color w:val="auto"/>
                <w:spacing w:val="-1"/>
                <w:highlight w:val="none"/>
              </w:rPr>
              <w:t>%</w:t>
            </w:r>
          </w:p>
        </w:tc>
        <w:tc>
          <w:tcPr>
            <w:tcW w:w="0" w:type="auto"/>
            <w:vMerge w:val="continue"/>
            <w:vAlign w:val="top"/>
          </w:tcPr>
          <w:p w14:paraId="7BE2A663">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7604C303">
            <w:pPr>
              <w:pStyle w:val="15"/>
              <w:keepNext w:val="0"/>
              <w:keepLines w:val="0"/>
              <w:pageBreakBefore w:val="0"/>
              <w:wordWrap/>
              <w:overflowPunct/>
              <w:topLinePunct w:val="0"/>
              <w:bidi w:val="0"/>
              <w:spacing w:before="157"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4E50C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0" w:type="auto"/>
            <w:vAlign w:val="top"/>
          </w:tcPr>
          <w:p w14:paraId="4A9606E4">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r>
              <w:rPr>
                <w:rFonts w:hint="eastAsia" w:ascii="仿宋" w:hAnsi="仿宋" w:eastAsia="仿宋" w:cs="仿宋"/>
                <w:color w:val="auto"/>
                <w:spacing w:val="-3"/>
                <w:highlight w:val="none"/>
                <w:lang w:val="en-US" w:eastAsia="zh-CN"/>
              </w:rPr>
              <w:t>保温板</w:t>
            </w:r>
          </w:p>
        </w:tc>
        <w:tc>
          <w:tcPr>
            <w:tcW w:w="0" w:type="auto"/>
            <w:vAlign w:val="top"/>
          </w:tcPr>
          <w:p w14:paraId="52369351">
            <w:pPr>
              <w:pStyle w:val="15"/>
              <w:keepNext w:val="0"/>
              <w:keepLines w:val="0"/>
              <w:pageBreakBefore w:val="0"/>
              <w:wordWrap/>
              <w:overflowPunct/>
              <w:topLinePunct w:val="0"/>
              <w:bidi w:val="0"/>
              <w:spacing w:before="202" w:line="400" w:lineRule="exact"/>
              <w:ind w:left="411"/>
              <w:jc w:val="center"/>
              <w:rPr>
                <w:rFonts w:hint="eastAsia" w:ascii="仿宋" w:hAnsi="仿宋" w:eastAsia="仿宋" w:cs="仿宋"/>
                <w:color w:val="auto"/>
                <w:spacing w:val="-6"/>
                <w:highlight w:val="none"/>
              </w:rPr>
            </w:pPr>
            <w:r>
              <w:rPr>
                <w:rFonts w:hint="eastAsia" w:ascii="仿宋" w:hAnsi="仿宋" w:eastAsia="仿宋" w:cs="仿宋"/>
                <w:color w:val="auto"/>
                <w:spacing w:val="-1"/>
                <w:highlight w:val="none"/>
                <w:lang w:val="en-US" w:eastAsia="zh-CN"/>
              </w:rPr>
              <w:t>1</w:t>
            </w:r>
            <w:r>
              <w:rPr>
                <w:rFonts w:hint="eastAsia" w:ascii="仿宋" w:hAnsi="仿宋" w:eastAsia="仿宋" w:cs="仿宋"/>
                <w:color w:val="auto"/>
                <w:spacing w:val="-1"/>
                <w:highlight w:val="none"/>
              </w:rPr>
              <w:t>%</w:t>
            </w:r>
          </w:p>
        </w:tc>
        <w:tc>
          <w:tcPr>
            <w:tcW w:w="0" w:type="auto"/>
            <w:vMerge w:val="continue"/>
            <w:vAlign w:val="top"/>
          </w:tcPr>
          <w:p w14:paraId="5E0CE383">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651CCDC3">
            <w:pPr>
              <w:pStyle w:val="15"/>
              <w:keepNext w:val="0"/>
              <w:keepLines w:val="0"/>
              <w:pageBreakBefore w:val="0"/>
              <w:wordWrap/>
              <w:overflowPunct/>
              <w:topLinePunct w:val="0"/>
              <w:bidi w:val="0"/>
              <w:spacing w:before="157" w:line="400" w:lineRule="exact"/>
              <w:ind w:left="383"/>
              <w:rPr>
                <w:rFonts w:hint="eastAsia" w:ascii="仿宋" w:hAnsi="仿宋" w:eastAsia="仿宋" w:cs="仿宋"/>
                <w:color w:val="auto"/>
                <w:highlight w:val="none"/>
              </w:rPr>
            </w:pPr>
            <w:r>
              <w:rPr>
                <w:rFonts w:hint="eastAsia" w:ascii="仿宋" w:hAnsi="仿宋" w:eastAsia="仿宋" w:cs="仿宋"/>
                <w:color w:val="auto"/>
                <w:highlight w:val="none"/>
              </w:rPr>
              <w:t>(领用量-甲方审核确定的图算量)/甲方审核确定的图算量</w:t>
            </w:r>
          </w:p>
        </w:tc>
      </w:tr>
      <w:tr w14:paraId="15837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0" w:type="auto"/>
            <w:vAlign w:val="top"/>
          </w:tcPr>
          <w:p w14:paraId="4DFD8B40">
            <w:pPr>
              <w:pStyle w:val="15"/>
              <w:keepNext w:val="0"/>
              <w:keepLines w:val="0"/>
              <w:pageBreakBefore w:val="0"/>
              <w:wordWrap/>
              <w:overflowPunct/>
              <w:topLinePunct w:val="0"/>
              <w:bidi w:val="0"/>
              <w:spacing w:before="149" w:line="400" w:lineRule="exact"/>
              <w:jc w:val="center"/>
              <w:rPr>
                <w:rFonts w:hint="eastAsia" w:ascii="仿宋" w:hAnsi="仿宋" w:eastAsia="仿宋" w:cs="仿宋"/>
                <w:color w:val="auto"/>
                <w:spacing w:val="-3"/>
                <w:highlight w:val="none"/>
                <w:lang w:val="en-US" w:eastAsia="zh-CN"/>
              </w:rPr>
            </w:pPr>
          </w:p>
        </w:tc>
        <w:tc>
          <w:tcPr>
            <w:tcW w:w="0" w:type="auto"/>
            <w:vAlign w:val="top"/>
          </w:tcPr>
          <w:p w14:paraId="6860DDE1">
            <w:pPr>
              <w:pStyle w:val="15"/>
              <w:keepNext w:val="0"/>
              <w:keepLines w:val="0"/>
              <w:pageBreakBefore w:val="0"/>
              <w:wordWrap/>
              <w:overflowPunct/>
              <w:topLinePunct w:val="0"/>
              <w:bidi w:val="0"/>
              <w:spacing w:before="202" w:line="400" w:lineRule="exact"/>
              <w:ind w:left="411"/>
              <w:jc w:val="left"/>
              <w:rPr>
                <w:rFonts w:hint="eastAsia" w:ascii="仿宋" w:hAnsi="仿宋" w:eastAsia="仿宋" w:cs="仿宋"/>
                <w:color w:val="auto"/>
                <w:spacing w:val="-1"/>
                <w:highlight w:val="none"/>
                <w:lang w:val="en-US" w:eastAsia="zh-CN"/>
              </w:rPr>
            </w:pPr>
          </w:p>
        </w:tc>
        <w:tc>
          <w:tcPr>
            <w:tcW w:w="0" w:type="auto"/>
            <w:vMerge w:val="continue"/>
            <w:vAlign w:val="top"/>
          </w:tcPr>
          <w:p w14:paraId="5A9780EA">
            <w:pPr>
              <w:keepNext w:val="0"/>
              <w:keepLines w:val="0"/>
              <w:pageBreakBefore w:val="0"/>
              <w:wordWrap/>
              <w:overflowPunct/>
              <w:topLinePunct w:val="0"/>
              <w:bidi w:val="0"/>
              <w:spacing w:line="400" w:lineRule="exact"/>
              <w:rPr>
                <w:rFonts w:hint="eastAsia" w:ascii="仿宋" w:hAnsi="仿宋" w:eastAsia="仿宋" w:cs="仿宋"/>
                <w:color w:val="auto"/>
                <w:sz w:val="21"/>
                <w:highlight w:val="none"/>
              </w:rPr>
            </w:pPr>
          </w:p>
        </w:tc>
        <w:tc>
          <w:tcPr>
            <w:tcW w:w="0" w:type="auto"/>
            <w:vAlign w:val="top"/>
          </w:tcPr>
          <w:p w14:paraId="10D85A54">
            <w:pPr>
              <w:pStyle w:val="15"/>
              <w:keepNext w:val="0"/>
              <w:keepLines w:val="0"/>
              <w:pageBreakBefore w:val="0"/>
              <w:wordWrap/>
              <w:overflowPunct/>
              <w:topLinePunct w:val="0"/>
              <w:bidi w:val="0"/>
              <w:spacing w:before="157" w:line="400" w:lineRule="exact"/>
              <w:ind w:left="383"/>
              <w:rPr>
                <w:rFonts w:hint="eastAsia" w:ascii="仿宋" w:hAnsi="仿宋" w:eastAsia="仿宋" w:cs="仿宋"/>
                <w:color w:val="auto"/>
                <w:highlight w:val="none"/>
              </w:rPr>
            </w:pPr>
          </w:p>
        </w:tc>
      </w:tr>
    </w:tbl>
    <w:p w14:paraId="75A191F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5"/>
          <w:szCs w:val="25"/>
          <w:highlight w:val="none"/>
          <w:lang w:val="en-US" w:eastAsia="zh-CN"/>
        </w:rPr>
      </w:pPr>
    </w:p>
    <w:p w14:paraId="5AA6CB1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(三)甲供材管理</w:t>
      </w:r>
    </w:p>
    <w:p w14:paraId="010A17D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乙方授权</w:t>
      </w:r>
      <w:r>
        <w:rPr>
          <w:rFonts w:hint="eastAsia" w:ascii="仿宋" w:hAnsi="仿宋" w:eastAsia="仿宋" w:cs="仿宋"/>
          <w:b/>
          <w:bCs/>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zh-CN"/>
        </w:rPr>
        <w:t>(身份证号码</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、联系方式</w:t>
      </w:r>
      <w:r>
        <w:rPr>
          <w:rFonts w:hint="eastAsia" w:ascii="仿宋" w:hAnsi="仿宋" w:eastAsia="仿宋" w:cs="仿宋"/>
          <w:color w:val="auto"/>
          <w:sz w:val="25"/>
          <w:szCs w:val="25"/>
          <w:highlight w:val="none"/>
          <w:u w:val="none"/>
          <w:lang w:val="en-US" w:eastAsia="zh-CN"/>
        </w:rPr>
        <w:t>：</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)为材料联络人员，负责对甲方项目部组织进场的材料进行质量检查、点验数量并签字确认。乙方应对相应授权人员出具授权委托书，明确授权人和被授权人信息、授权时间、授权范围等信息。</w:t>
      </w:r>
    </w:p>
    <w:p w14:paraId="6890A2B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施工人员须佩戴统一的安全帽、穿着统一的反光背心，安全帽及反光背心由甲方根据乙方进场施工人员数量进行提供，施工过程中由乙方负责使用及保管，完工后按照发放数量统一交回甲方，不足部分甲方按照采购价在乙方计量款中扣除。</w:t>
      </w:r>
    </w:p>
    <w:p w14:paraId="7C63F4BD">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(四)周转性材料的管理</w:t>
      </w:r>
    </w:p>
    <w:p w14:paraId="25B60B6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自备周转性材料必须在进场前报甲方物资、安全、工程等部门共同验收并备案，退场时由甲方物资部门对其周转性材料进行核实，办理周转性材料退场的相关手续，乙方使用甲方周转性材料另行签订租赁协议。</w:t>
      </w:r>
    </w:p>
    <w:p w14:paraId="4FDE677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4" w:name="bookmark31"/>
      <w:bookmarkEnd w:id="14"/>
      <w:bookmarkStart w:id="15" w:name="_Toc6244"/>
      <w:r>
        <w:rPr>
          <w:rFonts w:hint="eastAsia" w:ascii="仿宋" w:hAnsi="仿宋" w:eastAsia="仿宋" w:cs="仿宋"/>
          <w:b/>
          <w:bCs/>
          <w:color w:val="auto"/>
          <w:sz w:val="25"/>
          <w:szCs w:val="25"/>
          <w:highlight w:val="none"/>
          <w:lang w:val="en-US" w:eastAsia="zh-CN"/>
        </w:rPr>
        <w:t>七、施工设备</w:t>
      </w:r>
      <w:bookmarkEnd w:id="15"/>
    </w:p>
    <w:p w14:paraId="1D1E52A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 xml:space="preserve">1、除塔吊、施工电梯、吊车甲供外，其余设备乙方根据项目要求自行考虑。 </w:t>
      </w:r>
    </w:p>
    <w:p w14:paraId="4E16047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2、乙方所投入设备的型号与数量，必须满足甲方对机械设备的要求，必须提供设备的相关证件等，并保证所有相关证照持续有效。如果乙方不能保证证件的持续有效，甲方有权要求更换，直至终止协议。</w:t>
      </w:r>
    </w:p>
    <w:p w14:paraId="4179570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安全部备案，物资部、安全部进行登记核实。</w:t>
      </w:r>
    </w:p>
    <w:p w14:paraId="2F6E034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4、乙方设备停放与管理要服从甲方现场总体要求，不得随意进出特定区域和乱停乱放。否则甲方有权自行移动相关设备并不承担任何责任，由此产生的一切费用由乙方承担。</w:t>
      </w:r>
    </w:p>
    <w:p w14:paraId="0E83774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5、乙方使用甲方设备，必须书面申请，由甲方统一安排，零星使用甲方设备由甲乙双方协商确认计量方式及台时费标准，费用在工程款结算时扣除，使用甲方施工设备造成损坏的，应负相应的赔偿责任。</w:t>
      </w:r>
    </w:p>
    <w:p w14:paraId="270017F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6、乙方每月应将自有主要设备的完好、使用、维修等情况上报甲方设备物资部门，供甲方对施工资源、生产进度及设备安全性能进行及时分析和掌握。</w:t>
      </w:r>
    </w:p>
    <w:p w14:paraId="743847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7、乙方施工设备应安全装置齐全、性能可靠，其施工设备的安全责任由乙方负责。</w:t>
      </w:r>
    </w:p>
    <w:p w14:paraId="7F95E06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8、乙方进场的机械设备应自行办理相关设备险。</w:t>
      </w:r>
    </w:p>
    <w:p w14:paraId="69A0619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9、乙方履约完成、退场(含履约完毕退场及中途退场)或乙方违约被清退时，乙方投入本工程的所有设备由乙方自行妥善处理，不得以任何理由要求由甲方收购该设备或要求甲方以任何形式承担任何费用及责任。</w:t>
      </w:r>
    </w:p>
    <w:p w14:paraId="5CB201B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6" w:name="_Toc21308"/>
      <w:r>
        <w:rPr>
          <w:rFonts w:hint="eastAsia" w:ascii="仿宋" w:hAnsi="仿宋" w:eastAsia="仿宋" w:cs="仿宋"/>
          <w:b/>
          <w:bCs/>
          <w:color w:val="auto"/>
          <w:sz w:val="25"/>
          <w:szCs w:val="25"/>
          <w:highlight w:val="none"/>
          <w:lang w:val="en-US" w:eastAsia="zh-CN"/>
        </w:rPr>
        <w:t>八、质量要求</w:t>
      </w:r>
      <w:bookmarkEnd w:id="16"/>
    </w:p>
    <w:p w14:paraId="791778B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1、质量目标与要求</w:t>
      </w:r>
    </w:p>
    <w:p w14:paraId="4EEBE45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本项目质量要求为</w:t>
      </w:r>
      <w:r>
        <w:rPr>
          <w:rFonts w:hint="eastAsia" w:ascii="仿宋" w:hAnsi="仿宋" w:eastAsia="仿宋" w:cs="仿宋"/>
          <w:color w:val="auto"/>
          <w:sz w:val="25"/>
          <w:szCs w:val="25"/>
          <w:highlight w:val="none"/>
          <w:u w:val="single"/>
          <w:lang w:val="en-US" w:eastAsia="zh-CN"/>
        </w:rPr>
        <w:t>合格</w:t>
      </w:r>
      <w:r>
        <w:rPr>
          <w:rFonts w:hint="eastAsia" w:ascii="仿宋" w:hAnsi="仿宋" w:eastAsia="仿宋" w:cs="仿宋"/>
          <w:color w:val="auto"/>
          <w:sz w:val="25"/>
          <w:szCs w:val="25"/>
          <w:highlight w:val="none"/>
          <w:lang w:val="en-US" w:eastAsia="zh-CN"/>
        </w:rPr>
        <w:t>，需达到国家施工及验收规范规定合格标准、工序验收标准及四川省相关规定标准和甲方质量目标要求。乙方不能按本合同工期竣工或工程质量达不到约定的质量标准或发生合同列举的健康、环境、安全等事故或不按合同约定履行其他义务、责任的，将按主合同中业主及行政主管部门对甲方规定的标准和业主的处罚方式进行处理。</w:t>
      </w:r>
    </w:p>
    <w:p w14:paraId="11D488FD">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7" w:name="bookmark32"/>
      <w:bookmarkEnd w:id="17"/>
      <w:r>
        <w:rPr>
          <w:rFonts w:hint="eastAsia" w:ascii="仿宋" w:hAnsi="仿宋" w:eastAsia="仿宋" w:cs="仿宋"/>
          <w:b/>
          <w:bCs/>
          <w:color w:val="auto"/>
          <w:sz w:val="25"/>
          <w:szCs w:val="25"/>
          <w:highlight w:val="none"/>
          <w:lang w:val="en-US" w:eastAsia="zh-CN"/>
        </w:rPr>
        <w:t>2、质量检查与验收</w:t>
      </w:r>
    </w:p>
    <w:p w14:paraId="0520C35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(1)乙方必须按设计文件、现行国家的标准技术规范规定的验收标准及四川省相关规定、甲方质量要求进行施工，并接受甲方、监理、业主质检人员的监督、管理。</w:t>
      </w:r>
    </w:p>
    <w:p w14:paraId="18AF357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(2)如乙方在施工过程中发现</w:t>
      </w:r>
      <w:r>
        <w:rPr>
          <w:rFonts w:hint="eastAsia" w:ascii="仿宋" w:hAnsi="仿宋" w:eastAsia="仿宋" w:cs="仿宋"/>
          <w:color w:val="auto"/>
          <w:sz w:val="25"/>
          <w:szCs w:val="25"/>
          <w:highlight w:val="none"/>
          <w:u w:val="single"/>
          <w:lang w:val="en-US" w:eastAsia="zh-CN"/>
        </w:rPr>
        <w:t>甲供材</w:t>
      </w:r>
      <w:r>
        <w:rPr>
          <w:rFonts w:hint="eastAsia" w:ascii="仿宋" w:hAnsi="仿宋" w:eastAsia="仿宋" w:cs="仿宋"/>
          <w:color w:val="auto"/>
          <w:sz w:val="25"/>
          <w:szCs w:val="25"/>
          <w:highlight w:val="none"/>
          <w:lang w:val="en-US" w:eastAsia="zh-CN"/>
        </w:rPr>
        <w:t>质量问题，应立即通知甲方技术员及生产经理，在甲方提出处理意见以前，乙方应及时采取有效措施使损失降至最小。经确认确实为</w:t>
      </w:r>
      <w:r>
        <w:rPr>
          <w:rFonts w:hint="eastAsia" w:ascii="仿宋" w:hAnsi="仿宋" w:eastAsia="仿宋" w:cs="仿宋"/>
          <w:color w:val="auto"/>
          <w:sz w:val="25"/>
          <w:szCs w:val="25"/>
          <w:highlight w:val="none"/>
          <w:u w:val="single"/>
          <w:lang w:val="en-US" w:eastAsia="zh-CN"/>
        </w:rPr>
        <w:t>甲供材</w:t>
      </w:r>
      <w:r>
        <w:rPr>
          <w:rFonts w:hint="eastAsia" w:ascii="仿宋" w:hAnsi="仿宋" w:eastAsia="仿宋" w:cs="仿宋"/>
          <w:color w:val="auto"/>
          <w:sz w:val="25"/>
          <w:szCs w:val="25"/>
          <w:highlight w:val="none"/>
          <w:lang w:val="en-US" w:eastAsia="zh-CN"/>
        </w:rPr>
        <w:t>质量问题导致的损失，甲方可就损失情况经协商后进行补偿。</w:t>
      </w:r>
    </w:p>
    <w:p w14:paraId="0CFA4CD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en-US"/>
        </w:rPr>
      </w:pPr>
      <w:r>
        <w:rPr>
          <w:rFonts w:hint="eastAsia" w:ascii="仿宋" w:hAnsi="仿宋" w:eastAsia="仿宋" w:cs="仿宋"/>
          <w:color w:val="auto"/>
          <w:sz w:val="25"/>
          <w:szCs w:val="25"/>
          <w:highlight w:val="none"/>
          <w:lang w:val="en-US" w:eastAsia="zh-CN"/>
        </w:rPr>
        <w:t>(3)因乙方</w:t>
      </w:r>
      <w:r>
        <w:rPr>
          <w:rFonts w:hint="eastAsia" w:ascii="仿宋" w:hAnsi="仿宋" w:eastAsia="仿宋" w:cs="仿宋"/>
          <w:color w:val="auto"/>
          <w:sz w:val="25"/>
          <w:szCs w:val="25"/>
          <w:highlight w:val="none"/>
          <w:lang w:val="en-US" w:eastAsia="en-US"/>
        </w:rPr>
        <w:t>原因导致的</w:t>
      </w:r>
      <w:r>
        <w:rPr>
          <w:rFonts w:hint="eastAsia" w:ascii="仿宋" w:hAnsi="仿宋" w:eastAsia="仿宋" w:cs="仿宋"/>
          <w:color w:val="auto"/>
          <w:sz w:val="25"/>
          <w:szCs w:val="25"/>
          <w:highlight w:val="none"/>
          <w:lang w:val="en-US" w:eastAsia="zh-CN"/>
        </w:rPr>
        <w:t>施工质量问题</w:t>
      </w:r>
      <w:r>
        <w:rPr>
          <w:rFonts w:hint="eastAsia" w:ascii="仿宋" w:hAnsi="仿宋" w:eastAsia="仿宋" w:cs="仿宋"/>
          <w:color w:val="auto"/>
          <w:sz w:val="25"/>
          <w:szCs w:val="25"/>
          <w:highlight w:val="none"/>
          <w:lang w:val="en-US" w:eastAsia="en-US"/>
        </w:rPr>
        <w:t>均属于乙方责任，乙方</w:t>
      </w:r>
      <w:r>
        <w:rPr>
          <w:rFonts w:hint="eastAsia" w:ascii="仿宋" w:hAnsi="仿宋" w:eastAsia="仿宋" w:cs="仿宋"/>
          <w:color w:val="auto"/>
          <w:sz w:val="25"/>
          <w:szCs w:val="25"/>
          <w:highlight w:val="none"/>
          <w:lang w:val="en-US" w:eastAsia="zh-CN"/>
        </w:rPr>
        <w:t>除需对问题部位进行返工或修理</w:t>
      </w:r>
      <w:r>
        <w:rPr>
          <w:rFonts w:hint="eastAsia" w:ascii="仿宋" w:hAnsi="仿宋" w:eastAsia="仿宋" w:cs="仿宋"/>
          <w:color w:val="auto"/>
          <w:sz w:val="25"/>
          <w:szCs w:val="25"/>
          <w:highlight w:val="none"/>
          <w:lang w:val="en-US" w:eastAsia="en-US"/>
        </w:rPr>
        <w:t>外，还应补偿甲方损失，如乙方拒绝，甲方有权委托第三方处理并从乙方结算款中扣除相关费用。</w:t>
      </w:r>
    </w:p>
    <w:p w14:paraId="13BBD19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6CF5470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(5)乙方须按照合同及甲方的管理要求，及时向甲方提供施工技术措施、施工报表、施工原始资料等应由乙方提供的相关资料。如不能按时提供资料，甲方有权暂停给乙方的工程款结算和支付。</w:t>
      </w:r>
    </w:p>
    <w:p w14:paraId="5750782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(6)工程经甲方验收后，仍需业主、监理、国家或地方质检部门验收合格后方视为正式验收。</w:t>
      </w:r>
    </w:p>
    <w:p w14:paraId="014877E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(7)乙方必须服从甲方对本工程质量管理的规章制度。</w:t>
      </w:r>
    </w:p>
    <w:p w14:paraId="1757511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(8)本合同提前解除的，不免除乙方应承担的工程质量责任。</w:t>
      </w:r>
    </w:p>
    <w:p w14:paraId="57B9E52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验收不合格的，相关费用由乙方承担，验收合格的相关费用由甲方承担。</w:t>
      </w:r>
    </w:p>
    <w:p w14:paraId="5A8FA0F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(10)工程照管与成品、半成品保护</w:t>
      </w:r>
      <w:bookmarkStart w:id="18" w:name="bookmark33"/>
      <w:bookmarkEnd w:id="18"/>
    </w:p>
    <w:p w14:paraId="4861D88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1)自甲方向乙方移交施工工作面之日起，乙方应负责照管工程及工程相关的材料、工程设备，直到相应工程经建设单位验收合格之日止。</w:t>
      </w:r>
    </w:p>
    <w:p w14:paraId="67938F8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2)在乙方负责照管期间，因乙方原因造成工程、材料、工程设备损坏的，由乙方负责修复或更换，并承担由此增加的费用和(或)延误的工期。</w:t>
      </w:r>
    </w:p>
    <w:p w14:paraId="0BDD171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3)对合同内分期完成的成品和半成品，在相应工程经业主单位验收合格前， 由乙方承担保护责任。因乙方原因造成成品或半成品损坏的，由乙方负责修复或 更换，并承担由此增加的费用和(或)延误的工期。</w:t>
      </w:r>
    </w:p>
    <w:p w14:paraId="3DB47FD3">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19" w:name="_Toc21915"/>
      <w:r>
        <w:rPr>
          <w:rFonts w:hint="eastAsia" w:ascii="仿宋" w:hAnsi="仿宋" w:eastAsia="仿宋" w:cs="仿宋"/>
          <w:b/>
          <w:bCs/>
          <w:color w:val="auto"/>
          <w:sz w:val="25"/>
          <w:szCs w:val="25"/>
          <w:highlight w:val="none"/>
          <w:lang w:val="en-US" w:eastAsia="zh-CN"/>
        </w:rPr>
        <w:t>九、安全生产与文明施工</w:t>
      </w:r>
      <w:bookmarkEnd w:id="19"/>
    </w:p>
    <w:p w14:paraId="7BE87B6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1、乙方应严格遵守国家安全生产的法律法规、规程规范、标准，遵守甲方的安全规章制度和现场防护要求，签订《环境与职业健康安全管理责任书》及项目总分包安全管理协议，以确保施工安全。</w:t>
      </w:r>
    </w:p>
    <w:p w14:paraId="663AFAE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2、乙方必须对本单位全体施工人员的安全负责，开工前必须进行岗前培训和安全 教育，特殊工种必须按国家法律、法规要求持证上岗。乙方必须将岗前培训、安全教育记录以及特殊工种操作证复印件报甲方备案；由于乙方违章作业或安全措施不力等原因造成伤亡事故的责任和因此而发生的费用(包括给第三人造成的人身、财产损失赔偿),由乙方承担。</w:t>
      </w:r>
    </w:p>
    <w:p w14:paraId="126A200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3、乙方必须严格按照国家有关安全规定及操作规程组织施工，教育、督促全体施工人员认真落实各项安全制度、措施和要求，特别是要遵守针对本工程施工特点的施工安全规定。</w:t>
      </w:r>
    </w:p>
    <w:p w14:paraId="625CCAC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在施工过程中，必须制定出严密的安全防范措施及应急预案，配置齐全安全防护用品，对危险源和重大事故隐患进行排查，加强对人员驻地、施工现场的安全管理及各项措施和设施落实，消除事故隐患，杜绝各种事故，确保人员、设备、物资、工程的安全。乙方应承担因管理不善、违章操作等原因造成进现场的施工人员、非施工人员伤亡事故责任及费用。</w:t>
      </w:r>
    </w:p>
    <w:p w14:paraId="31C883A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0" w:name="bookmark34"/>
      <w:bookmarkEnd w:id="20"/>
      <w:r>
        <w:rPr>
          <w:rFonts w:hint="eastAsia" w:ascii="仿宋" w:hAnsi="仿宋" w:eastAsia="仿宋" w:cs="仿宋"/>
          <w:color w:val="auto"/>
          <w:sz w:val="25"/>
          <w:szCs w:val="25"/>
          <w:highlight w:val="none"/>
          <w:lang w:val="en-US" w:eastAsia="zh-CN"/>
        </w:rPr>
        <w:t>生态破坏、机械设备及其他事故均由乙方自行负责处理并承担费用。</w:t>
      </w:r>
    </w:p>
    <w:p w14:paraId="322AA6E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6、职业病防治：乙方应按照国家、省地有关规定承担对从业人员进行职业健康预防和检查，承担因从事本工程而引发职业病人员的治疗和康复，由此而产生的一切费用由乙方承担。</w:t>
      </w:r>
    </w:p>
    <w:p w14:paraId="28E8D83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7、乙方负责管理本合同工程的施工作业安全以及消防、防汛和抗灾等工作。</w:t>
      </w:r>
      <w:r>
        <w:rPr>
          <w:rFonts w:hint="eastAsia" w:ascii="仿宋" w:hAnsi="仿宋" w:eastAsia="仿宋" w:cs="仿宋"/>
          <w:color w:val="auto"/>
          <w:sz w:val="25"/>
          <w:szCs w:val="25"/>
          <w:highlight w:val="none"/>
          <w:u w:val="single"/>
          <w:lang w:val="en-US" w:eastAsia="zh-CN"/>
        </w:rPr>
        <w:t>乙方必须配备1名</w:t>
      </w:r>
      <w:r>
        <w:rPr>
          <w:rFonts w:hint="eastAsia" w:ascii="仿宋" w:hAnsi="仿宋" w:eastAsia="仿宋" w:cs="仿宋"/>
          <w:color w:val="auto"/>
          <w:sz w:val="25"/>
          <w:szCs w:val="25"/>
          <w:highlight w:val="none"/>
          <w:lang w:val="en-US" w:eastAsia="zh-CN"/>
        </w:rPr>
        <w:t>（按工程实际体量调整人员配备数量）专职安全员</w:t>
      </w:r>
      <w:r>
        <w:rPr>
          <w:rFonts w:hint="eastAsia" w:ascii="仿宋" w:hAnsi="仿宋" w:eastAsia="仿宋" w:cs="仿宋"/>
          <w:b/>
          <w:bCs/>
          <w:color w:val="auto"/>
          <w:sz w:val="25"/>
          <w:szCs w:val="25"/>
          <w:highlight w:val="none"/>
          <w:lang w:val="en-US" w:eastAsia="zh-CN"/>
        </w:rPr>
        <w:t>(必须持有建筑施工企业三类人员C证)</w:t>
      </w:r>
      <w:r>
        <w:rPr>
          <w:rFonts w:hint="eastAsia" w:ascii="仿宋" w:hAnsi="仿宋" w:eastAsia="仿宋" w:cs="仿宋"/>
          <w:color w:val="auto"/>
          <w:sz w:val="25"/>
          <w:szCs w:val="25"/>
          <w:highlight w:val="none"/>
          <w:lang w:val="en-US" w:eastAsia="zh-CN"/>
        </w:rPr>
        <w:t xml:space="preserve"> , 报甲方备案；加强施工作业的安全管理，并应服从甲方安全工程师指挥安排。</w:t>
      </w:r>
    </w:p>
    <w:p w14:paraId="01035A8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8、甲方安全管理人员有权对乙方人员进行安全培训及安全生产作出指导，并对其安全生产管理进行监督、检查以及按甲方有关规定进行处理。</w:t>
      </w:r>
    </w:p>
    <w:p w14:paraId="069F1AF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9、乙方有权拒绝甲方的违章指挥。若甲方原因导致的安全事故，由甲方承担相应责任及发生的费用。</w:t>
      </w:r>
    </w:p>
    <w:p w14:paraId="3877821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乙方在施工现场内必须配置和使用合格的安全保护用品，费用已包含在合同价格中。进入施工现场的所有与施工有关的人员必须正确佩戴安全帽，高空作业人员必须正确佩戴安全绳，电工必须正确佩戴穿戴绝缘鞋、绝缘手套等绝缘防护用品，禁止穿拖鞋进入施工场地，一经发现，处以违约金</w:t>
      </w:r>
      <w:r>
        <w:rPr>
          <w:rFonts w:hint="eastAsia" w:ascii="仿宋" w:hAnsi="仿宋" w:eastAsia="仿宋" w:cs="仿宋"/>
          <w:b/>
          <w:bCs/>
          <w:color w:val="auto"/>
          <w:sz w:val="25"/>
          <w:szCs w:val="25"/>
          <w:highlight w:val="none"/>
          <w:u w:val="single"/>
          <w:lang w:val="en-US" w:eastAsia="zh-CN"/>
        </w:rPr>
        <w:t>500</w:t>
      </w:r>
      <w:r>
        <w:rPr>
          <w:rFonts w:hint="eastAsia" w:ascii="仿宋" w:hAnsi="仿宋" w:eastAsia="仿宋" w:cs="仿宋"/>
          <w:color w:val="auto"/>
          <w:sz w:val="25"/>
          <w:szCs w:val="25"/>
          <w:highlight w:val="none"/>
          <w:lang w:val="en-US" w:eastAsia="zh-CN"/>
        </w:rPr>
        <w:t>元/人.次，同一人两次以上被安全员处以违约金的，乙方必须将该工人清出现场。</w:t>
      </w:r>
    </w:p>
    <w:p w14:paraId="77622B7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11、发生重大伤亡及其他安全事故时，乙方应采取必要的措施，及时抢救伤员，并防止事态进一步扩大、减少损失，同时须立即报告甲方。对因乙方延报、漏报或采取的措施不当而引起的损失扩大部分的责任由乙方自行承担。</w:t>
      </w:r>
    </w:p>
    <w:p w14:paraId="5E8A5FD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12、乙方应教育其施工及管理人员遵纪守法，服从工地各种管理规定，严禁打架斗殴、酒后上岗、偷盗等行为，共同维护工地的社会治安，协助现场管理人员做好施工工地和生活区的治安保卫工作。</w:t>
      </w:r>
    </w:p>
    <w:p w14:paraId="4A6F859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13、乙方必须遵守甲方有关文明施工的管理制度。乙方应保持自己生活区及施工区内的环境卫生，并做好环境保护工作。本合同工程施工过程中及完工退场时，要清理施工场地和生活驻地的垃圾，确保环境卫生干净、整洁。</w:t>
      </w:r>
    </w:p>
    <w:p w14:paraId="24FCED5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14、非甲方原因，乙方遭受到财产和人员(包括乙方雇员、乙方施工范围内其他人员)生命、健康损失由乙方自行承担。如果因此给甲方或第三方造成损失，由乙方负责赔偿。由第三者造成乙方的生命财产损失的由第三者负责，由不可抗</w:t>
      </w:r>
      <w:bookmarkStart w:id="21" w:name="bookmark35"/>
      <w:bookmarkEnd w:id="21"/>
      <w:r>
        <w:rPr>
          <w:rFonts w:hint="eastAsia" w:ascii="仿宋" w:hAnsi="仿宋" w:eastAsia="仿宋" w:cs="仿宋"/>
          <w:color w:val="auto"/>
          <w:sz w:val="25"/>
          <w:szCs w:val="25"/>
          <w:highlight w:val="none"/>
          <w:lang w:val="en-US" w:eastAsia="zh-CN"/>
        </w:rPr>
        <w:t>力造成乙方的生命财产损失的由乙方从保险公司的赔偿中补偿，保险不能补偿的由乙方自行承担。</w:t>
      </w:r>
    </w:p>
    <w:p w14:paraId="2901B9F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15、安全文明施工费已包含在单价中，乙方必须按照所有相关安全文明标准化要求进行施工，采取的安全文明标准化各项措施费用均包含单价中，甲方不再另行支付相关费用。施工过程中，乙方不以任何理由向甲方索赔任何增加的标准化费用。</w:t>
      </w:r>
    </w:p>
    <w:p w14:paraId="65AE467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2" w:name="_Toc2552"/>
      <w:r>
        <w:rPr>
          <w:rFonts w:hint="eastAsia" w:ascii="仿宋" w:hAnsi="仿宋" w:eastAsia="仿宋" w:cs="仿宋"/>
          <w:b/>
          <w:bCs/>
          <w:color w:val="auto"/>
          <w:sz w:val="25"/>
          <w:szCs w:val="25"/>
          <w:highlight w:val="none"/>
          <w:lang w:val="en-US" w:eastAsia="zh-CN"/>
        </w:rPr>
        <w:t>十、职业健康与环境保护</w:t>
      </w:r>
      <w:bookmarkEnd w:id="22"/>
    </w:p>
    <w:p w14:paraId="6B59CFDE">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(一)职业健康</w:t>
      </w:r>
    </w:p>
    <w:p w14:paraId="21C8ED8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1、乙方在签订本合同时须与甲方签订《环境与职业健康安全管理责任书》, 作为本合同的组成部分。</w:t>
      </w:r>
    </w:p>
    <w:p w14:paraId="67033B5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2、乙方应为自己雇用人员配置劳动防护用品，如安全带、安全网、防尘面罩、雨衣、雨鞋等劳动防护用品。其费用已包含在合同价格中，甲方不再另行支付。</w:t>
      </w:r>
    </w:p>
    <w:p w14:paraId="2540894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709E0AD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(二)环境保护</w:t>
      </w:r>
    </w:p>
    <w:p w14:paraId="19F8C94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1、在施工场地涉及危险区域或有害因素等环境问题需要安全防护、环境保护措施实施时，乙方应提出安全、环境防护措施方案，经甲方批准后实施，发生的相应费用由乙方承担。</w:t>
      </w:r>
    </w:p>
    <w:p w14:paraId="287283A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2、乙方对固体废弃物进行控制，工业垃圾按照指定要求进行堆放，弃渣、生产生活产生的废弃物分类收集，统一处理，减少对环境的影响，危险废弃物/不可回收的废物/可回收废物分类收集、按规定统一处理。</w:t>
      </w:r>
    </w:p>
    <w:p w14:paraId="34157C5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3、乙方对危险化学品、放射源实行有效管理、专人负责，放射源实行有效存放，专人负责，有效控制。</w:t>
      </w:r>
    </w:p>
    <w:p w14:paraId="02CC8FD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4、乙方对生产生活废水做到规划管理，污水排放符合国家排放标准和满足当地环保部门的要求，不污染河域环境，生产生活废水必须经沉淀池、化粪池、隔油池处理。</w:t>
      </w:r>
    </w:p>
    <w:p w14:paraId="65888EA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5、乙方在工程项目设计要求范围内进行施工，不发生施工设计规划以外的破</w:t>
      </w:r>
      <w:bookmarkStart w:id="23" w:name="bookmark36"/>
      <w:bookmarkEnd w:id="23"/>
      <w:r>
        <w:rPr>
          <w:rFonts w:hint="eastAsia" w:ascii="仿宋" w:hAnsi="仿宋" w:eastAsia="仿宋" w:cs="仿宋"/>
          <w:color w:val="auto"/>
          <w:sz w:val="25"/>
          <w:szCs w:val="25"/>
          <w:highlight w:val="none"/>
          <w:lang w:val="en-US" w:eastAsia="zh-CN"/>
        </w:rPr>
        <w:t>坏环境保护性质的施工行为。</w:t>
      </w:r>
    </w:p>
    <w:p w14:paraId="78BF5FE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6、乙方对工作生活场所大气污染环境因素(源)进行控制管理，大气污染物排放符合国家排放标准。</w:t>
      </w:r>
    </w:p>
    <w:p w14:paraId="316075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7、乙方生产、施工场界噪声控制指标应符合《建筑施工场界噪声限值》 GB12523-90标准。</w:t>
      </w:r>
    </w:p>
    <w:p w14:paraId="6855607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8、乙方应加强节能降耗，控制高能耗设备和超产品能耗设计性能设备的使用。</w:t>
      </w:r>
    </w:p>
    <w:p w14:paraId="60AD918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9、乙方应确保本单位在施工活动中遵守国家、地方有关环境保护方面的法律和法规。</w:t>
      </w:r>
    </w:p>
    <w:p w14:paraId="6F7B796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10、乙方应遵守甲方环境管理规定，适时接受并配合甲方对环境管理工作实施的监督检查活动。</w:t>
      </w:r>
    </w:p>
    <w:p w14:paraId="51A93088">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(三)责任划分</w:t>
      </w:r>
    </w:p>
    <w:p w14:paraId="45FF676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乙方如发生职业健康安全、环境污染等事故时，应立即通知甲方，同时接受甲方、当地政府有关部门的调查处理。乙方承担由此发生的一切费用，包括承担当地政府有关部门对此作出的责任追究及处罚。</w:t>
      </w:r>
    </w:p>
    <w:p w14:paraId="19ACE1D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4" w:name="_Toc32227"/>
      <w:r>
        <w:rPr>
          <w:rFonts w:hint="eastAsia" w:ascii="仿宋" w:hAnsi="仿宋" w:eastAsia="仿宋" w:cs="仿宋"/>
          <w:b/>
          <w:bCs/>
          <w:color w:val="auto"/>
          <w:sz w:val="25"/>
          <w:szCs w:val="25"/>
          <w:highlight w:val="none"/>
          <w:lang w:val="en-US" w:eastAsia="zh-CN"/>
        </w:rPr>
        <w:t>十一、技术条款</w:t>
      </w:r>
      <w:bookmarkEnd w:id="24"/>
    </w:p>
    <w:p w14:paraId="08C85C2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本工程技术条款以设计要求（施工图纸及设计变更）及国家相关标准规范要求以及甲方与业主主合同有关本合同项目的技术要求为准。</w:t>
      </w:r>
    </w:p>
    <w:p w14:paraId="234FC5F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5" w:name="_Toc25806"/>
      <w:r>
        <w:rPr>
          <w:rFonts w:hint="eastAsia" w:ascii="仿宋" w:hAnsi="仿宋" w:eastAsia="仿宋" w:cs="仿宋"/>
          <w:b/>
          <w:bCs/>
          <w:color w:val="auto"/>
          <w:sz w:val="25"/>
          <w:szCs w:val="25"/>
          <w:highlight w:val="none"/>
          <w:lang w:val="en-US" w:eastAsia="zh-CN"/>
        </w:rPr>
        <w:t>十二、乙方人员工资保障措施</w:t>
      </w:r>
      <w:bookmarkEnd w:id="25"/>
    </w:p>
    <w:p w14:paraId="311E40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乙方应严格遵守国家有关解决拖欠工程款和民工工资的法律、法规，及相关文件要求，乙方必须按甲方要求建立农民工管理台账，并报甲方存档，真实、准确记录工人名册、工时和工人工资支付情况等信息。</w:t>
      </w:r>
    </w:p>
    <w:p w14:paraId="1C6D548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不得以任何借口拖欠材料、设备款及民工工资等费用，如果出现此种现象，甲方有权代为支付其拖欠的材料、设备款及民工工资，并从应付给乙方的工程款中扣除相应款项。对恶意拖欠和拒不按计划支付的，作为不良记录纳入履约评价考核。</w:t>
      </w:r>
    </w:p>
    <w:p w14:paraId="07E186B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若因乙方原因造成民工工资未及时发放，造成民工上访事件的，甲方根据民工上访影响程度有权要求乙方支付1-10万元每次违约金，不按实支付的，甲方有权从工程结算款中扣除。</w:t>
      </w:r>
    </w:p>
    <w:p w14:paraId="58997E1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1、乙方施工人员工资发放形式</w:t>
      </w:r>
    </w:p>
    <w:p w14:paraId="61CF64E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为确保乙方施工人员工资及时发放，乙方应按月向甲方提供经审核无误的农</w:t>
      </w:r>
      <w:bookmarkStart w:id="26" w:name="bookmark37"/>
      <w:bookmarkEnd w:id="26"/>
      <w:r>
        <w:rPr>
          <w:rFonts w:hint="eastAsia" w:ascii="仿宋" w:hAnsi="仿宋" w:eastAsia="仿宋" w:cs="仿宋"/>
          <w:color w:val="auto"/>
          <w:sz w:val="25"/>
          <w:szCs w:val="25"/>
          <w:highlight w:val="none"/>
          <w:lang w:val="en-US" w:eastAsia="zh-CN"/>
        </w:rPr>
        <w:t>民工工资表(签字盖章)。甲方在对乙方办理完结算后，应先通过农民工工资专户代发农民工工资(发放至农民工个人银行卡),剩余结算款作为工程款支付至乙方基本户。不提交“员工工资表”或提交表格不合格、不真实的，甲方有权暂时拒绝支付工程款。</w:t>
      </w:r>
    </w:p>
    <w:p w14:paraId="3D2F8AB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7" w:name="_Toc18170"/>
      <w:r>
        <w:rPr>
          <w:rFonts w:hint="eastAsia" w:ascii="仿宋" w:hAnsi="仿宋" w:eastAsia="仿宋" w:cs="仿宋"/>
          <w:b/>
          <w:bCs/>
          <w:color w:val="auto"/>
          <w:sz w:val="25"/>
          <w:szCs w:val="25"/>
          <w:highlight w:val="none"/>
          <w:lang w:val="en-US" w:eastAsia="zh-CN"/>
        </w:rPr>
        <w:t>十三、资源配置</w:t>
      </w:r>
      <w:bookmarkEnd w:id="27"/>
    </w:p>
    <w:p w14:paraId="7D1BD46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乙方投入的人员及机械设备必须满足工程进度的要求，并为其承诺投入的人员、设备负责。当乙方资源配置影响承包项目实施时，甲方有权要求增加人员及设备等资源的配置，相关费用由乙方承担。</w:t>
      </w:r>
    </w:p>
    <w:p w14:paraId="3847D5D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1、人力资源投入</w:t>
      </w:r>
    </w:p>
    <w:p w14:paraId="7408B84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为确保合同履行，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61E71B3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乙方计划投入主要技术、管理人员及工班长如下(必填): 《主要进场人员一览表》:（根据分包项目情况填写）</w:t>
      </w:r>
    </w:p>
    <w:tbl>
      <w:tblPr>
        <w:tblStyle w:val="14"/>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5DFF0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708F1474">
            <w:pPr>
              <w:pStyle w:val="15"/>
              <w:keepNext w:val="0"/>
              <w:keepLines w:val="0"/>
              <w:pageBreakBefore w:val="0"/>
              <w:wordWrap/>
              <w:overflowPunct/>
              <w:topLinePunct w:val="0"/>
              <w:bidi w:val="0"/>
              <w:spacing w:before="143" w:line="400" w:lineRule="exact"/>
              <w:ind w:left="115"/>
              <w:jc w:val="center"/>
              <w:rPr>
                <w:rFonts w:hint="eastAsia" w:ascii="仿宋" w:hAnsi="仿宋" w:eastAsia="仿宋" w:cs="仿宋"/>
                <w:color w:val="auto"/>
                <w:highlight w:val="none"/>
              </w:rPr>
            </w:pPr>
            <w:r>
              <w:rPr>
                <w:rFonts w:hint="eastAsia" w:ascii="仿宋" w:hAnsi="仿宋" w:eastAsia="仿宋" w:cs="仿宋"/>
                <w:color w:val="auto"/>
                <w:spacing w:val="-2"/>
                <w:highlight w:val="none"/>
              </w:rPr>
              <w:t>序号</w:t>
            </w:r>
          </w:p>
        </w:tc>
        <w:tc>
          <w:tcPr>
            <w:tcW w:w="1429" w:type="dxa"/>
            <w:vAlign w:val="center"/>
          </w:tcPr>
          <w:p w14:paraId="49475D48">
            <w:pPr>
              <w:pStyle w:val="15"/>
              <w:keepNext w:val="0"/>
              <w:keepLines w:val="0"/>
              <w:pageBreakBefore w:val="0"/>
              <w:wordWrap/>
              <w:overflowPunct/>
              <w:topLinePunct w:val="0"/>
              <w:bidi w:val="0"/>
              <w:spacing w:before="142" w:line="400" w:lineRule="exact"/>
              <w:ind w:left="110"/>
              <w:jc w:val="center"/>
              <w:rPr>
                <w:rFonts w:hint="eastAsia" w:ascii="仿宋" w:hAnsi="仿宋" w:eastAsia="仿宋" w:cs="仿宋"/>
                <w:color w:val="auto"/>
                <w:highlight w:val="none"/>
              </w:rPr>
            </w:pPr>
            <w:r>
              <w:rPr>
                <w:rFonts w:hint="eastAsia" w:ascii="仿宋" w:hAnsi="仿宋" w:eastAsia="仿宋" w:cs="仿宋"/>
                <w:color w:val="auto"/>
                <w:spacing w:val="3"/>
                <w:highlight w:val="none"/>
              </w:rPr>
              <w:t>岗位</w:t>
            </w:r>
          </w:p>
        </w:tc>
        <w:tc>
          <w:tcPr>
            <w:tcW w:w="1189" w:type="dxa"/>
            <w:vAlign w:val="center"/>
          </w:tcPr>
          <w:p w14:paraId="5A87DCC9">
            <w:pPr>
              <w:pStyle w:val="15"/>
              <w:keepNext w:val="0"/>
              <w:keepLines w:val="0"/>
              <w:pageBreakBefore w:val="0"/>
              <w:wordWrap/>
              <w:overflowPunct/>
              <w:topLinePunct w:val="0"/>
              <w:bidi w:val="0"/>
              <w:spacing w:before="142" w:line="400" w:lineRule="exact"/>
              <w:ind w:left="401"/>
              <w:jc w:val="center"/>
              <w:rPr>
                <w:rFonts w:hint="eastAsia" w:ascii="仿宋" w:hAnsi="仿宋" w:eastAsia="仿宋" w:cs="仿宋"/>
                <w:color w:val="auto"/>
                <w:highlight w:val="none"/>
              </w:rPr>
            </w:pPr>
            <w:r>
              <w:rPr>
                <w:rFonts w:hint="eastAsia" w:ascii="仿宋" w:hAnsi="仿宋" w:eastAsia="仿宋" w:cs="仿宋"/>
                <w:color w:val="auto"/>
                <w:spacing w:val="-3"/>
                <w:highlight w:val="none"/>
              </w:rPr>
              <w:t>数量</w:t>
            </w:r>
          </w:p>
        </w:tc>
        <w:tc>
          <w:tcPr>
            <w:tcW w:w="1458" w:type="dxa"/>
            <w:vAlign w:val="center"/>
          </w:tcPr>
          <w:p w14:paraId="7FDFD063">
            <w:pPr>
              <w:pStyle w:val="15"/>
              <w:keepNext w:val="0"/>
              <w:keepLines w:val="0"/>
              <w:pageBreakBefore w:val="0"/>
              <w:wordWrap/>
              <w:overflowPunct/>
              <w:topLinePunct w:val="0"/>
              <w:bidi w:val="0"/>
              <w:spacing w:before="142" w:line="400" w:lineRule="exact"/>
              <w:ind w:left="362"/>
              <w:jc w:val="center"/>
              <w:rPr>
                <w:rFonts w:hint="eastAsia" w:ascii="仿宋" w:hAnsi="仿宋" w:eastAsia="仿宋" w:cs="仿宋"/>
                <w:color w:val="auto"/>
                <w:highlight w:val="none"/>
              </w:rPr>
            </w:pPr>
            <w:r>
              <w:rPr>
                <w:rFonts w:hint="eastAsia" w:ascii="仿宋" w:hAnsi="仿宋" w:eastAsia="仿宋" w:cs="仿宋"/>
                <w:color w:val="auto"/>
                <w:spacing w:val="-2"/>
                <w:highlight w:val="none"/>
              </w:rPr>
              <w:t>进场日期</w:t>
            </w:r>
          </w:p>
        </w:tc>
        <w:tc>
          <w:tcPr>
            <w:tcW w:w="3156" w:type="dxa"/>
            <w:vAlign w:val="center"/>
          </w:tcPr>
          <w:p w14:paraId="519BA748">
            <w:pPr>
              <w:pStyle w:val="15"/>
              <w:keepNext w:val="0"/>
              <w:keepLines w:val="0"/>
              <w:pageBreakBefore w:val="0"/>
              <w:wordWrap/>
              <w:overflowPunct/>
              <w:topLinePunct w:val="0"/>
              <w:bidi w:val="0"/>
              <w:spacing w:before="141" w:line="400" w:lineRule="exact"/>
              <w:ind w:left="915"/>
              <w:jc w:val="center"/>
              <w:rPr>
                <w:rFonts w:hint="eastAsia" w:ascii="仿宋" w:hAnsi="仿宋" w:eastAsia="仿宋" w:cs="仿宋"/>
                <w:color w:val="auto"/>
                <w:highlight w:val="none"/>
              </w:rPr>
            </w:pPr>
            <w:r>
              <w:rPr>
                <w:rFonts w:hint="eastAsia" w:ascii="仿宋" w:hAnsi="仿宋" w:eastAsia="仿宋" w:cs="仿宋"/>
                <w:color w:val="auto"/>
                <w:spacing w:val="-2"/>
                <w:highlight w:val="none"/>
              </w:rPr>
              <w:t>简要工作业绩</w:t>
            </w:r>
          </w:p>
        </w:tc>
        <w:tc>
          <w:tcPr>
            <w:tcW w:w="994" w:type="dxa"/>
            <w:vAlign w:val="center"/>
          </w:tcPr>
          <w:p w14:paraId="3E7AC2DA">
            <w:pPr>
              <w:pStyle w:val="15"/>
              <w:keepNext w:val="0"/>
              <w:keepLines w:val="0"/>
              <w:pageBreakBefore w:val="0"/>
              <w:wordWrap/>
              <w:overflowPunct/>
              <w:topLinePunct w:val="0"/>
              <w:bidi w:val="0"/>
              <w:spacing w:before="143" w:line="400" w:lineRule="exact"/>
              <w:ind w:left="349"/>
              <w:jc w:val="center"/>
              <w:rPr>
                <w:rFonts w:hint="eastAsia" w:ascii="仿宋" w:hAnsi="仿宋" w:eastAsia="仿宋" w:cs="仿宋"/>
                <w:color w:val="auto"/>
                <w:highlight w:val="none"/>
              </w:rPr>
            </w:pPr>
            <w:r>
              <w:rPr>
                <w:rFonts w:hint="eastAsia" w:ascii="仿宋" w:hAnsi="仿宋" w:eastAsia="仿宋" w:cs="仿宋"/>
                <w:color w:val="auto"/>
                <w:spacing w:val="-3"/>
                <w:highlight w:val="none"/>
              </w:rPr>
              <w:t>备注</w:t>
            </w:r>
          </w:p>
        </w:tc>
      </w:tr>
      <w:tr w14:paraId="48CBB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1E2908D6">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1</w:t>
            </w:r>
          </w:p>
        </w:tc>
        <w:tc>
          <w:tcPr>
            <w:tcW w:w="1429" w:type="dxa"/>
            <w:vAlign w:val="center"/>
          </w:tcPr>
          <w:p w14:paraId="52A0B2CD">
            <w:pPr>
              <w:pStyle w:val="15"/>
              <w:keepNext w:val="0"/>
              <w:keepLines w:val="0"/>
              <w:pageBreakBefore w:val="0"/>
              <w:wordWrap/>
              <w:overflowPunct/>
              <w:topLinePunct w:val="0"/>
              <w:bidi w:val="0"/>
              <w:spacing w:before="149" w:line="400" w:lineRule="exact"/>
              <w:ind w:left="110"/>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项目负责人</w:t>
            </w:r>
          </w:p>
        </w:tc>
        <w:tc>
          <w:tcPr>
            <w:tcW w:w="1189" w:type="dxa"/>
            <w:vAlign w:val="center"/>
          </w:tcPr>
          <w:p w14:paraId="539EC9C4">
            <w:pPr>
              <w:pStyle w:val="15"/>
              <w:keepNext w:val="0"/>
              <w:keepLines w:val="0"/>
              <w:pageBreakBefore w:val="0"/>
              <w:wordWrap/>
              <w:overflowPunct/>
              <w:topLinePunct w:val="0"/>
              <w:bidi w:val="0"/>
              <w:spacing w:before="152" w:line="400" w:lineRule="exact"/>
              <w:ind w:left="451"/>
              <w:jc w:val="both"/>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 xml:space="preserve"> 1人</w:t>
            </w:r>
          </w:p>
        </w:tc>
        <w:tc>
          <w:tcPr>
            <w:tcW w:w="1458" w:type="dxa"/>
            <w:vAlign w:val="center"/>
          </w:tcPr>
          <w:p w14:paraId="4743A7A5">
            <w:pPr>
              <w:pStyle w:val="15"/>
              <w:keepNext w:val="0"/>
              <w:keepLines w:val="0"/>
              <w:pageBreakBefore w:val="0"/>
              <w:wordWrap/>
              <w:overflowPunct/>
              <w:topLinePunct w:val="0"/>
              <w:bidi w:val="0"/>
              <w:spacing w:before="195" w:line="400" w:lineRule="exact"/>
              <w:ind w:left="53"/>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按项目要求</w:t>
            </w:r>
          </w:p>
        </w:tc>
        <w:tc>
          <w:tcPr>
            <w:tcW w:w="3156" w:type="dxa"/>
            <w:vAlign w:val="center"/>
          </w:tcPr>
          <w:p w14:paraId="27ECBF8E">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w:t>
            </w:r>
          </w:p>
        </w:tc>
        <w:tc>
          <w:tcPr>
            <w:tcW w:w="994" w:type="dxa"/>
            <w:vAlign w:val="center"/>
          </w:tcPr>
          <w:p w14:paraId="488CD80D">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rPr>
            </w:pPr>
          </w:p>
        </w:tc>
      </w:tr>
      <w:tr w14:paraId="3118D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84" w:type="dxa"/>
            <w:vAlign w:val="center"/>
          </w:tcPr>
          <w:p w14:paraId="5CDF6471">
            <w:pPr>
              <w:pStyle w:val="15"/>
              <w:keepNext w:val="0"/>
              <w:keepLines w:val="0"/>
              <w:pageBreakBefore w:val="0"/>
              <w:wordWrap/>
              <w:overflowPunct/>
              <w:topLinePunct w:val="0"/>
              <w:bidi w:val="0"/>
              <w:spacing w:before="149"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2</w:t>
            </w:r>
          </w:p>
        </w:tc>
        <w:tc>
          <w:tcPr>
            <w:tcW w:w="1429" w:type="dxa"/>
            <w:vAlign w:val="center"/>
          </w:tcPr>
          <w:p w14:paraId="09663F6D">
            <w:pPr>
              <w:pStyle w:val="15"/>
              <w:keepNext w:val="0"/>
              <w:keepLines w:val="0"/>
              <w:pageBreakBefore w:val="0"/>
              <w:wordWrap/>
              <w:overflowPunct/>
              <w:topLinePunct w:val="0"/>
              <w:bidi w:val="0"/>
              <w:spacing w:before="149" w:line="400" w:lineRule="exact"/>
              <w:ind w:left="110"/>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项目技术负责人</w:t>
            </w:r>
          </w:p>
        </w:tc>
        <w:tc>
          <w:tcPr>
            <w:tcW w:w="1189" w:type="dxa"/>
            <w:vAlign w:val="center"/>
          </w:tcPr>
          <w:p w14:paraId="6CFDB1FB">
            <w:pPr>
              <w:pStyle w:val="15"/>
              <w:keepNext w:val="0"/>
              <w:keepLines w:val="0"/>
              <w:pageBreakBefore w:val="0"/>
              <w:wordWrap/>
              <w:overflowPunct/>
              <w:topLinePunct w:val="0"/>
              <w:bidi w:val="0"/>
              <w:spacing w:before="149" w:line="400" w:lineRule="exact"/>
              <w:ind w:left="110"/>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1人</w:t>
            </w:r>
          </w:p>
        </w:tc>
        <w:tc>
          <w:tcPr>
            <w:tcW w:w="1458" w:type="dxa"/>
            <w:vAlign w:val="center"/>
          </w:tcPr>
          <w:p w14:paraId="0929C646">
            <w:pPr>
              <w:pStyle w:val="15"/>
              <w:keepNext w:val="0"/>
              <w:keepLines w:val="0"/>
              <w:pageBreakBefore w:val="0"/>
              <w:wordWrap/>
              <w:overflowPunct/>
              <w:topLinePunct w:val="0"/>
              <w:bidi w:val="0"/>
              <w:spacing w:before="198" w:line="400" w:lineRule="exact"/>
              <w:ind w:left="53"/>
              <w:jc w:val="center"/>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按项目要求</w:t>
            </w:r>
          </w:p>
        </w:tc>
        <w:tc>
          <w:tcPr>
            <w:tcW w:w="3156" w:type="dxa"/>
            <w:vAlign w:val="center"/>
          </w:tcPr>
          <w:p w14:paraId="1FE412FD">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w:t>
            </w:r>
          </w:p>
        </w:tc>
        <w:tc>
          <w:tcPr>
            <w:tcW w:w="994" w:type="dxa"/>
            <w:vAlign w:val="center"/>
          </w:tcPr>
          <w:p w14:paraId="73B966BF">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rPr>
            </w:pPr>
          </w:p>
        </w:tc>
      </w:tr>
      <w:tr w14:paraId="43382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11C82A67">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3</w:t>
            </w:r>
          </w:p>
        </w:tc>
        <w:tc>
          <w:tcPr>
            <w:tcW w:w="1429" w:type="dxa"/>
            <w:vAlign w:val="center"/>
          </w:tcPr>
          <w:p w14:paraId="2BFE31C1">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施工员</w:t>
            </w:r>
          </w:p>
        </w:tc>
        <w:tc>
          <w:tcPr>
            <w:tcW w:w="1189" w:type="dxa"/>
            <w:vAlign w:val="center"/>
          </w:tcPr>
          <w:p w14:paraId="3A35DC1B">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1人</w:t>
            </w:r>
          </w:p>
        </w:tc>
        <w:tc>
          <w:tcPr>
            <w:tcW w:w="1458" w:type="dxa"/>
            <w:vAlign w:val="center"/>
          </w:tcPr>
          <w:p w14:paraId="3437AEBD">
            <w:pPr>
              <w:pStyle w:val="15"/>
              <w:keepNext w:val="0"/>
              <w:keepLines w:val="0"/>
              <w:pageBreakBefore w:val="0"/>
              <w:wordWrap/>
              <w:overflowPunct/>
              <w:topLinePunct w:val="0"/>
              <w:bidi w:val="0"/>
              <w:spacing w:before="198" w:line="400" w:lineRule="exact"/>
              <w:ind w:left="5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按项目要求</w:t>
            </w:r>
          </w:p>
        </w:tc>
        <w:tc>
          <w:tcPr>
            <w:tcW w:w="3156" w:type="dxa"/>
            <w:vAlign w:val="center"/>
          </w:tcPr>
          <w:p w14:paraId="598BFB9A">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w:t>
            </w:r>
          </w:p>
        </w:tc>
        <w:tc>
          <w:tcPr>
            <w:tcW w:w="994" w:type="dxa"/>
            <w:vAlign w:val="center"/>
          </w:tcPr>
          <w:p w14:paraId="72165C1E">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rPr>
            </w:pPr>
          </w:p>
        </w:tc>
      </w:tr>
      <w:tr w14:paraId="4BE455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63DC170D">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4</w:t>
            </w:r>
          </w:p>
        </w:tc>
        <w:tc>
          <w:tcPr>
            <w:tcW w:w="1429" w:type="dxa"/>
            <w:vAlign w:val="center"/>
          </w:tcPr>
          <w:p w14:paraId="38935455">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安全员</w:t>
            </w:r>
          </w:p>
        </w:tc>
        <w:tc>
          <w:tcPr>
            <w:tcW w:w="1189" w:type="dxa"/>
            <w:vAlign w:val="center"/>
          </w:tcPr>
          <w:p w14:paraId="522E26D4">
            <w:pPr>
              <w:keepNext w:val="0"/>
              <w:keepLines w:val="0"/>
              <w:pageBreakBefore w:val="0"/>
              <w:wordWrap/>
              <w:overflowPunct/>
              <w:topLinePunct w:val="0"/>
              <w:bidi w:val="0"/>
              <w:spacing w:line="400" w:lineRule="exact"/>
              <w:jc w:val="center"/>
              <w:rPr>
                <w:rFonts w:hint="eastAsia" w:ascii="仿宋" w:hAnsi="仿宋" w:eastAsia="仿宋" w:cs="仿宋"/>
                <w:snapToGrid w:val="0"/>
                <w:color w:val="auto"/>
                <w:kern w:val="0"/>
                <w:sz w:val="18"/>
                <w:szCs w:val="18"/>
                <w:highlight w:val="none"/>
                <w:lang w:val="en-US" w:eastAsia="zh-CN" w:bidi="ar-SA"/>
              </w:rPr>
            </w:pPr>
            <w:r>
              <w:rPr>
                <w:rFonts w:hint="eastAsia" w:ascii="仿宋" w:hAnsi="仿宋" w:eastAsia="仿宋" w:cs="仿宋"/>
                <w:snapToGrid w:val="0"/>
                <w:color w:val="auto"/>
                <w:kern w:val="0"/>
                <w:sz w:val="18"/>
                <w:szCs w:val="18"/>
                <w:highlight w:val="none"/>
                <w:lang w:val="en-US" w:eastAsia="zh-CN" w:bidi="ar-SA"/>
              </w:rPr>
              <w:t>1人</w:t>
            </w:r>
          </w:p>
        </w:tc>
        <w:tc>
          <w:tcPr>
            <w:tcW w:w="1458" w:type="dxa"/>
            <w:vAlign w:val="center"/>
          </w:tcPr>
          <w:p w14:paraId="10F065A6">
            <w:pPr>
              <w:pStyle w:val="15"/>
              <w:keepNext w:val="0"/>
              <w:keepLines w:val="0"/>
              <w:pageBreakBefore w:val="0"/>
              <w:wordWrap/>
              <w:overflowPunct/>
              <w:topLinePunct w:val="0"/>
              <w:bidi w:val="0"/>
              <w:spacing w:before="198" w:line="400" w:lineRule="exact"/>
              <w:ind w:left="53"/>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按项目要求</w:t>
            </w:r>
          </w:p>
        </w:tc>
        <w:tc>
          <w:tcPr>
            <w:tcW w:w="3156" w:type="dxa"/>
            <w:vAlign w:val="center"/>
          </w:tcPr>
          <w:p w14:paraId="58C5F909">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w:t>
            </w:r>
          </w:p>
        </w:tc>
        <w:tc>
          <w:tcPr>
            <w:tcW w:w="994" w:type="dxa"/>
            <w:vAlign w:val="center"/>
          </w:tcPr>
          <w:p w14:paraId="65904C4A">
            <w:pPr>
              <w:keepNext w:val="0"/>
              <w:keepLines w:val="0"/>
              <w:pageBreakBefore w:val="0"/>
              <w:wordWrap/>
              <w:overflowPunct/>
              <w:topLinePunct w:val="0"/>
              <w:bidi w:val="0"/>
              <w:spacing w:line="400" w:lineRule="exact"/>
              <w:jc w:val="center"/>
              <w:rPr>
                <w:rFonts w:hint="eastAsia" w:ascii="仿宋" w:hAnsi="仿宋" w:eastAsia="仿宋" w:cs="仿宋"/>
                <w:color w:val="auto"/>
                <w:sz w:val="21"/>
                <w:highlight w:val="none"/>
              </w:rPr>
            </w:pPr>
          </w:p>
        </w:tc>
      </w:tr>
    </w:tbl>
    <w:p w14:paraId="597C14E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2、机械设备资源投入</w:t>
      </w:r>
    </w:p>
    <w:p w14:paraId="7A11D95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en-US"/>
        </w:rPr>
      </w:pPr>
      <w:r>
        <w:rPr>
          <w:rFonts w:hint="eastAsia" w:ascii="仿宋" w:hAnsi="仿宋" w:eastAsia="仿宋" w:cs="仿宋"/>
          <w:color w:val="auto"/>
          <w:sz w:val="25"/>
          <w:szCs w:val="25"/>
          <w:highlight w:val="none"/>
          <w:lang w:val="en-US" w:eastAsia="en-US"/>
        </w:rPr>
        <w:t>乙方必须于</w:t>
      </w:r>
      <w:r>
        <w:rPr>
          <w:rFonts w:hint="eastAsia" w:ascii="仿宋" w:hAnsi="仿宋" w:eastAsia="仿宋" w:cs="仿宋"/>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en-US"/>
        </w:rPr>
        <w:t>年</w:t>
      </w:r>
      <w:r>
        <w:rPr>
          <w:rFonts w:hint="eastAsia" w:ascii="仿宋" w:hAnsi="仿宋" w:eastAsia="仿宋" w:cs="仿宋"/>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en-US"/>
        </w:rPr>
        <w:t>月</w:t>
      </w:r>
      <w:r>
        <w:rPr>
          <w:rFonts w:hint="eastAsia" w:ascii="仿宋" w:hAnsi="仿宋" w:eastAsia="仿宋" w:cs="仿宋"/>
          <w:color w:val="auto"/>
          <w:sz w:val="25"/>
          <w:szCs w:val="25"/>
          <w:highlight w:val="none"/>
          <w:u w:val="single"/>
          <w:lang w:val="en-US" w:eastAsia="zh-CN"/>
        </w:rPr>
        <w:t xml:space="preserve"> ***** </w:t>
      </w:r>
      <w:r>
        <w:rPr>
          <w:rFonts w:hint="eastAsia" w:ascii="仿宋" w:hAnsi="仿宋" w:eastAsia="仿宋" w:cs="仿宋"/>
          <w:color w:val="auto"/>
          <w:sz w:val="25"/>
          <w:szCs w:val="25"/>
          <w:highlight w:val="none"/>
          <w:lang w:val="en-US" w:eastAsia="en-US"/>
        </w:rPr>
        <w:t>日前安排进场设备</w:t>
      </w:r>
      <w:r>
        <w:rPr>
          <w:rFonts w:hint="eastAsia" w:ascii="仿宋" w:hAnsi="仿宋" w:eastAsia="仿宋" w:cs="仿宋"/>
          <w:color w:val="auto"/>
          <w:sz w:val="25"/>
          <w:szCs w:val="25"/>
          <w:highlight w:val="none"/>
          <w:lang w:val="en-US" w:eastAsia="zh-CN"/>
        </w:rPr>
        <w:t>（根据工程部计划填写）</w:t>
      </w:r>
      <w:r>
        <w:rPr>
          <w:rFonts w:hint="eastAsia" w:ascii="仿宋" w:hAnsi="仿宋" w:eastAsia="仿宋" w:cs="仿宋"/>
          <w:color w:val="auto"/>
          <w:sz w:val="25"/>
          <w:szCs w:val="25"/>
          <w:highlight w:val="none"/>
          <w:lang w:val="en-US" w:eastAsia="en-US"/>
        </w:rPr>
        <w:t>，并保证进场设备完好。在设备进场后3日内及退场前7日内，乙方均须将设备情况书面报送甲方，便于甲方组织现场检查验收。</w:t>
      </w:r>
    </w:p>
    <w:p w14:paraId="775C485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28" w:name="bookmark38"/>
      <w:bookmarkEnd w:id="28"/>
      <w:bookmarkStart w:id="29" w:name="_Toc32475"/>
      <w:r>
        <w:rPr>
          <w:rFonts w:hint="eastAsia" w:ascii="仿宋" w:hAnsi="仿宋" w:eastAsia="仿宋" w:cs="仿宋"/>
          <w:b/>
          <w:bCs/>
          <w:color w:val="auto"/>
          <w:sz w:val="25"/>
          <w:szCs w:val="25"/>
          <w:highlight w:val="none"/>
          <w:lang w:val="en-US" w:eastAsia="zh-CN"/>
        </w:rPr>
        <w:t>十四、施工协作</w:t>
      </w:r>
      <w:bookmarkEnd w:id="29"/>
    </w:p>
    <w:p w14:paraId="38437F2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应配合甲方的验收工作，以及甲方按业主、监理要求的涉及乙方工作内容、施工场地的检查、隐蔽工程验收及工程竣工验收；甲方或施工场地内第三方的工作必须乙方配合时，乙方应按甲方的指令予以配合。</w:t>
      </w:r>
    </w:p>
    <w:p w14:paraId="64AD986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2、乙方按约定完成施工作业，必须由甲方或施工场地内的第三方进行配合时，甲方应配合乙方工作或确保乙方获得第三方的配合。</w:t>
      </w:r>
    </w:p>
    <w:p w14:paraId="47B71B9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3、乙方必须服从甲方现场有关管理制度。甲方制定下发的管理制度视为合同组成部分。</w:t>
      </w:r>
    </w:p>
    <w:p w14:paraId="41423C9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0" w:name="_Toc4734"/>
      <w:r>
        <w:rPr>
          <w:rFonts w:hint="eastAsia" w:ascii="仿宋" w:hAnsi="仿宋" w:eastAsia="仿宋" w:cs="仿宋"/>
          <w:b/>
          <w:bCs/>
          <w:color w:val="auto"/>
          <w:sz w:val="25"/>
          <w:szCs w:val="25"/>
          <w:highlight w:val="none"/>
          <w:lang w:val="en-US" w:eastAsia="zh-CN"/>
        </w:rPr>
        <w:t>十五、计量、结算与支付</w:t>
      </w:r>
      <w:bookmarkEnd w:id="30"/>
    </w:p>
    <w:p w14:paraId="11DA3FA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(一)工程计量与结算</w:t>
      </w:r>
    </w:p>
    <w:p w14:paraId="42FE8EA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1、以施工图纸、设计变更通知、甲方技术交底为依据，按乙方实际完成的并经建设单位、监理验收合格，甲方签认的合格工程量计算，其他任何人、任何形式的施工工作量的证明材料均不能作为结算依据。</w:t>
      </w:r>
    </w:p>
    <w:p w14:paraId="595DF27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每月25日前，由甲方工程部门组织甲乙双方共同对乙方所完成的劳务作业项目进行验收，并对符合计量支付要求的劳务作业项目编制中间计量表。甲方物资部门、安全部门、质量部门同时提交当月的物资领用情况、安全生产奖罚、现场施工质量奖罚给合同部，以便在当期结算中扣除。</w:t>
      </w:r>
    </w:p>
    <w:p w14:paraId="6F259CE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3、对因乙方原因造成的返工工程量不予计量，责任由乙方自行承担，且不免除承担因此造成甲方的损失的责任(含业主、监理的罚款等)。</w:t>
      </w:r>
    </w:p>
    <w:p w14:paraId="2A56540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4、依据甲方最后签认的工程数量对乙方进行计量。因乙方原因导致监理及主管单位验收不合格，甲方不予计量，并追究因乙方原因造成返工导致甲方的材料损失。下列情况之一者不予签认和支付：</w:t>
      </w:r>
    </w:p>
    <w:p w14:paraId="0715F77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(1)劳务作业量未经监理工程师、甲方质检人员检查签认的(工程质量未经检查验收或检查验收不合格需返工或待其它处理者);</w:t>
      </w:r>
    </w:p>
    <w:p w14:paraId="5D54403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(2)乙方未按或超设计图纸、施工规范、甲方技术交底要求施工的劳务作业量及无甲方变更设计通知单、乙方自行变更设计而增加的劳务作业量，设计有误或多余，甲方指令不要求施工而乙方自行完成的工程；</w:t>
      </w:r>
    </w:p>
    <w:p w14:paraId="00467C5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(3)由于乙方施工原因，造成的工程质量不合格或未经确认的劳务作业量；</w:t>
      </w:r>
    </w:p>
    <w:p w14:paraId="2A82BA5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(4)由于乙方施工错误造成的质量、安全、环境污染事故而增加的劳务作业量；</w:t>
      </w:r>
    </w:p>
    <w:p w14:paraId="0563ABE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(5)由于乙方施工错误或施工组织安排失误而增加的工程量。</w:t>
      </w:r>
    </w:p>
    <w:p w14:paraId="2EEA025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1" w:name="bookmark39"/>
      <w:bookmarkEnd w:id="31"/>
      <w:r>
        <w:rPr>
          <w:rFonts w:hint="eastAsia" w:ascii="仿宋" w:hAnsi="仿宋" w:eastAsia="仿宋" w:cs="仿宋"/>
          <w:b/>
          <w:bCs/>
          <w:color w:val="auto"/>
          <w:sz w:val="25"/>
          <w:szCs w:val="25"/>
          <w:highlight w:val="none"/>
          <w:lang w:val="en-US" w:eastAsia="zh-CN"/>
        </w:rPr>
        <w:t>(二)工程款支付与保函</w:t>
      </w:r>
    </w:p>
    <w:p w14:paraId="148154C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1、工程款支付</w:t>
      </w:r>
    </w:p>
    <w:p w14:paraId="47CF24E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(1)进度款拨付(包含变更、签字):甲方应在结算办理完毕并收到乙方提供合格的增值税专用发票后的14天内向乙方支付进度款，进度款支付比例为当期结算金额的</w:t>
      </w:r>
      <w:r>
        <w:rPr>
          <w:rFonts w:hint="eastAsia" w:ascii="仿宋" w:hAnsi="仿宋" w:eastAsia="仿宋" w:cs="仿宋"/>
          <w:b/>
          <w:bCs/>
          <w:color w:val="auto"/>
          <w:sz w:val="25"/>
          <w:szCs w:val="25"/>
          <w:highlight w:val="none"/>
          <w:u w:val="single"/>
          <w:lang w:val="en-US" w:eastAsia="zh-CN"/>
        </w:rPr>
        <w:t>85%</w:t>
      </w:r>
      <w:r>
        <w:rPr>
          <w:rFonts w:hint="eastAsia" w:ascii="仿宋" w:hAnsi="仿宋" w:eastAsia="仿宋" w:cs="仿宋"/>
          <w:color w:val="auto"/>
          <w:sz w:val="25"/>
          <w:szCs w:val="25"/>
          <w:highlight w:val="none"/>
          <w:lang w:val="en-US" w:eastAsia="zh-CN"/>
        </w:rPr>
        <w:t>，并扣除各项应扣款项。</w:t>
      </w:r>
    </w:p>
    <w:p w14:paraId="6B4AF48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(2)乙方完工退场并办理完结算，按照结算金额支付至结算款的</w:t>
      </w:r>
      <w:r>
        <w:rPr>
          <w:rFonts w:hint="eastAsia" w:ascii="仿宋" w:hAnsi="仿宋" w:eastAsia="仿宋" w:cs="仿宋"/>
          <w:b/>
          <w:bCs/>
          <w:color w:val="auto"/>
          <w:sz w:val="25"/>
          <w:szCs w:val="25"/>
          <w:highlight w:val="none"/>
          <w:u w:val="single"/>
          <w:lang w:val="en-US" w:eastAsia="zh-CN"/>
        </w:rPr>
        <w:t>95%</w:t>
      </w:r>
      <w:r>
        <w:rPr>
          <w:rFonts w:hint="eastAsia" w:ascii="仿宋" w:hAnsi="仿宋" w:eastAsia="仿宋" w:cs="仿宋"/>
          <w:color w:val="auto"/>
          <w:sz w:val="25"/>
          <w:szCs w:val="25"/>
          <w:highlight w:val="none"/>
          <w:lang w:val="en-US" w:eastAsia="zh-CN"/>
        </w:rPr>
        <w:t>，并扣除各项应扣款项。</w:t>
      </w:r>
    </w:p>
    <w:p w14:paraId="6E6BDF8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(3)剩余</w:t>
      </w:r>
      <w:r>
        <w:rPr>
          <w:rFonts w:hint="eastAsia" w:ascii="仿宋" w:hAnsi="仿宋" w:eastAsia="仿宋" w:cs="仿宋"/>
          <w:b/>
          <w:bCs/>
          <w:color w:val="auto"/>
          <w:sz w:val="25"/>
          <w:szCs w:val="25"/>
          <w:highlight w:val="none"/>
          <w:u w:val="single"/>
          <w:lang w:val="en-US" w:eastAsia="zh-CN"/>
        </w:rPr>
        <w:t>5%</w:t>
      </w:r>
      <w:r>
        <w:rPr>
          <w:rFonts w:hint="eastAsia" w:ascii="仿宋" w:hAnsi="仿宋" w:eastAsia="仿宋" w:cs="仿宋"/>
          <w:color w:val="auto"/>
          <w:sz w:val="25"/>
          <w:szCs w:val="25"/>
          <w:highlight w:val="none"/>
          <w:lang w:val="en-US" w:eastAsia="zh-CN"/>
        </w:rPr>
        <w:t>，缺陷责任期满后无息支付。</w:t>
      </w:r>
    </w:p>
    <w:p w14:paraId="23A0278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2、履约保函</w:t>
      </w:r>
    </w:p>
    <w:p w14:paraId="1155AC3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(1)合同签订</w:t>
      </w:r>
      <w:r>
        <w:rPr>
          <w:rFonts w:hint="eastAsia" w:ascii="仿宋" w:hAnsi="仿宋" w:eastAsia="仿宋" w:cs="仿宋"/>
          <w:color w:val="auto"/>
          <w:sz w:val="25"/>
          <w:szCs w:val="25"/>
          <w:highlight w:val="none"/>
          <w:u w:val="single"/>
          <w:lang w:val="en-US" w:eastAsia="zh-CN"/>
        </w:rPr>
        <w:t>/日</w:t>
      </w:r>
      <w:r>
        <w:rPr>
          <w:rFonts w:hint="eastAsia" w:ascii="仿宋" w:hAnsi="仿宋" w:eastAsia="仿宋" w:cs="仿宋"/>
          <w:color w:val="auto"/>
          <w:sz w:val="25"/>
          <w:szCs w:val="25"/>
          <w:highlight w:val="none"/>
          <w:lang w:val="en-US" w:eastAsia="zh-CN"/>
        </w:rPr>
        <w:t>内，乙方向甲方提供履约保函(银行/保险见索即付保函), 保函保证金额为暂定合同价的</w:t>
      </w:r>
      <w:r>
        <w:rPr>
          <w:rFonts w:hint="eastAsia" w:ascii="仿宋" w:hAnsi="仿宋" w:eastAsia="仿宋" w:cs="仿宋"/>
          <w:b/>
          <w:bCs/>
          <w:color w:val="auto"/>
          <w:sz w:val="25"/>
          <w:szCs w:val="25"/>
          <w:highlight w:val="none"/>
          <w:u w:val="single"/>
          <w:lang w:val="en-US" w:eastAsia="zh-CN"/>
        </w:rPr>
        <w:t>/%</w:t>
      </w:r>
      <w:r>
        <w:rPr>
          <w:rFonts w:hint="eastAsia" w:ascii="仿宋" w:hAnsi="仿宋" w:eastAsia="仿宋" w:cs="仿宋"/>
          <w:color w:val="auto"/>
          <w:sz w:val="25"/>
          <w:szCs w:val="25"/>
          <w:highlight w:val="none"/>
          <w:lang w:val="en-US" w:eastAsia="zh-CN"/>
        </w:rPr>
        <w:t>。若乙方未提交履约保函的，甲方在乙方每期计量款中扣除/%作为履约保证金，待乙方完工退场无遗留问题后退还</w:t>
      </w:r>
      <w:r>
        <w:rPr>
          <w:rFonts w:hint="eastAsia" w:ascii="仿宋" w:hAnsi="仿宋" w:eastAsia="仿宋" w:cs="仿宋"/>
          <w:color w:val="auto"/>
          <w:spacing w:val="-9"/>
          <w:sz w:val="25"/>
          <w:szCs w:val="25"/>
          <w:u w:val="none"/>
          <w:lang w:val="en-US" w:eastAsia="zh-CN"/>
        </w:rPr>
        <w:t>（凉山交城建设有限责任公司分包商资源库内单位无需缴纳履约保函）</w:t>
      </w:r>
      <w:r>
        <w:rPr>
          <w:rFonts w:hint="eastAsia" w:ascii="仿宋" w:hAnsi="仿宋" w:eastAsia="仿宋" w:cs="仿宋"/>
          <w:color w:val="auto"/>
          <w:sz w:val="25"/>
          <w:szCs w:val="25"/>
          <w:highlight w:val="none"/>
          <w:lang w:val="en-US" w:eastAsia="zh-CN"/>
        </w:rPr>
        <w:t>。</w:t>
      </w:r>
    </w:p>
    <w:p w14:paraId="21D8C16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FF0000"/>
          <w:sz w:val="25"/>
          <w:szCs w:val="25"/>
          <w:highlight w:val="none"/>
          <w:lang w:val="en-US" w:eastAsia="zh-CN"/>
        </w:rPr>
        <w:t>(2)双方确认，甲方对乙方的付款资金来源与建设单位（业主）向甲方支付工程款的进度相关联。若因非甲方原因导致建设单位付款延迟超过【90】日，甲方应在该情况发生后书面通知乙方。乙方应在保证施工连续性的前提下，与甲方协商制定后续的施工及阶段性付款计划。甲方承诺在收到建设单位相应工程款后，优先支付乙方的劳务报酬，乙方予以配合。</w:t>
      </w:r>
    </w:p>
    <w:p w14:paraId="47B80FA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2" w:name="_Toc25199"/>
      <w:r>
        <w:rPr>
          <w:rFonts w:hint="eastAsia" w:ascii="仿宋" w:hAnsi="仿宋" w:eastAsia="仿宋" w:cs="仿宋"/>
          <w:b/>
          <w:bCs/>
          <w:color w:val="auto"/>
          <w:sz w:val="25"/>
          <w:szCs w:val="25"/>
          <w:highlight w:val="none"/>
          <w:lang w:val="en-US" w:eastAsia="zh-CN"/>
        </w:rPr>
        <w:t>十六、变 更</w:t>
      </w:r>
      <w:bookmarkEnd w:id="32"/>
    </w:p>
    <w:p w14:paraId="3D0DE03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1、施工中如需对原工作内容进行变更，甲方应提前</w:t>
      </w:r>
      <w:r>
        <w:rPr>
          <w:rFonts w:hint="eastAsia" w:ascii="仿宋" w:hAnsi="仿宋" w:eastAsia="仿宋" w:cs="仿宋"/>
          <w:color w:val="auto"/>
          <w:sz w:val="25"/>
          <w:szCs w:val="25"/>
          <w:highlight w:val="none"/>
          <w:u w:val="single"/>
          <w:lang w:val="en-US" w:eastAsia="zh-CN"/>
        </w:rPr>
        <w:t xml:space="preserve"> 3 </w:t>
      </w:r>
      <w:r>
        <w:rPr>
          <w:rFonts w:hint="eastAsia" w:ascii="仿宋" w:hAnsi="仿宋" w:eastAsia="仿宋" w:cs="仿宋"/>
          <w:color w:val="auto"/>
          <w:sz w:val="25"/>
          <w:szCs w:val="25"/>
          <w:highlight w:val="none"/>
          <w:lang w:val="en-US" w:eastAsia="zh-CN"/>
        </w:rPr>
        <w:t>天以书面形式向乙方发出变更通知，并提供变更的相应图纸和说明。乙方按照甲方发出的变更通知及有 关要求进行施工。</w:t>
      </w:r>
    </w:p>
    <w:p w14:paraId="27866DA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2、在紧急(防洪、抢险、救灾等)情况下，乙方应立即执行甲方的变更指令。</w:t>
      </w:r>
    </w:p>
    <w:p w14:paraId="51E04E0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3、施工中乙方不得擅自对原工程设计进行变更。确需变更的，应当经甲方书面同意；否则，由此发生的费用和导致甲方的损失，由乙方承担。</w:t>
      </w:r>
    </w:p>
    <w:p w14:paraId="457E48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4、若变更导致新增清单项目时，则由双方协商确定新的单价，并签订补充协议，原则上参照合同内单价水平。</w:t>
      </w:r>
    </w:p>
    <w:p w14:paraId="4E2372CE">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3" w:name="_Toc23552"/>
      <w:r>
        <w:rPr>
          <w:rFonts w:hint="eastAsia" w:ascii="仿宋" w:hAnsi="仿宋" w:eastAsia="仿宋" w:cs="仿宋"/>
          <w:b/>
          <w:bCs/>
          <w:color w:val="auto"/>
          <w:sz w:val="25"/>
          <w:szCs w:val="25"/>
          <w:highlight w:val="none"/>
          <w:lang w:val="en-US" w:eastAsia="zh-CN"/>
        </w:rPr>
        <w:t>十七、竣工验收与完工结算</w:t>
      </w:r>
      <w:bookmarkEnd w:id="33"/>
    </w:p>
    <w:p w14:paraId="1710F09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(一)竣工验收</w:t>
      </w:r>
    </w:p>
    <w:p w14:paraId="1FFEAA4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1、乙方施工完毕，应向甲方提出书面验收申请，由甲方在</w:t>
      </w:r>
      <w:r>
        <w:rPr>
          <w:rFonts w:hint="eastAsia" w:ascii="仿宋" w:hAnsi="仿宋" w:eastAsia="仿宋" w:cs="仿宋"/>
          <w:color w:val="auto"/>
          <w:sz w:val="25"/>
          <w:szCs w:val="25"/>
          <w:highlight w:val="none"/>
          <w:u w:val="single"/>
          <w:lang w:val="en-US" w:eastAsia="zh-CN"/>
        </w:rPr>
        <w:t xml:space="preserve"> 7 </w:t>
      </w:r>
      <w:r>
        <w:rPr>
          <w:rFonts w:hint="eastAsia" w:ascii="仿宋" w:hAnsi="仿宋" w:eastAsia="仿宋" w:cs="仿宋"/>
          <w:color w:val="auto"/>
          <w:sz w:val="25"/>
          <w:szCs w:val="25"/>
          <w:highlight w:val="none"/>
          <w:lang w:val="en-US" w:eastAsia="zh-CN"/>
        </w:rPr>
        <w:t>日内组织验收。若由于业主、监理原因不能及时验收，乙方应予充分理解，不能以此要求增加任何费用，但甲方应该积极协调，尽快组织验收。</w:t>
      </w:r>
    </w:p>
    <w:p w14:paraId="1C8CB1A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48812EA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3、乙方应注意成品的防护工作，不以中间交工验收免除乙方成品的保护责任。</w:t>
      </w:r>
    </w:p>
    <w:p w14:paraId="2B8724C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(二)完工结算</w:t>
      </w:r>
    </w:p>
    <w:p w14:paraId="67F844E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完工结算时，乙方须递交证明不拖欠工人工资的文件、已完成与工程有关债务的清算文件、与项目部各部门手续清理文件、质量证明文件、完工工程量统计表、完工结算统计表、完工结算协议书等其他甲方认为应该递交的相关文件。</w:t>
      </w:r>
    </w:p>
    <w:p w14:paraId="4492620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2、甲方收到乙方递交的相关文件，审查无误后再进行完工结算，乙方递交的工程量统计表经乙方签字、甲方审核后生效，方可作为结算依据。</w:t>
      </w:r>
    </w:p>
    <w:p w14:paraId="3EDD0DC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3、经完工验收合格后，</w:t>
      </w:r>
      <w:r>
        <w:rPr>
          <w:rFonts w:hint="eastAsia" w:ascii="仿宋" w:hAnsi="仿宋" w:eastAsia="仿宋" w:cs="仿宋"/>
          <w:color w:val="auto"/>
          <w:sz w:val="25"/>
          <w:szCs w:val="25"/>
          <w:highlight w:val="none"/>
          <w:u w:val="single"/>
          <w:lang w:val="en-US" w:eastAsia="zh-CN"/>
        </w:rPr>
        <w:t xml:space="preserve"> 30 </w:t>
      </w:r>
      <w:r>
        <w:rPr>
          <w:rFonts w:hint="eastAsia" w:ascii="仿宋" w:hAnsi="仿宋" w:eastAsia="仿宋" w:cs="仿宋"/>
          <w:color w:val="auto"/>
          <w:sz w:val="25"/>
          <w:szCs w:val="25"/>
          <w:highlight w:val="none"/>
          <w:lang w:val="en-US" w:eastAsia="zh-CN"/>
        </w:rPr>
        <w:t>天内双方完成完工结算。</w:t>
      </w:r>
    </w:p>
    <w:p w14:paraId="20BC9EA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4" w:name="_Toc21844"/>
      <w:r>
        <w:rPr>
          <w:rFonts w:hint="eastAsia" w:ascii="仿宋" w:hAnsi="仿宋" w:eastAsia="仿宋" w:cs="仿宋"/>
          <w:b/>
          <w:bCs/>
          <w:color w:val="auto"/>
          <w:sz w:val="25"/>
          <w:szCs w:val="25"/>
          <w:highlight w:val="none"/>
          <w:lang w:val="en-US" w:eastAsia="zh-CN"/>
        </w:rPr>
        <w:t>十八、质保期及缺陷责任期</w:t>
      </w:r>
      <w:bookmarkEnd w:id="34"/>
    </w:p>
    <w:p w14:paraId="066A631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本合同质保期同甲方与发包人签订的总包合同一致，缺陷责任期</w:t>
      </w:r>
      <w:r>
        <w:rPr>
          <w:rFonts w:hint="eastAsia" w:ascii="仿宋" w:hAnsi="仿宋" w:eastAsia="仿宋" w:cs="仿宋"/>
          <w:color w:val="auto"/>
          <w:sz w:val="25"/>
          <w:szCs w:val="25"/>
          <w:highlight w:val="none"/>
          <w:u w:val="single"/>
          <w:lang w:val="en-US" w:eastAsia="zh-CN"/>
        </w:rPr>
        <w:t>2</w:t>
      </w:r>
      <w:r>
        <w:rPr>
          <w:rFonts w:hint="eastAsia" w:ascii="仿宋" w:hAnsi="仿宋" w:eastAsia="仿宋" w:cs="仿宋"/>
          <w:color w:val="auto"/>
          <w:sz w:val="25"/>
          <w:szCs w:val="25"/>
          <w:highlight w:val="none"/>
          <w:lang w:val="en-US" w:eastAsia="zh-CN"/>
        </w:rPr>
        <w:t>年，自竣工验收合格之日起算。</w:t>
      </w:r>
    </w:p>
    <w:p w14:paraId="6840E103">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5" w:name="_Toc4274"/>
      <w:r>
        <w:rPr>
          <w:rFonts w:hint="eastAsia" w:ascii="仿宋" w:hAnsi="仿宋" w:eastAsia="仿宋" w:cs="仿宋"/>
          <w:b/>
          <w:bCs/>
          <w:color w:val="auto"/>
          <w:sz w:val="25"/>
          <w:szCs w:val="25"/>
          <w:highlight w:val="none"/>
          <w:lang w:val="en-US" w:eastAsia="zh-CN"/>
        </w:rPr>
        <w:t>十九、保险及损失</w:t>
      </w:r>
      <w:bookmarkEnd w:id="35"/>
    </w:p>
    <w:p w14:paraId="40DAE22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1、建筑工程一切险及第三者责任险由甲方负责购买并承担费用。</w:t>
      </w:r>
    </w:p>
    <w:p w14:paraId="6ABDE24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yellow"/>
          <w:lang w:val="en-US" w:eastAsia="zh-CN"/>
        </w:rPr>
      </w:pPr>
      <w:r>
        <w:rPr>
          <w:rFonts w:hint="eastAsia" w:ascii="仿宋" w:hAnsi="仿宋" w:eastAsia="仿宋" w:cs="仿宋"/>
          <w:color w:val="auto"/>
          <w:sz w:val="25"/>
          <w:szCs w:val="25"/>
          <w:highlight w:val="yellow"/>
          <w:lang w:val="en-US" w:eastAsia="zh-CN"/>
        </w:rPr>
        <w:t>2、乙方须为其履行本合同所雇佣的全部人员依法足额缴纳工伤保险，并自行购买足额的商业意外伤害保险。甲方有权要求乙方提供有效保单凭证进行监督。</w:t>
      </w:r>
    </w:p>
    <w:p w14:paraId="218A179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yellow"/>
          <w:lang w:val="en-US" w:eastAsia="zh-CN"/>
        </w:rPr>
        <w:t>3、若安全事故原因为非甲方所致（包括但不限于因乙方人员违章作业、安全管理缺失、设施使用不当或其它可归责于乙方的原因造成），则由乙方承担因此产生的人员伤亡全部责任</w:t>
      </w:r>
      <w:r>
        <w:rPr>
          <w:rFonts w:hint="eastAsia" w:ascii="仿宋" w:hAnsi="仿宋" w:eastAsia="仿宋" w:cs="仿宋"/>
          <w:color w:val="auto"/>
          <w:sz w:val="25"/>
          <w:szCs w:val="25"/>
          <w:highlight w:val="none"/>
          <w:lang w:val="en-US" w:eastAsia="zh-CN"/>
        </w:rPr>
        <w:t>。</w:t>
      </w:r>
    </w:p>
    <w:p w14:paraId="49D8EE9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6" w:name="_Toc7229"/>
      <w:r>
        <w:rPr>
          <w:rFonts w:hint="eastAsia" w:ascii="仿宋" w:hAnsi="仿宋" w:eastAsia="仿宋" w:cs="仿宋"/>
          <w:b/>
          <w:bCs/>
          <w:color w:val="auto"/>
          <w:sz w:val="25"/>
          <w:szCs w:val="25"/>
          <w:highlight w:val="none"/>
          <w:lang w:val="en-US" w:eastAsia="zh-CN"/>
        </w:rPr>
        <w:t>二十、违约责任</w:t>
      </w:r>
      <w:bookmarkEnd w:id="36"/>
    </w:p>
    <w:p w14:paraId="2CEC140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(一)甲方违约责任</w:t>
      </w:r>
    </w:p>
    <w:p w14:paraId="1A579D0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1、若由于甲方原因，未按照本合同约定的条件和期限付款，承担延期付款部分的同期银行存款利息。若由于业主原因造成甲方不能按期支付，甲方不承担任何责任，乙方应予充分理解。</w:t>
      </w:r>
    </w:p>
    <w:p w14:paraId="402DEC3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2、由于甲方原因造成乙方损失的，甲方应承担乙方直接经济损失的赔偿责任。</w:t>
      </w:r>
    </w:p>
    <w:p w14:paraId="7C8A447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(二)乙方违约责任</w:t>
      </w:r>
    </w:p>
    <w:p w14:paraId="4F3009E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1、由于乙方原因导致施工进度滞后，甲方将以书面通知乙方加大资源投入、加强现场管理；如乙方仍未采取有力措施，甲方将再次以书面形式通知乙方限期 整改；如按照整改期限仍未采取有力措施，乙方在收到甲方通知后3日内必须无 条件退出工作面，甲方没收乙方履约保证金；如乙方原因给甲方造成损失的，损失由乙方承担。如乙方延迟交出工作面，乙方按</w:t>
      </w:r>
      <w:r>
        <w:rPr>
          <w:rFonts w:hint="eastAsia" w:ascii="仿宋" w:hAnsi="仿宋" w:eastAsia="仿宋" w:cs="仿宋"/>
          <w:b/>
          <w:bCs/>
          <w:color w:val="auto"/>
          <w:sz w:val="25"/>
          <w:szCs w:val="25"/>
          <w:highlight w:val="none"/>
          <w:u w:val="single"/>
          <w:lang w:val="en-US" w:eastAsia="zh-CN"/>
        </w:rPr>
        <w:t xml:space="preserve"> 10000  </w:t>
      </w:r>
      <w:r>
        <w:rPr>
          <w:rFonts w:hint="eastAsia" w:ascii="仿宋" w:hAnsi="仿宋" w:eastAsia="仿宋" w:cs="仿宋"/>
          <w:color w:val="auto"/>
          <w:sz w:val="25"/>
          <w:szCs w:val="25"/>
          <w:highlight w:val="none"/>
          <w:lang w:val="en-US" w:eastAsia="zh-CN"/>
        </w:rPr>
        <w:t>元/天的标准承担违约金，甲方保留追究乙方违约责任的权利。</w:t>
      </w:r>
    </w:p>
    <w:p w14:paraId="7C3472D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乙方承诺签订合同后，需按甲方要求完成合同施工内容及工程量计价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5BA3A34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3、乙方不得转包本合同范围内工程。否则，甲方有权解除合同，没收乙方履约保证金，同时乙方还应承担由此造成甲方的全部损失。</w:t>
      </w:r>
    </w:p>
    <w:p w14:paraId="759F4D7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4、乙方在施工中发生并被业主或监理认定、且具有充足证据的偷工减料行为时，甲方有权单方面解除合同，没收乙方履约保证金，同时乙方应承担由此给甲方造成的一切经济损失。</w:t>
      </w:r>
    </w:p>
    <w:p w14:paraId="0CE563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5、如发生乙方拖欠工人工资，乙方同意甲方从其工程款中扣除直接支付给乙方工人，不足以支付的部分乙方应当另行支付，同时乙方应承担违约金</w:t>
      </w:r>
      <w:r>
        <w:rPr>
          <w:rFonts w:hint="eastAsia" w:ascii="仿宋" w:hAnsi="仿宋" w:eastAsia="仿宋" w:cs="仿宋"/>
          <w:b/>
          <w:bCs/>
          <w:color w:val="auto"/>
          <w:sz w:val="25"/>
          <w:szCs w:val="25"/>
          <w:highlight w:val="none"/>
          <w:u w:val="single"/>
          <w:lang w:val="en-US" w:eastAsia="zh-CN"/>
        </w:rPr>
        <w:t xml:space="preserve"> 5000  </w:t>
      </w:r>
      <w:r>
        <w:rPr>
          <w:rFonts w:hint="eastAsia" w:ascii="仿宋" w:hAnsi="仿宋" w:eastAsia="仿宋" w:cs="仿宋"/>
          <w:color w:val="auto"/>
          <w:sz w:val="25"/>
          <w:szCs w:val="25"/>
          <w:highlight w:val="none"/>
          <w:lang w:val="en-US" w:eastAsia="zh-CN"/>
        </w:rPr>
        <w:t>元/次。乙方拖欠或挪用农民工工资，造成甲方名誉受到严重影响 的，甲方有权单方面解除合同，没收乙方履约保证金，同时乙方应承担由此给甲 方造成的一切经济损失。</w:t>
      </w:r>
    </w:p>
    <w:p w14:paraId="0D6450D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6、甲乙双方终止或解除合同的，依法及依约定应当由乙方承担的一切责任均由其自行承担，由此给甲方造成损失的，甲方有权追究乙方的违约及赔偿责任。</w:t>
      </w:r>
    </w:p>
    <w:p w14:paraId="1FB9884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7、乙方不能按合同工期竣工或工程质量达不到合同约定的质量标准或发生合同列举的健康、环境、安全等事故或不按合同约定履行其他义务、责任的，每发生一起承担违约金</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b/>
          <w:bCs/>
          <w:color w:val="auto"/>
          <w:sz w:val="25"/>
          <w:szCs w:val="25"/>
          <w:highlight w:val="none"/>
          <w:u w:val="single"/>
          <w:lang w:val="en-US" w:eastAsia="zh-CN"/>
        </w:rPr>
        <w:t xml:space="preserve">5000 </w:t>
      </w:r>
      <w:r>
        <w:rPr>
          <w:rFonts w:hint="eastAsia" w:ascii="仿宋" w:hAnsi="仿宋" w:eastAsia="仿宋" w:cs="仿宋"/>
          <w:color w:val="auto"/>
          <w:sz w:val="25"/>
          <w:szCs w:val="25"/>
          <w:highlight w:val="none"/>
          <w:lang w:val="en-US" w:eastAsia="zh-CN"/>
        </w:rPr>
        <w:t>元。</w:t>
      </w:r>
    </w:p>
    <w:p w14:paraId="34B0249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8、由于乙方原因不能继续履行合同，经甲、乙双方协商同意可以解除合同，但乙方应承担违约金</w:t>
      </w:r>
      <w:r>
        <w:rPr>
          <w:rFonts w:hint="eastAsia" w:ascii="仿宋" w:hAnsi="仿宋" w:eastAsia="仿宋" w:cs="仿宋"/>
          <w:b/>
          <w:bCs/>
          <w:color w:val="auto"/>
          <w:sz w:val="25"/>
          <w:szCs w:val="25"/>
          <w:highlight w:val="none"/>
          <w:u w:val="single"/>
          <w:lang w:val="en-US" w:eastAsia="zh-CN"/>
        </w:rPr>
        <w:t>合同金额的5%</w:t>
      </w:r>
      <w:r>
        <w:rPr>
          <w:rFonts w:hint="eastAsia" w:ascii="仿宋" w:hAnsi="仿宋" w:eastAsia="仿宋" w:cs="仿宋"/>
          <w:color w:val="auto"/>
          <w:sz w:val="25"/>
          <w:szCs w:val="25"/>
          <w:highlight w:val="none"/>
          <w:lang w:val="en-US" w:eastAsia="zh-CN"/>
        </w:rPr>
        <w:t>及甲方由此发生的全部损失。甲方根据乙方履行情况推断出乙方无力继续履行本合同的，经甲方发出限期整改通知书后 3天内仍未提供确保合同履行的措施、方案的，甲方有权解除合同，同时乙方还应承担违约金</w:t>
      </w:r>
      <w:r>
        <w:rPr>
          <w:rFonts w:hint="eastAsia" w:ascii="仿宋" w:hAnsi="仿宋" w:eastAsia="仿宋" w:cs="仿宋"/>
          <w:b/>
          <w:bCs/>
          <w:color w:val="auto"/>
          <w:sz w:val="25"/>
          <w:szCs w:val="25"/>
          <w:highlight w:val="none"/>
          <w:u w:val="single"/>
          <w:lang w:val="en-US" w:eastAsia="zh-CN"/>
        </w:rPr>
        <w:t>合同金额的5%</w:t>
      </w:r>
      <w:r>
        <w:rPr>
          <w:rFonts w:hint="eastAsia" w:ascii="仿宋" w:hAnsi="仿宋" w:eastAsia="仿宋" w:cs="仿宋"/>
          <w:color w:val="auto"/>
          <w:sz w:val="25"/>
          <w:szCs w:val="25"/>
          <w:highlight w:val="none"/>
          <w:lang w:val="en-US" w:eastAsia="zh-CN"/>
        </w:rPr>
        <w:t>及由此造成甲方的全部损失。</w:t>
      </w:r>
    </w:p>
    <w:p w14:paraId="55F9B8F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9、因乙方欠付第三方的材料款、租赁费等，导致第三方向甲方连带追偿，视为乙方违约，每发生一次乙方应承担违约金3万元，因此给甲方造成的损失，由乙方承担，甲方有权直接在劳务分包结算款中扣除。</w:t>
      </w:r>
    </w:p>
    <w:p w14:paraId="4E62D44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10、如乙方煽动农民工闹事或因乙方拖欠农民工工资、乙方未积极妥善处理所雇佣人员伤亡等原因导致聚众闹事时，均属乙方违约，甲方有权单方面解除合同，乙方承担由此增加的全部费用及因工期延误造成的甲方应当向业主承担的全 部违约及赔偿责任，乙方履约保证金不予退还。同时每发生一起，乙方应向甲方支付违约金</w:t>
      </w:r>
      <w:r>
        <w:rPr>
          <w:rFonts w:hint="eastAsia" w:ascii="仿宋" w:hAnsi="仿宋" w:eastAsia="仿宋" w:cs="仿宋"/>
          <w:b/>
          <w:bCs/>
          <w:color w:val="auto"/>
          <w:sz w:val="25"/>
          <w:szCs w:val="25"/>
          <w:highlight w:val="none"/>
          <w:u w:val="single"/>
          <w:lang w:val="en-US" w:eastAsia="zh-CN"/>
        </w:rPr>
        <w:t xml:space="preserve">50000 </w:t>
      </w:r>
      <w:r>
        <w:rPr>
          <w:rFonts w:hint="eastAsia" w:ascii="仿宋" w:hAnsi="仿宋" w:eastAsia="仿宋" w:cs="仿宋"/>
          <w:color w:val="auto"/>
          <w:sz w:val="25"/>
          <w:szCs w:val="25"/>
          <w:highlight w:val="none"/>
          <w:lang w:val="en-US" w:eastAsia="zh-CN"/>
        </w:rPr>
        <w:t>元。</w:t>
      </w:r>
    </w:p>
    <w:p w14:paraId="7B20E19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r>
        <w:rPr>
          <w:rFonts w:hint="eastAsia" w:ascii="仿宋" w:hAnsi="仿宋" w:eastAsia="仿宋" w:cs="仿宋"/>
          <w:b/>
          <w:bCs/>
          <w:color w:val="auto"/>
          <w:sz w:val="25"/>
          <w:szCs w:val="25"/>
          <w:highlight w:val="none"/>
          <w:lang w:val="en-US" w:eastAsia="zh-CN"/>
        </w:rPr>
        <w:t>(三)违约金总额限制</w:t>
      </w:r>
    </w:p>
    <w:p w14:paraId="216D598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 xml:space="preserve">本合同执行期间对乙方有关的违约金总额不得大于合同额(完工结算总额 ) 的 </w:t>
      </w:r>
      <w:r>
        <w:rPr>
          <w:rFonts w:hint="eastAsia" w:ascii="仿宋" w:hAnsi="仿宋" w:eastAsia="仿宋" w:cs="仿宋"/>
          <w:b/>
          <w:bCs/>
          <w:color w:val="auto"/>
          <w:sz w:val="25"/>
          <w:szCs w:val="25"/>
          <w:highlight w:val="none"/>
          <w:u w:val="single"/>
          <w:lang w:val="en-US" w:eastAsia="zh-CN"/>
        </w:rPr>
        <w:t>15 %</w:t>
      </w:r>
      <w:r>
        <w:rPr>
          <w:rFonts w:hint="eastAsia" w:ascii="仿宋" w:hAnsi="仿宋" w:eastAsia="仿宋" w:cs="仿宋"/>
          <w:color w:val="auto"/>
          <w:sz w:val="25"/>
          <w:szCs w:val="25"/>
          <w:highlight w:val="none"/>
          <w:lang w:val="en-US" w:eastAsia="zh-CN"/>
        </w:rPr>
        <w:t>。</w:t>
      </w:r>
    </w:p>
    <w:p w14:paraId="68C1DFD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7" w:name="_Toc26014"/>
      <w:r>
        <w:rPr>
          <w:rFonts w:hint="eastAsia" w:ascii="仿宋" w:hAnsi="仿宋" w:eastAsia="仿宋" w:cs="仿宋"/>
          <w:b/>
          <w:bCs/>
          <w:color w:val="auto"/>
          <w:sz w:val="25"/>
          <w:szCs w:val="25"/>
          <w:highlight w:val="none"/>
          <w:lang w:val="en-US" w:eastAsia="zh-CN"/>
        </w:rPr>
        <w:t>二十一、争议解决</w:t>
      </w:r>
      <w:bookmarkEnd w:id="37"/>
    </w:p>
    <w:p w14:paraId="6E32B28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1、凡因本合同引起的或与本合同有关的任何争议，由双方协商解决；协商未果时，向工程所在地的人民法院提起诉讼。</w:t>
      </w:r>
    </w:p>
    <w:p w14:paraId="785B65B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37C259E0">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8" w:name="_Toc5795"/>
      <w:r>
        <w:rPr>
          <w:rFonts w:hint="eastAsia" w:ascii="仿宋" w:hAnsi="仿宋" w:eastAsia="仿宋" w:cs="仿宋"/>
          <w:b/>
          <w:bCs/>
          <w:color w:val="auto"/>
          <w:sz w:val="25"/>
          <w:szCs w:val="25"/>
          <w:highlight w:val="none"/>
          <w:lang w:val="en-US" w:eastAsia="zh-CN"/>
        </w:rPr>
        <w:t>二十二、特别约定</w:t>
      </w:r>
      <w:bookmarkEnd w:id="38"/>
    </w:p>
    <w:p w14:paraId="3B5767A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346BF08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2、因甲方企业文化建设需要，乙方人员、设备使用甲方标志时，不代表设备为甲方所有，也不代表乙方人员与甲方有任何劳动关系。</w:t>
      </w:r>
    </w:p>
    <w:p w14:paraId="09E3C61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3、乙方应按甲方的质量、环境、健康要求和认证体系运行，执行甲方相关的体系文件和管理办法，并签订《环境与职业健康安全管理责任书》,系本合同 的组成部分，双方须按其规定执行。</w:t>
      </w:r>
    </w:p>
    <w:p w14:paraId="1198381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4、本合同履约中甲乙双方往来的通知、指示、要求、确认、决定等均应以书面函件为准；紧急情况下可以先口头通知，后补充书面材料；并应送达约定地点和办理签收手续。</w:t>
      </w:r>
    </w:p>
    <w:p w14:paraId="54C0349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color w:val="auto"/>
          <w:sz w:val="25"/>
          <w:szCs w:val="25"/>
          <w:highlight w:val="none"/>
          <w:lang w:val="en-US" w:eastAsia="zh-CN"/>
        </w:rPr>
      </w:pPr>
      <w:bookmarkStart w:id="39" w:name="_Toc10378"/>
      <w:r>
        <w:rPr>
          <w:rFonts w:hint="eastAsia" w:ascii="仿宋" w:hAnsi="仿宋" w:eastAsia="仿宋" w:cs="仿宋"/>
          <w:b/>
          <w:bCs/>
          <w:color w:val="auto"/>
          <w:sz w:val="25"/>
          <w:szCs w:val="25"/>
          <w:highlight w:val="none"/>
          <w:lang w:val="en-US" w:eastAsia="zh-CN"/>
        </w:rPr>
        <w:t>二十三、附则</w:t>
      </w:r>
      <w:bookmarkEnd w:id="39"/>
    </w:p>
    <w:p w14:paraId="495EF6F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1、本合同未尽事宜由双方友好协商解决，并签订补充协议。</w:t>
      </w:r>
    </w:p>
    <w:p w14:paraId="252FA84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r>
        <w:rPr>
          <w:rFonts w:hint="eastAsia" w:ascii="仿宋" w:hAnsi="仿宋" w:eastAsia="仿宋" w:cs="仿宋"/>
          <w:color w:val="auto"/>
          <w:sz w:val="25"/>
          <w:szCs w:val="25"/>
          <w:highlight w:val="none"/>
          <w:lang w:val="en-US" w:eastAsia="zh-CN"/>
        </w:rPr>
        <w:t>2、本合同一式</w:t>
      </w:r>
      <w:r>
        <w:rPr>
          <w:rFonts w:hint="eastAsia" w:ascii="仿宋" w:hAnsi="仿宋" w:eastAsia="仿宋" w:cs="仿宋"/>
          <w:b/>
          <w:bCs/>
          <w:color w:val="auto"/>
          <w:sz w:val="25"/>
          <w:szCs w:val="25"/>
          <w:highlight w:val="none"/>
          <w:u w:val="single"/>
          <w:lang w:val="en-US" w:eastAsia="zh-CN"/>
        </w:rPr>
        <w:t xml:space="preserve"> 陆</w:t>
      </w:r>
      <w:r>
        <w:rPr>
          <w:rFonts w:hint="eastAsia" w:ascii="仿宋" w:hAnsi="仿宋" w:eastAsia="仿宋" w:cs="仿宋"/>
          <w:color w:val="auto"/>
          <w:sz w:val="25"/>
          <w:szCs w:val="25"/>
          <w:highlight w:val="none"/>
          <w:u w:val="single"/>
          <w:lang w:val="en-US" w:eastAsia="zh-CN"/>
        </w:rPr>
        <w:t xml:space="preserve"> </w:t>
      </w:r>
      <w:r>
        <w:rPr>
          <w:rFonts w:hint="eastAsia" w:ascii="仿宋" w:hAnsi="仿宋" w:eastAsia="仿宋" w:cs="仿宋"/>
          <w:color w:val="auto"/>
          <w:sz w:val="25"/>
          <w:szCs w:val="25"/>
          <w:highlight w:val="none"/>
          <w:lang w:val="en-US" w:eastAsia="zh-CN"/>
        </w:rPr>
        <w:t>份，其中，甲方执</w:t>
      </w:r>
      <w:r>
        <w:rPr>
          <w:rFonts w:hint="eastAsia" w:ascii="仿宋" w:hAnsi="仿宋" w:eastAsia="仿宋" w:cs="仿宋"/>
          <w:b/>
          <w:bCs/>
          <w:color w:val="auto"/>
          <w:sz w:val="25"/>
          <w:szCs w:val="25"/>
          <w:highlight w:val="none"/>
          <w:u w:val="single"/>
          <w:lang w:val="en-US" w:eastAsia="zh-CN"/>
        </w:rPr>
        <w:t xml:space="preserve"> 肆 </w:t>
      </w:r>
      <w:r>
        <w:rPr>
          <w:rFonts w:hint="eastAsia" w:ascii="仿宋" w:hAnsi="仿宋" w:eastAsia="仿宋" w:cs="仿宋"/>
          <w:color w:val="auto"/>
          <w:sz w:val="25"/>
          <w:szCs w:val="25"/>
          <w:highlight w:val="none"/>
          <w:lang w:val="en-US" w:eastAsia="zh-CN"/>
        </w:rPr>
        <w:t>份，乙方执</w:t>
      </w:r>
      <w:r>
        <w:rPr>
          <w:rFonts w:hint="eastAsia" w:ascii="仿宋" w:hAnsi="仿宋" w:eastAsia="仿宋" w:cs="仿宋"/>
          <w:b/>
          <w:bCs/>
          <w:color w:val="auto"/>
          <w:sz w:val="25"/>
          <w:szCs w:val="25"/>
          <w:highlight w:val="none"/>
          <w:u w:val="single"/>
          <w:lang w:val="en-US" w:eastAsia="zh-CN"/>
        </w:rPr>
        <w:t xml:space="preserve"> 贰 </w:t>
      </w:r>
      <w:r>
        <w:rPr>
          <w:rFonts w:hint="eastAsia" w:ascii="仿宋" w:hAnsi="仿宋" w:eastAsia="仿宋" w:cs="仿宋"/>
          <w:color w:val="auto"/>
          <w:sz w:val="25"/>
          <w:szCs w:val="25"/>
          <w:highlight w:val="none"/>
          <w:lang w:val="en-US" w:eastAsia="zh-CN"/>
        </w:rPr>
        <w:t>份，自双方签字盖章后生效。</w:t>
      </w:r>
    </w:p>
    <w:p w14:paraId="7A09080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highlight w:val="none"/>
          <w:lang w:val="en-US" w:eastAsia="zh-CN"/>
        </w:rPr>
      </w:pP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57C5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04E710E5">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val="en-US" w:eastAsia="zh-CN"/>
              </w:rPr>
              <w:t>四川万尼腾建设工程有限公司</w:t>
            </w:r>
          </w:p>
        </w:tc>
        <w:tc>
          <w:tcPr>
            <w:tcW w:w="4332" w:type="dxa"/>
            <w:tcBorders>
              <w:tl2br w:val="nil"/>
              <w:tr2bl w:val="nil"/>
            </w:tcBorders>
            <w:noWrap w:val="0"/>
            <w:vAlign w:val="top"/>
          </w:tcPr>
          <w:p w14:paraId="5E7C98BF">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rPr>
            </w:pPr>
            <w:r>
              <w:rPr>
                <w:rFonts w:hint="eastAsia" w:ascii="仿宋" w:hAnsi="仿宋" w:eastAsia="仿宋" w:cs="仿宋"/>
                <w:b/>
                <w:bCs/>
                <w:i w:val="0"/>
                <w:iCs w:val="0"/>
                <w:color w:val="auto"/>
                <w:kern w:val="0"/>
                <w:sz w:val="24"/>
                <w:szCs w:val="24"/>
                <w:highlight w:val="none"/>
                <w:u w:val="none"/>
              </w:rPr>
              <w:t>乙方</w:t>
            </w:r>
            <w:r>
              <w:rPr>
                <w:rFonts w:hint="eastAsia" w:ascii="仿宋" w:hAnsi="仿宋" w:eastAsia="仿宋" w:cs="仿宋"/>
                <w:b/>
                <w:bCs/>
                <w:i w:val="0"/>
                <w:iCs w:val="0"/>
                <w:color w:val="auto"/>
                <w:kern w:val="0"/>
                <w:sz w:val="24"/>
                <w:szCs w:val="24"/>
                <w:highlight w:val="none"/>
                <w:u w:val="none"/>
                <w:lang w:eastAsia="zh-CN"/>
              </w:rPr>
              <w:t>：</w:t>
            </w:r>
            <w:r>
              <w:rPr>
                <w:rFonts w:hint="eastAsia" w:ascii="仿宋" w:hAnsi="仿宋" w:eastAsia="仿宋" w:cs="仿宋"/>
                <w:i w:val="0"/>
                <w:iCs w:val="0"/>
                <w:kern w:val="0"/>
                <w:sz w:val="24"/>
                <w:szCs w:val="24"/>
                <w:u w:val="none"/>
                <w:lang w:val="en-US" w:eastAsia="zh-CN"/>
              </w:rPr>
              <w:t>*****</w:t>
            </w:r>
          </w:p>
        </w:tc>
      </w:tr>
      <w:tr w14:paraId="19B2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67" w:type="dxa"/>
            <w:tcBorders>
              <w:tl2br w:val="nil"/>
              <w:tr2bl w:val="nil"/>
            </w:tcBorders>
            <w:noWrap w:val="0"/>
            <w:vAlign w:val="top"/>
          </w:tcPr>
          <w:p w14:paraId="1ACD184D">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64AE4BD7">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法人代表（委托代理人）：</w:t>
            </w:r>
          </w:p>
        </w:tc>
      </w:tr>
      <w:tr w14:paraId="0E59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4767" w:type="dxa"/>
            <w:tcBorders>
              <w:tl2br w:val="nil"/>
              <w:tr2bl w:val="nil"/>
            </w:tcBorders>
            <w:noWrap w:val="0"/>
            <w:vAlign w:val="top"/>
          </w:tcPr>
          <w:p w14:paraId="7876E58E">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开户银行：中国工商银行股份有限公司凉山航天城支行</w:t>
            </w:r>
          </w:p>
        </w:tc>
        <w:tc>
          <w:tcPr>
            <w:tcW w:w="4332" w:type="dxa"/>
            <w:tcBorders>
              <w:tl2br w:val="nil"/>
              <w:tr2bl w:val="nil"/>
            </w:tcBorders>
            <w:noWrap w:val="0"/>
            <w:vAlign w:val="top"/>
          </w:tcPr>
          <w:p w14:paraId="68DE12BE">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i w:val="0"/>
                <w:iCs w:val="0"/>
                <w:color w:val="auto"/>
                <w:kern w:val="0"/>
                <w:sz w:val="24"/>
                <w:szCs w:val="24"/>
                <w:highlight w:val="none"/>
              </w:rPr>
              <w:t>开户银行：</w:t>
            </w:r>
            <w:r>
              <w:rPr>
                <w:rFonts w:hint="eastAsia" w:ascii="仿宋" w:hAnsi="仿宋" w:eastAsia="仿宋" w:cs="仿宋"/>
                <w:i w:val="0"/>
                <w:iCs w:val="0"/>
                <w:color w:val="auto"/>
                <w:kern w:val="0"/>
                <w:sz w:val="24"/>
                <w:szCs w:val="24"/>
                <w:highlight w:val="none"/>
                <w:lang w:val="en-US" w:eastAsia="zh-CN"/>
              </w:rPr>
              <w:t>***********</w:t>
            </w:r>
          </w:p>
        </w:tc>
      </w:tr>
      <w:tr w14:paraId="29B5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0F33CEC9">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账号：2320 6326 0910 0105 125</w:t>
            </w:r>
          </w:p>
        </w:tc>
        <w:tc>
          <w:tcPr>
            <w:tcW w:w="4332" w:type="dxa"/>
            <w:tcBorders>
              <w:tl2br w:val="nil"/>
              <w:tr2bl w:val="nil"/>
            </w:tcBorders>
            <w:noWrap w:val="0"/>
            <w:vAlign w:val="top"/>
          </w:tcPr>
          <w:p w14:paraId="0830A773">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i w:val="0"/>
                <w:iCs w:val="0"/>
                <w:color w:val="auto"/>
                <w:kern w:val="0"/>
                <w:sz w:val="24"/>
                <w:szCs w:val="24"/>
                <w:highlight w:val="none"/>
              </w:rPr>
              <w:t>帐号：</w:t>
            </w:r>
            <w:r>
              <w:rPr>
                <w:rFonts w:hint="eastAsia" w:ascii="仿宋" w:hAnsi="仿宋" w:eastAsia="仿宋" w:cs="仿宋"/>
                <w:i w:val="0"/>
                <w:iCs w:val="0"/>
                <w:color w:val="auto"/>
                <w:kern w:val="0"/>
                <w:sz w:val="24"/>
                <w:szCs w:val="24"/>
                <w:highlight w:val="none"/>
                <w:lang w:val="en-US" w:eastAsia="zh-CN"/>
              </w:rPr>
              <w:t>***</w:t>
            </w:r>
          </w:p>
        </w:tc>
      </w:tr>
      <w:tr w14:paraId="71474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6E289811">
            <w:pPr>
              <w:pageBreakBefore w:val="0"/>
              <w:kinsoku/>
              <w:wordWrap/>
              <w:overflowPunct/>
              <w:topLinePunct w:val="0"/>
              <w:bidi w:val="0"/>
              <w:snapToGrid/>
              <w:spacing w:line="360" w:lineRule="auto"/>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kern w:val="0"/>
                <w:sz w:val="24"/>
                <w:szCs w:val="24"/>
                <w:lang w:val="en-US" w:eastAsia="zh-CN"/>
              </w:rPr>
              <w:t>注册地址：西昌市长安东路53号3幢1楼</w:t>
            </w:r>
          </w:p>
        </w:tc>
        <w:tc>
          <w:tcPr>
            <w:tcW w:w="4332" w:type="dxa"/>
            <w:tcBorders>
              <w:tl2br w:val="nil"/>
              <w:tr2bl w:val="nil"/>
            </w:tcBorders>
            <w:noWrap w:val="0"/>
            <w:vAlign w:val="top"/>
          </w:tcPr>
          <w:p w14:paraId="266A9087">
            <w:pPr>
              <w:pageBreakBefore w:val="0"/>
              <w:kinsoku/>
              <w:wordWrap/>
              <w:overflowPunct/>
              <w:topLinePunct w:val="0"/>
              <w:bidi w:val="0"/>
              <w:snapToGrid/>
              <w:spacing w:line="360" w:lineRule="auto"/>
              <w:textAlignment w:val="auto"/>
              <w:rPr>
                <w:rFonts w:hint="default" w:ascii="仿宋" w:hAnsi="仿宋" w:eastAsia="仿宋" w:cs="仿宋"/>
                <w:i w:val="0"/>
                <w:iCs w:val="0"/>
                <w:color w:val="auto"/>
                <w:kern w:val="0"/>
                <w:sz w:val="24"/>
                <w:szCs w:val="24"/>
                <w:highlight w:val="none"/>
                <w:lang w:val="en-US"/>
              </w:rPr>
            </w:pPr>
            <w:r>
              <w:rPr>
                <w:rFonts w:hint="eastAsia" w:ascii="仿宋" w:hAnsi="仿宋" w:eastAsia="仿宋" w:cs="仿宋"/>
                <w:i w:val="0"/>
                <w:iCs w:val="0"/>
                <w:color w:val="auto"/>
                <w:kern w:val="0"/>
                <w:sz w:val="24"/>
                <w:szCs w:val="24"/>
                <w:highlight w:val="none"/>
                <w:lang w:val="en-US" w:eastAsia="zh-CN"/>
              </w:rPr>
              <w:t>注册地址：***********</w:t>
            </w:r>
          </w:p>
        </w:tc>
      </w:tr>
      <w:tr w14:paraId="745F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7CB50745">
            <w:pPr>
              <w:pageBreakBefore w:val="0"/>
              <w:widowControl/>
              <w:kinsoku/>
              <w:wordWrap/>
              <w:overflowPunct/>
              <w:topLinePunct w:val="0"/>
              <w:bidi w:val="0"/>
              <w:snapToGrid/>
              <w:spacing w:line="360" w:lineRule="auto"/>
              <w:ind w:firstLine="3120" w:firstLineChars="1300"/>
              <w:jc w:val="left"/>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color w:val="auto"/>
                <w:kern w:val="0"/>
                <w:sz w:val="24"/>
                <w:szCs w:val="24"/>
                <w:highlight w:val="none"/>
              </w:rPr>
              <w:t>签订地点：</w:t>
            </w:r>
            <w:r>
              <w:rPr>
                <w:rFonts w:hint="eastAsia" w:ascii="仿宋" w:hAnsi="仿宋" w:eastAsia="仿宋" w:cs="仿宋"/>
                <w:i w:val="0"/>
                <w:iCs w:val="0"/>
                <w:color w:val="auto"/>
                <w:kern w:val="0"/>
                <w:sz w:val="24"/>
                <w:szCs w:val="24"/>
                <w:highlight w:val="none"/>
                <w:lang w:val="en-US" w:eastAsia="zh-CN"/>
              </w:rPr>
              <w:t>西昌市</w:t>
            </w:r>
          </w:p>
        </w:tc>
      </w:tr>
      <w:tr w14:paraId="7390A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0B5C071C">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签订日期：</w:t>
            </w:r>
            <w:r>
              <w:rPr>
                <w:rFonts w:hint="eastAsia" w:ascii="仿宋" w:hAnsi="仿宋" w:eastAsia="仿宋" w:cs="仿宋"/>
                <w:i w:val="0"/>
                <w:iCs w:val="0"/>
                <w:color w:val="auto"/>
                <w:kern w:val="0"/>
                <w:sz w:val="24"/>
                <w:szCs w:val="24"/>
                <w:highlight w:val="none"/>
                <w:lang w:val="en-US" w:eastAsia="zh-CN"/>
              </w:rPr>
              <w:t xml:space="preserve">  2026</w:t>
            </w:r>
            <w:r>
              <w:rPr>
                <w:rFonts w:hint="eastAsia" w:ascii="仿宋" w:hAnsi="仿宋" w:eastAsia="仿宋" w:cs="仿宋"/>
                <w:i w:val="0"/>
                <w:iCs w:val="0"/>
                <w:color w:val="auto"/>
                <w:kern w:val="0"/>
                <w:sz w:val="24"/>
                <w:szCs w:val="24"/>
                <w:highlight w:val="none"/>
              </w:rPr>
              <w:t>年</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月</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日</w:t>
            </w:r>
          </w:p>
        </w:tc>
      </w:tr>
    </w:tbl>
    <w:p w14:paraId="215669DD">
      <w:pPr>
        <w:spacing w:before="82" w:line="222" w:lineRule="auto"/>
        <w:rPr>
          <w:rFonts w:ascii="仿宋" w:hAnsi="仿宋" w:eastAsia="仿宋" w:cs="仿宋"/>
          <w:b/>
          <w:bCs/>
          <w:color w:val="auto"/>
          <w:spacing w:val="-27"/>
          <w:sz w:val="25"/>
          <w:szCs w:val="25"/>
          <w:highlight w:val="none"/>
        </w:rPr>
      </w:pPr>
    </w:p>
    <w:p w14:paraId="56ECECAD">
      <w:pPr>
        <w:spacing w:before="82" w:line="222" w:lineRule="auto"/>
        <w:ind w:left="206"/>
        <w:rPr>
          <w:rFonts w:ascii="仿宋" w:hAnsi="仿宋" w:eastAsia="仿宋" w:cs="仿宋"/>
          <w:b/>
          <w:bCs/>
          <w:color w:val="auto"/>
          <w:spacing w:val="-27"/>
          <w:sz w:val="25"/>
          <w:szCs w:val="25"/>
          <w:highlight w:val="none"/>
        </w:rPr>
      </w:pPr>
    </w:p>
    <w:p w14:paraId="73DCEF6C">
      <w:pPr>
        <w:spacing w:before="82" w:line="222" w:lineRule="auto"/>
        <w:ind w:left="206"/>
        <w:rPr>
          <w:rFonts w:ascii="仿宋" w:hAnsi="仿宋" w:eastAsia="仿宋" w:cs="仿宋"/>
          <w:b/>
          <w:bCs/>
          <w:color w:val="auto"/>
          <w:spacing w:val="-27"/>
          <w:sz w:val="25"/>
          <w:szCs w:val="25"/>
          <w:highlight w:val="none"/>
        </w:rPr>
      </w:pPr>
    </w:p>
    <w:p w14:paraId="19F27FE1">
      <w:pPr>
        <w:spacing w:before="82" w:line="222" w:lineRule="auto"/>
        <w:rPr>
          <w:rFonts w:hint="eastAsia" w:ascii="仿宋" w:hAnsi="仿宋" w:eastAsia="仿宋" w:cs="仿宋"/>
          <w:b/>
          <w:bCs/>
          <w:color w:val="auto"/>
          <w:spacing w:val="-13"/>
          <w:sz w:val="25"/>
          <w:szCs w:val="25"/>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2772410</wp:posOffset>
                </wp:positionH>
                <wp:positionV relativeFrom="paragraph">
                  <wp:posOffset>66040</wp:posOffset>
                </wp:positionV>
                <wp:extent cx="355600" cy="21844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355600" cy="218440"/>
                        </a:xfrm>
                        <a:prstGeom prst="rect">
                          <a:avLst/>
                        </a:prstGeom>
                        <a:noFill/>
                        <a:ln>
                          <a:noFill/>
                        </a:ln>
                      </wps:spPr>
                      <wps:txbx>
                        <w:txbxContent>
                          <w:p w14:paraId="7994D16F"/>
                        </w:txbxContent>
                      </wps:txbx>
                      <wps:bodyPr lIns="0" tIns="0" rIns="0" bIns="0" upright="1"/>
                    </wps:wsp>
                  </a:graphicData>
                </a:graphic>
              </wp:anchor>
            </w:drawing>
          </mc:Choice>
          <mc:Fallback>
            <w:pict>
              <v:shape id="_x0000_s1026" o:spid="_x0000_s1026" o:spt="202" type="#_x0000_t202" style="position:absolute;left:0pt;margin-left:218.3pt;margin-top:5.2pt;height:17.2pt;width:28pt;z-index:251660288;mso-width-relative:page;mso-height-relative:page;" filled="f" stroked="f" coordsize="21600,21600" o:gfxdata="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o92U7XAAAACQEAAA8AAAAAAAAAAQAgAAAAIgAAAGRycy9kb3ducmV2LnhtbFBLAQIU&#10;ABQAAAAIAIdO4kAKRgO5uwEAAHMDAAAOAAAAAAAAAAEAIAAAACYBAABkcnMvZTJvRG9jLnhtbFBL&#10;BQYAAAAABgAGAFkBAABTBQAAAAA=&#10;">
                <v:fill on="f" focussize="0,0"/>
                <v:stroke on="f"/>
                <v:imagedata o:title=""/>
                <o:lock v:ext="edit" aspectratio="f"/>
                <v:textbox inset="0mm,0mm,0mm,0mm">
                  <w:txbxContent>
                    <w:p w14:paraId="7994D16F"/>
                  </w:txbxContent>
                </v:textbox>
              </v:shape>
            </w:pict>
          </mc:Fallback>
        </mc:AlternateContent>
      </w:r>
      <w:bookmarkStart w:id="40" w:name="_Toc24223"/>
    </w:p>
    <w:p w14:paraId="5EF7B746">
      <w:pPr>
        <w:spacing w:before="81" w:line="222" w:lineRule="auto"/>
        <w:ind w:left="246"/>
        <w:outlineLvl w:val="0"/>
        <w:rPr>
          <w:rFonts w:hint="eastAsia" w:ascii="仿宋" w:hAnsi="仿宋" w:eastAsia="仿宋" w:cs="仿宋"/>
          <w:b/>
          <w:bCs/>
          <w:color w:val="auto"/>
          <w:spacing w:val="-13"/>
          <w:sz w:val="25"/>
          <w:szCs w:val="25"/>
          <w:highlight w:val="none"/>
        </w:rPr>
      </w:pPr>
    </w:p>
    <w:p w14:paraId="05845ADE">
      <w:pPr>
        <w:spacing w:before="81" w:line="222" w:lineRule="auto"/>
        <w:ind w:left="246"/>
        <w:outlineLvl w:val="0"/>
        <w:rPr>
          <w:rFonts w:hint="eastAsia" w:ascii="仿宋" w:hAnsi="仿宋" w:eastAsia="仿宋" w:cs="仿宋"/>
          <w:b/>
          <w:bCs/>
          <w:color w:val="auto"/>
          <w:spacing w:val="-13"/>
          <w:sz w:val="25"/>
          <w:szCs w:val="25"/>
          <w:highlight w:val="none"/>
        </w:rPr>
      </w:pPr>
    </w:p>
    <w:p w14:paraId="0E37B322">
      <w:pPr>
        <w:spacing w:before="81" w:line="222" w:lineRule="auto"/>
        <w:ind w:left="246"/>
        <w:outlineLvl w:val="0"/>
        <w:rPr>
          <w:rFonts w:hint="eastAsia" w:ascii="仿宋" w:hAnsi="仿宋" w:eastAsia="仿宋" w:cs="仿宋"/>
          <w:b/>
          <w:bCs/>
          <w:color w:val="auto"/>
          <w:spacing w:val="-13"/>
          <w:sz w:val="25"/>
          <w:szCs w:val="25"/>
          <w:highlight w:val="none"/>
        </w:rPr>
      </w:pPr>
    </w:p>
    <w:p w14:paraId="33AD1AA0">
      <w:pPr>
        <w:spacing w:before="81" w:line="222" w:lineRule="auto"/>
        <w:ind w:left="246"/>
        <w:outlineLvl w:val="0"/>
        <w:rPr>
          <w:rFonts w:hint="eastAsia" w:ascii="仿宋" w:hAnsi="仿宋" w:eastAsia="仿宋" w:cs="仿宋"/>
          <w:b/>
          <w:bCs/>
          <w:color w:val="auto"/>
          <w:spacing w:val="-13"/>
          <w:sz w:val="25"/>
          <w:szCs w:val="25"/>
          <w:highlight w:val="none"/>
        </w:rPr>
      </w:pPr>
    </w:p>
    <w:p w14:paraId="5C4202ED">
      <w:pPr>
        <w:spacing w:before="81" w:line="222" w:lineRule="auto"/>
        <w:ind w:left="246"/>
        <w:outlineLvl w:val="0"/>
        <w:rPr>
          <w:rFonts w:hint="eastAsia" w:ascii="仿宋" w:hAnsi="仿宋" w:eastAsia="仿宋" w:cs="仿宋"/>
          <w:b/>
          <w:bCs/>
          <w:color w:val="auto"/>
          <w:spacing w:val="-13"/>
          <w:sz w:val="25"/>
          <w:szCs w:val="25"/>
          <w:highlight w:val="none"/>
        </w:rPr>
      </w:pPr>
    </w:p>
    <w:p w14:paraId="5601B8AE">
      <w:pPr>
        <w:spacing w:before="81" w:line="222" w:lineRule="auto"/>
        <w:ind w:left="246"/>
        <w:outlineLvl w:val="0"/>
        <w:rPr>
          <w:rFonts w:hint="eastAsia" w:ascii="仿宋" w:hAnsi="仿宋" w:eastAsia="仿宋" w:cs="仿宋"/>
          <w:b/>
          <w:bCs/>
          <w:color w:val="auto"/>
          <w:spacing w:val="-13"/>
          <w:sz w:val="25"/>
          <w:szCs w:val="25"/>
          <w:highlight w:val="none"/>
        </w:rPr>
      </w:pPr>
    </w:p>
    <w:p w14:paraId="577EC55F">
      <w:pPr>
        <w:spacing w:before="81" w:line="222" w:lineRule="auto"/>
        <w:ind w:left="246"/>
        <w:outlineLvl w:val="0"/>
        <w:rPr>
          <w:rFonts w:hint="eastAsia" w:ascii="仿宋" w:hAnsi="仿宋" w:eastAsia="仿宋" w:cs="仿宋"/>
          <w:b/>
          <w:bCs/>
          <w:color w:val="auto"/>
          <w:spacing w:val="-13"/>
          <w:sz w:val="25"/>
          <w:szCs w:val="25"/>
          <w:highlight w:val="none"/>
        </w:rPr>
      </w:pPr>
    </w:p>
    <w:p w14:paraId="02187884">
      <w:pPr>
        <w:spacing w:before="81" w:line="222" w:lineRule="auto"/>
        <w:ind w:left="246"/>
        <w:outlineLvl w:val="0"/>
        <w:rPr>
          <w:rFonts w:hint="eastAsia" w:ascii="仿宋" w:hAnsi="仿宋" w:eastAsia="仿宋" w:cs="仿宋"/>
          <w:b/>
          <w:bCs/>
          <w:color w:val="auto"/>
          <w:spacing w:val="-13"/>
          <w:sz w:val="25"/>
          <w:szCs w:val="25"/>
          <w:highlight w:val="none"/>
        </w:rPr>
      </w:pPr>
    </w:p>
    <w:p w14:paraId="7744DE97">
      <w:pPr>
        <w:spacing w:before="81" w:line="222" w:lineRule="auto"/>
        <w:ind w:left="246"/>
        <w:outlineLvl w:val="0"/>
        <w:rPr>
          <w:rFonts w:hint="eastAsia" w:ascii="仿宋" w:hAnsi="仿宋" w:eastAsia="仿宋" w:cs="仿宋"/>
          <w:b/>
          <w:bCs/>
          <w:color w:val="auto"/>
          <w:spacing w:val="-13"/>
          <w:sz w:val="25"/>
          <w:szCs w:val="25"/>
          <w:highlight w:val="none"/>
        </w:rPr>
      </w:pPr>
    </w:p>
    <w:p w14:paraId="0935C161">
      <w:pPr>
        <w:spacing w:before="81" w:line="222" w:lineRule="auto"/>
        <w:ind w:left="246"/>
        <w:outlineLvl w:val="0"/>
        <w:rPr>
          <w:rFonts w:hint="eastAsia" w:ascii="仿宋" w:hAnsi="仿宋" w:eastAsia="仿宋" w:cs="仿宋"/>
          <w:b/>
          <w:bCs/>
          <w:color w:val="auto"/>
          <w:spacing w:val="-13"/>
          <w:sz w:val="25"/>
          <w:szCs w:val="25"/>
          <w:highlight w:val="none"/>
        </w:rPr>
      </w:pPr>
    </w:p>
    <w:p w14:paraId="44C9CF3D">
      <w:pPr>
        <w:spacing w:before="81" w:line="222" w:lineRule="auto"/>
        <w:ind w:left="246"/>
        <w:outlineLvl w:val="0"/>
        <w:rPr>
          <w:rFonts w:hint="eastAsia" w:ascii="仿宋" w:hAnsi="仿宋" w:eastAsia="仿宋" w:cs="仿宋"/>
          <w:b/>
          <w:bCs/>
          <w:color w:val="auto"/>
          <w:spacing w:val="-13"/>
          <w:sz w:val="25"/>
          <w:szCs w:val="25"/>
          <w:highlight w:val="none"/>
        </w:rPr>
      </w:pPr>
    </w:p>
    <w:p w14:paraId="63841335">
      <w:pPr>
        <w:spacing w:before="81" w:line="222" w:lineRule="auto"/>
        <w:ind w:left="246"/>
        <w:outlineLvl w:val="0"/>
        <w:rPr>
          <w:rFonts w:hint="eastAsia" w:ascii="仿宋" w:hAnsi="仿宋" w:eastAsia="仿宋" w:cs="仿宋"/>
          <w:b/>
          <w:bCs/>
          <w:color w:val="auto"/>
          <w:spacing w:val="-13"/>
          <w:sz w:val="25"/>
          <w:szCs w:val="25"/>
          <w:highlight w:val="none"/>
        </w:rPr>
      </w:pPr>
    </w:p>
    <w:p w14:paraId="6DD52DC6">
      <w:pPr>
        <w:spacing w:before="81" w:line="222" w:lineRule="auto"/>
        <w:ind w:left="246"/>
        <w:outlineLvl w:val="0"/>
        <w:rPr>
          <w:rFonts w:hint="eastAsia" w:ascii="仿宋" w:hAnsi="仿宋" w:eastAsia="仿宋" w:cs="仿宋"/>
          <w:b/>
          <w:bCs/>
          <w:color w:val="auto"/>
          <w:spacing w:val="-13"/>
          <w:sz w:val="25"/>
          <w:szCs w:val="25"/>
          <w:highlight w:val="none"/>
        </w:rPr>
      </w:pPr>
    </w:p>
    <w:p w14:paraId="06900E5B">
      <w:pPr>
        <w:spacing w:before="81" w:line="222" w:lineRule="auto"/>
        <w:ind w:left="246"/>
        <w:outlineLvl w:val="0"/>
        <w:rPr>
          <w:rFonts w:hint="eastAsia" w:ascii="仿宋" w:hAnsi="仿宋" w:eastAsia="仿宋" w:cs="仿宋"/>
          <w:b/>
          <w:bCs/>
          <w:color w:val="auto"/>
          <w:spacing w:val="-13"/>
          <w:sz w:val="25"/>
          <w:szCs w:val="25"/>
          <w:highlight w:val="none"/>
        </w:rPr>
      </w:pPr>
    </w:p>
    <w:p w14:paraId="39A71EAC">
      <w:pPr>
        <w:spacing w:before="81" w:line="222" w:lineRule="auto"/>
        <w:ind w:left="246"/>
        <w:outlineLvl w:val="0"/>
        <w:rPr>
          <w:rFonts w:hint="eastAsia" w:ascii="仿宋" w:hAnsi="仿宋" w:eastAsia="仿宋" w:cs="仿宋"/>
          <w:b/>
          <w:bCs/>
          <w:color w:val="auto"/>
          <w:spacing w:val="-13"/>
          <w:sz w:val="25"/>
          <w:szCs w:val="25"/>
          <w:highlight w:val="none"/>
        </w:rPr>
      </w:pPr>
    </w:p>
    <w:p w14:paraId="36157A4C">
      <w:pPr>
        <w:spacing w:before="81" w:line="222" w:lineRule="auto"/>
        <w:ind w:left="246"/>
        <w:outlineLvl w:val="0"/>
        <w:rPr>
          <w:rFonts w:hint="eastAsia" w:ascii="仿宋" w:hAnsi="仿宋" w:eastAsia="仿宋" w:cs="仿宋"/>
          <w:b/>
          <w:bCs/>
          <w:color w:val="auto"/>
          <w:spacing w:val="-13"/>
          <w:sz w:val="25"/>
          <w:szCs w:val="25"/>
          <w:highlight w:val="none"/>
        </w:rPr>
      </w:pPr>
    </w:p>
    <w:p w14:paraId="13C73A57">
      <w:pPr>
        <w:spacing w:before="81" w:line="222" w:lineRule="auto"/>
        <w:ind w:left="246"/>
        <w:outlineLvl w:val="0"/>
        <w:rPr>
          <w:rFonts w:hint="eastAsia" w:ascii="仿宋" w:hAnsi="仿宋" w:eastAsia="仿宋" w:cs="仿宋"/>
          <w:b/>
          <w:bCs/>
          <w:color w:val="auto"/>
          <w:spacing w:val="-13"/>
          <w:sz w:val="25"/>
          <w:szCs w:val="25"/>
          <w:highlight w:val="none"/>
        </w:rPr>
      </w:pPr>
    </w:p>
    <w:p w14:paraId="670E45D3">
      <w:pPr>
        <w:spacing w:before="81" w:line="222" w:lineRule="auto"/>
        <w:ind w:left="246"/>
        <w:outlineLvl w:val="0"/>
        <w:rPr>
          <w:rFonts w:hint="eastAsia" w:ascii="仿宋" w:hAnsi="仿宋" w:eastAsia="仿宋" w:cs="仿宋"/>
          <w:b/>
          <w:bCs/>
          <w:color w:val="auto"/>
          <w:spacing w:val="-13"/>
          <w:sz w:val="25"/>
          <w:szCs w:val="25"/>
          <w:highlight w:val="none"/>
        </w:rPr>
      </w:pPr>
    </w:p>
    <w:p w14:paraId="58BB0D49">
      <w:pPr>
        <w:spacing w:before="81" w:line="222" w:lineRule="auto"/>
        <w:ind w:left="246"/>
        <w:outlineLvl w:val="0"/>
        <w:rPr>
          <w:rFonts w:hint="eastAsia" w:ascii="仿宋" w:hAnsi="仿宋" w:eastAsia="仿宋" w:cs="仿宋"/>
          <w:b/>
          <w:bCs/>
          <w:color w:val="auto"/>
          <w:spacing w:val="-13"/>
          <w:sz w:val="25"/>
          <w:szCs w:val="25"/>
          <w:highlight w:val="none"/>
        </w:rPr>
      </w:pPr>
    </w:p>
    <w:p w14:paraId="51961A7E">
      <w:pPr>
        <w:spacing w:before="81" w:line="222" w:lineRule="auto"/>
        <w:ind w:left="246"/>
        <w:outlineLvl w:val="0"/>
        <w:rPr>
          <w:rFonts w:hint="eastAsia" w:ascii="仿宋" w:hAnsi="仿宋" w:eastAsia="仿宋" w:cs="仿宋"/>
          <w:b/>
          <w:bCs/>
          <w:color w:val="auto"/>
          <w:spacing w:val="-13"/>
          <w:sz w:val="25"/>
          <w:szCs w:val="25"/>
          <w:highlight w:val="none"/>
        </w:rPr>
      </w:pPr>
    </w:p>
    <w:p w14:paraId="6FFA57D3">
      <w:pPr>
        <w:spacing w:before="81" w:line="222" w:lineRule="auto"/>
        <w:ind w:left="246"/>
        <w:outlineLvl w:val="0"/>
        <w:rPr>
          <w:rFonts w:hint="eastAsia" w:ascii="仿宋" w:hAnsi="仿宋" w:eastAsia="仿宋" w:cs="仿宋"/>
          <w:b/>
          <w:bCs/>
          <w:color w:val="auto"/>
          <w:spacing w:val="-13"/>
          <w:sz w:val="25"/>
          <w:szCs w:val="25"/>
          <w:highlight w:val="none"/>
        </w:rPr>
      </w:pPr>
    </w:p>
    <w:p w14:paraId="49643A21">
      <w:pPr>
        <w:spacing w:before="81" w:line="222" w:lineRule="auto"/>
        <w:ind w:left="246"/>
        <w:outlineLvl w:val="0"/>
        <w:rPr>
          <w:rFonts w:hint="eastAsia" w:ascii="仿宋" w:hAnsi="仿宋" w:eastAsia="仿宋" w:cs="仿宋"/>
          <w:color w:val="auto"/>
          <w:sz w:val="25"/>
          <w:szCs w:val="25"/>
          <w:highlight w:val="none"/>
        </w:rPr>
      </w:pPr>
      <w:r>
        <w:rPr>
          <w:rFonts w:hint="eastAsia" w:ascii="仿宋" w:hAnsi="仿宋" w:eastAsia="仿宋" w:cs="仿宋"/>
          <w:b/>
          <w:bCs/>
          <w:color w:val="auto"/>
          <w:spacing w:val="-13"/>
          <w:sz w:val="25"/>
          <w:szCs w:val="25"/>
          <w:highlight w:val="none"/>
        </w:rPr>
        <w:t>合同附件</w:t>
      </w:r>
      <w:bookmarkEnd w:id="40"/>
    </w:p>
    <w:p w14:paraId="253D2A91">
      <w:pPr>
        <w:spacing w:before="170" w:line="221" w:lineRule="auto"/>
        <w:ind w:left="792"/>
        <w:rPr>
          <w:rFonts w:hint="eastAsia" w:ascii="仿宋" w:hAnsi="仿宋" w:eastAsia="仿宋" w:cs="仿宋"/>
          <w:color w:val="auto"/>
          <w:sz w:val="25"/>
          <w:szCs w:val="25"/>
          <w:highlight w:val="none"/>
        </w:rPr>
      </w:pPr>
      <w:r>
        <w:rPr>
          <w:rFonts w:hint="eastAsia" w:ascii="仿宋" w:hAnsi="仿宋" w:eastAsia="仿宋" w:cs="仿宋"/>
          <w:color w:val="auto"/>
          <w:spacing w:val="-9"/>
          <w:sz w:val="25"/>
          <w:szCs w:val="25"/>
          <w:highlight w:val="none"/>
        </w:rPr>
        <w:t>1、工程量计价清单</w:t>
      </w:r>
    </w:p>
    <w:p w14:paraId="0973B9C9">
      <w:pPr>
        <w:spacing w:before="193" w:line="222" w:lineRule="auto"/>
        <w:ind w:left="792"/>
        <w:rPr>
          <w:rFonts w:hint="eastAsia" w:ascii="仿宋" w:hAnsi="仿宋" w:eastAsia="仿宋" w:cs="仿宋"/>
          <w:color w:val="auto"/>
          <w:sz w:val="25"/>
          <w:szCs w:val="25"/>
          <w:highlight w:val="none"/>
        </w:rPr>
      </w:pPr>
      <w:r>
        <w:rPr>
          <w:rFonts w:hint="eastAsia" w:ascii="仿宋" w:hAnsi="仿宋" w:eastAsia="仿宋" w:cs="仿宋"/>
          <w:color w:val="auto"/>
          <w:spacing w:val="-9"/>
          <w:sz w:val="25"/>
          <w:szCs w:val="25"/>
          <w:highlight w:val="none"/>
        </w:rPr>
        <w:t>2、环境与职业健康安全管理责任书</w:t>
      </w:r>
    </w:p>
    <w:p w14:paraId="7E82ABBA">
      <w:pPr>
        <w:spacing w:before="146" w:line="221" w:lineRule="auto"/>
        <w:ind w:left="792"/>
        <w:rPr>
          <w:rFonts w:hint="eastAsia" w:ascii="仿宋" w:hAnsi="仿宋" w:eastAsia="仿宋" w:cs="仿宋"/>
          <w:color w:val="auto"/>
          <w:sz w:val="25"/>
          <w:szCs w:val="25"/>
          <w:highlight w:val="none"/>
        </w:rPr>
      </w:pPr>
      <w:r>
        <w:rPr>
          <w:rFonts w:hint="eastAsia" w:ascii="仿宋" w:hAnsi="仿宋" w:eastAsia="仿宋" w:cs="仿宋"/>
          <w:color w:val="auto"/>
          <w:spacing w:val="-4"/>
          <w:sz w:val="25"/>
          <w:szCs w:val="25"/>
          <w:highlight w:val="none"/>
        </w:rPr>
        <w:t>3、保廉合同</w:t>
      </w:r>
    </w:p>
    <w:p w14:paraId="6AA664A2">
      <w:pPr>
        <w:spacing w:before="170" w:line="221" w:lineRule="auto"/>
        <w:ind w:left="792"/>
        <w:rPr>
          <w:rFonts w:hint="eastAsia" w:ascii="仿宋" w:hAnsi="仿宋" w:eastAsia="仿宋" w:cs="仿宋"/>
          <w:color w:val="auto"/>
          <w:spacing w:val="-8"/>
          <w:sz w:val="25"/>
          <w:szCs w:val="25"/>
          <w:highlight w:val="none"/>
        </w:rPr>
      </w:pPr>
      <w:r>
        <w:rPr>
          <w:rFonts w:hint="eastAsia" w:ascii="仿宋" w:hAnsi="仿宋" w:eastAsia="仿宋" w:cs="仿宋"/>
          <w:color w:val="auto"/>
          <w:spacing w:val="-8"/>
          <w:sz w:val="25"/>
          <w:szCs w:val="25"/>
          <w:highlight w:val="none"/>
        </w:rPr>
        <w:t>4、农民工工资支付保障承诺书</w:t>
      </w:r>
    </w:p>
    <w:p w14:paraId="7D8233E5">
      <w:pPr>
        <w:spacing w:before="171" w:line="222" w:lineRule="auto"/>
        <w:ind w:left="792"/>
        <w:rPr>
          <w:rFonts w:hint="eastAsia" w:ascii="仿宋" w:hAnsi="仿宋" w:eastAsia="仿宋" w:cs="仿宋"/>
          <w:color w:val="auto"/>
          <w:sz w:val="25"/>
          <w:szCs w:val="25"/>
          <w:highlight w:val="none"/>
          <w:lang w:eastAsia="zh-CN"/>
        </w:rPr>
      </w:pPr>
      <w:r>
        <w:rPr>
          <w:rFonts w:hint="eastAsia" w:ascii="仿宋" w:hAnsi="仿宋" w:eastAsia="仿宋" w:cs="仿宋"/>
          <w:color w:val="auto"/>
          <w:spacing w:val="10"/>
          <w:sz w:val="25"/>
          <w:szCs w:val="25"/>
          <w:highlight w:val="none"/>
          <w:lang w:val="en-US" w:eastAsia="zh-CN"/>
        </w:rPr>
        <w:t>5、</w:t>
      </w:r>
      <w:r>
        <w:rPr>
          <w:rFonts w:hint="eastAsia" w:ascii="仿宋" w:hAnsi="仿宋" w:eastAsia="仿宋" w:cs="仿宋"/>
          <w:i w:val="0"/>
          <w:iCs w:val="0"/>
          <w:color w:val="auto"/>
          <w:sz w:val="25"/>
          <w:szCs w:val="25"/>
          <w:highlight w:val="none"/>
        </w:rPr>
        <w:t>法人授权书</w:t>
      </w:r>
      <w:r>
        <w:rPr>
          <w:rFonts w:hint="eastAsia" w:ascii="仿宋" w:hAnsi="仿宋" w:eastAsia="仿宋" w:cs="仿宋"/>
          <w:i w:val="0"/>
          <w:iCs w:val="0"/>
          <w:color w:val="auto"/>
          <w:sz w:val="25"/>
          <w:szCs w:val="25"/>
          <w:highlight w:val="none"/>
          <w:lang w:eastAsia="zh-CN"/>
        </w:rPr>
        <w:t>（</w:t>
      </w:r>
      <w:r>
        <w:rPr>
          <w:rFonts w:hint="eastAsia" w:ascii="仿宋" w:hAnsi="仿宋" w:eastAsia="仿宋" w:cs="仿宋"/>
          <w:i w:val="0"/>
          <w:iCs w:val="0"/>
          <w:color w:val="auto"/>
          <w:sz w:val="25"/>
          <w:szCs w:val="25"/>
          <w:highlight w:val="none"/>
          <w:lang w:val="en-US" w:eastAsia="zh-CN"/>
        </w:rPr>
        <w:t>授权委托人签字的</w:t>
      </w:r>
      <w:r>
        <w:rPr>
          <w:rFonts w:hint="eastAsia" w:ascii="仿宋" w:hAnsi="仿宋" w:eastAsia="仿宋" w:cs="仿宋"/>
          <w:i w:val="0"/>
          <w:iCs w:val="0"/>
          <w:color w:val="auto"/>
          <w:sz w:val="25"/>
          <w:szCs w:val="25"/>
          <w:highlight w:val="none"/>
          <w:lang w:eastAsia="zh-CN"/>
        </w:rPr>
        <w:t>）</w:t>
      </w:r>
    </w:p>
    <w:p w14:paraId="582C9956">
      <w:pPr>
        <w:spacing w:before="171" w:line="222" w:lineRule="auto"/>
        <w:ind w:left="792"/>
        <w:rPr>
          <w:rFonts w:hint="eastAsia" w:ascii="仿宋" w:hAnsi="仿宋" w:eastAsia="仿宋" w:cs="仿宋"/>
          <w:color w:val="auto"/>
          <w:sz w:val="25"/>
          <w:szCs w:val="25"/>
          <w:highlight w:val="none"/>
        </w:rPr>
      </w:pPr>
      <w:r>
        <w:rPr>
          <w:rFonts w:hint="eastAsia" w:ascii="仿宋" w:hAnsi="仿宋" w:eastAsia="仿宋" w:cs="仿宋"/>
          <w:color w:val="auto"/>
          <w:spacing w:val="10"/>
          <w:sz w:val="25"/>
          <w:szCs w:val="25"/>
          <w:highlight w:val="none"/>
          <w:lang w:val="en-US" w:eastAsia="zh-CN"/>
        </w:rPr>
        <w:t>6</w:t>
      </w:r>
      <w:r>
        <w:rPr>
          <w:rFonts w:hint="eastAsia" w:ascii="仿宋" w:hAnsi="仿宋" w:eastAsia="仿宋" w:cs="仿宋"/>
          <w:color w:val="auto"/>
          <w:spacing w:val="10"/>
          <w:sz w:val="25"/>
          <w:szCs w:val="25"/>
          <w:highlight w:val="none"/>
        </w:rPr>
        <w:t>、其他附件(如有)</w:t>
      </w:r>
    </w:p>
    <w:p w14:paraId="0922B6B9">
      <w:pPr>
        <w:pStyle w:val="5"/>
        <w:spacing w:line="277" w:lineRule="auto"/>
        <w:rPr>
          <w:color w:val="auto"/>
          <w:highlight w:val="none"/>
        </w:rPr>
      </w:pPr>
    </w:p>
    <w:p w14:paraId="5F8C9C15">
      <w:pPr>
        <w:pStyle w:val="5"/>
        <w:spacing w:line="253" w:lineRule="auto"/>
        <w:rPr>
          <w:rFonts w:hint="eastAsia" w:eastAsia="宋体"/>
          <w:color w:val="auto"/>
          <w:highlight w:val="none"/>
          <w:lang w:val="en-US" w:eastAsia="zh-CN"/>
        </w:rPr>
      </w:pPr>
    </w:p>
    <w:p w14:paraId="3853332D">
      <w:pPr>
        <w:pStyle w:val="5"/>
        <w:spacing w:line="253" w:lineRule="auto"/>
        <w:rPr>
          <w:rFonts w:hint="eastAsia" w:eastAsia="宋体"/>
          <w:color w:val="auto"/>
          <w:highlight w:val="none"/>
          <w:lang w:val="en-US" w:eastAsia="zh-CN"/>
        </w:rPr>
      </w:pPr>
    </w:p>
    <w:p w14:paraId="16A56D51">
      <w:pPr>
        <w:pStyle w:val="5"/>
        <w:spacing w:line="253" w:lineRule="auto"/>
        <w:rPr>
          <w:rFonts w:hint="eastAsia" w:eastAsia="宋体"/>
          <w:color w:val="auto"/>
          <w:highlight w:val="none"/>
          <w:lang w:val="en-US" w:eastAsia="zh-CN"/>
        </w:rPr>
      </w:pPr>
    </w:p>
    <w:p w14:paraId="07516D81">
      <w:pPr>
        <w:pStyle w:val="5"/>
        <w:spacing w:line="253" w:lineRule="auto"/>
        <w:rPr>
          <w:rFonts w:hint="eastAsia" w:eastAsia="宋体"/>
          <w:color w:val="auto"/>
          <w:highlight w:val="none"/>
          <w:lang w:val="en-US" w:eastAsia="zh-CN"/>
        </w:rPr>
      </w:pPr>
    </w:p>
    <w:p w14:paraId="02D5DA67">
      <w:pPr>
        <w:pStyle w:val="5"/>
        <w:spacing w:line="253" w:lineRule="auto"/>
        <w:rPr>
          <w:rFonts w:hint="eastAsia" w:eastAsia="宋体"/>
          <w:color w:val="auto"/>
          <w:highlight w:val="none"/>
          <w:lang w:val="en-US" w:eastAsia="zh-CN"/>
        </w:rPr>
      </w:pPr>
    </w:p>
    <w:p w14:paraId="39ED6914">
      <w:pPr>
        <w:pStyle w:val="5"/>
        <w:spacing w:line="253" w:lineRule="auto"/>
        <w:rPr>
          <w:rFonts w:hint="eastAsia" w:eastAsia="宋体"/>
          <w:color w:val="auto"/>
          <w:highlight w:val="none"/>
          <w:lang w:val="en-US" w:eastAsia="zh-CN"/>
        </w:rPr>
      </w:pPr>
    </w:p>
    <w:p w14:paraId="19020567">
      <w:pPr>
        <w:pStyle w:val="5"/>
        <w:spacing w:line="253" w:lineRule="auto"/>
        <w:rPr>
          <w:rFonts w:hint="eastAsia" w:eastAsia="宋体"/>
          <w:color w:val="auto"/>
          <w:highlight w:val="none"/>
          <w:lang w:val="en-US" w:eastAsia="zh-CN"/>
        </w:rPr>
      </w:pPr>
    </w:p>
    <w:p w14:paraId="456108D0">
      <w:pPr>
        <w:pStyle w:val="5"/>
        <w:spacing w:line="253" w:lineRule="auto"/>
        <w:rPr>
          <w:rFonts w:hint="eastAsia" w:eastAsia="宋体"/>
          <w:color w:val="auto"/>
          <w:highlight w:val="none"/>
          <w:lang w:val="en-US" w:eastAsia="zh-CN"/>
        </w:rPr>
      </w:pPr>
    </w:p>
    <w:p w14:paraId="2E524B35">
      <w:pPr>
        <w:pStyle w:val="5"/>
        <w:spacing w:line="253" w:lineRule="auto"/>
        <w:rPr>
          <w:rFonts w:hint="eastAsia" w:eastAsia="宋体"/>
          <w:color w:val="auto"/>
          <w:highlight w:val="none"/>
          <w:lang w:val="en-US" w:eastAsia="zh-CN"/>
        </w:rPr>
      </w:pPr>
    </w:p>
    <w:p w14:paraId="5E23A0CD">
      <w:pPr>
        <w:pStyle w:val="5"/>
        <w:spacing w:line="253" w:lineRule="auto"/>
        <w:rPr>
          <w:rFonts w:hint="eastAsia" w:eastAsia="宋体"/>
          <w:color w:val="auto"/>
          <w:highlight w:val="none"/>
          <w:lang w:val="en-US" w:eastAsia="zh-CN"/>
        </w:rPr>
      </w:pPr>
    </w:p>
    <w:p w14:paraId="16C27BED">
      <w:pPr>
        <w:pStyle w:val="5"/>
        <w:spacing w:line="253" w:lineRule="auto"/>
        <w:rPr>
          <w:rFonts w:hint="eastAsia" w:eastAsia="宋体"/>
          <w:color w:val="auto"/>
          <w:highlight w:val="none"/>
          <w:lang w:val="en-US" w:eastAsia="zh-CN"/>
        </w:rPr>
      </w:pPr>
    </w:p>
    <w:p w14:paraId="79645B47">
      <w:pPr>
        <w:pStyle w:val="5"/>
        <w:spacing w:line="253" w:lineRule="auto"/>
        <w:rPr>
          <w:rFonts w:hint="eastAsia" w:eastAsia="宋体"/>
          <w:color w:val="auto"/>
          <w:highlight w:val="none"/>
          <w:lang w:val="en-US" w:eastAsia="zh-CN"/>
        </w:rPr>
      </w:pPr>
    </w:p>
    <w:p w14:paraId="40EDE798">
      <w:pPr>
        <w:pStyle w:val="5"/>
        <w:spacing w:line="253" w:lineRule="auto"/>
        <w:rPr>
          <w:rFonts w:hint="eastAsia" w:eastAsia="宋体"/>
          <w:color w:val="auto"/>
          <w:highlight w:val="none"/>
          <w:lang w:val="en-US" w:eastAsia="zh-CN"/>
        </w:rPr>
      </w:pPr>
    </w:p>
    <w:p w14:paraId="051CFF17">
      <w:pPr>
        <w:pStyle w:val="5"/>
        <w:spacing w:line="253" w:lineRule="auto"/>
        <w:rPr>
          <w:rFonts w:hint="eastAsia" w:eastAsia="宋体"/>
          <w:color w:val="auto"/>
          <w:highlight w:val="none"/>
          <w:lang w:val="en-US" w:eastAsia="zh-CN"/>
        </w:rPr>
      </w:pPr>
    </w:p>
    <w:p w14:paraId="504A9521">
      <w:pPr>
        <w:pStyle w:val="5"/>
        <w:spacing w:line="253" w:lineRule="auto"/>
        <w:rPr>
          <w:rFonts w:hint="eastAsia" w:eastAsia="宋体"/>
          <w:color w:val="auto"/>
          <w:highlight w:val="none"/>
          <w:lang w:val="en-US" w:eastAsia="zh-CN"/>
        </w:rPr>
      </w:pPr>
    </w:p>
    <w:p w14:paraId="1180E93C">
      <w:pPr>
        <w:pStyle w:val="5"/>
        <w:spacing w:line="253" w:lineRule="auto"/>
        <w:rPr>
          <w:rFonts w:hint="eastAsia" w:eastAsia="宋体"/>
          <w:color w:val="auto"/>
          <w:highlight w:val="none"/>
          <w:lang w:val="en-US" w:eastAsia="zh-CN"/>
        </w:rPr>
      </w:pPr>
    </w:p>
    <w:p w14:paraId="046B2F16">
      <w:pPr>
        <w:pStyle w:val="5"/>
        <w:spacing w:line="253" w:lineRule="auto"/>
        <w:rPr>
          <w:rFonts w:hint="eastAsia" w:eastAsia="宋体"/>
          <w:color w:val="auto"/>
          <w:highlight w:val="none"/>
          <w:lang w:val="en-US" w:eastAsia="zh-CN"/>
        </w:rPr>
      </w:pPr>
    </w:p>
    <w:p w14:paraId="2D9DE4BE">
      <w:pPr>
        <w:pStyle w:val="5"/>
        <w:spacing w:line="253" w:lineRule="auto"/>
        <w:rPr>
          <w:rFonts w:hint="eastAsia" w:eastAsia="宋体"/>
          <w:color w:val="auto"/>
          <w:highlight w:val="none"/>
          <w:lang w:val="en-US" w:eastAsia="zh-CN"/>
        </w:rPr>
      </w:pPr>
    </w:p>
    <w:p w14:paraId="4853E509">
      <w:pPr>
        <w:pStyle w:val="5"/>
        <w:spacing w:line="253" w:lineRule="auto"/>
        <w:rPr>
          <w:rFonts w:hint="eastAsia" w:eastAsia="宋体"/>
          <w:color w:val="auto"/>
          <w:highlight w:val="none"/>
          <w:lang w:val="en-US" w:eastAsia="zh-CN"/>
        </w:rPr>
      </w:pPr>
    </w:p>
    <w:p w14:paraId="55000D83">
      <w:pPr>
        <w:pStyle w:val="5"/>
        <w:spacing w:line="253" w:lineRule="auto"/>
        <w:rPr>
          <w:rFonts w:hint="default" w:ascii="仿宋" w:hAnsi="仿宋" w:eastAsia="仿宋" w:cs="仿宋"/>
          <w:snapToGrid w:val="0"/>
          <w:color w:val="auto"/>
          <w:spacing w:val="10"/>
          <w:kern w:val="0"/>
          <w:sz w:val="25"/>
          <w:szCs w:val="25"/>
          <w:highlight w:val="none"/>
          <w:lang w:val="en-US" w:eastAsia="zh-CN" w:bidi="ar-SA"/>
        </w:rPr>
      </w:pPr>
      <w:r>
        <w:rPr>
          <w:rFonts w:hint="eastAsia" w:ascii="仿宋" w:hAnsi="仿宋" w:eastAsia="仿宋" w:cs="仿宋"/>
          <w:snapToGrid w:val="0"/>
          <w:color w:val="auto"/>
          <w:spacing w:val="10"/>
          <w:kern w:val="0"/>
          <w:sz w:val="25"/>
          <w:szCs w:val="25"/>
          <w:highlight w:val="none"/>
          <w:lang w:val="en-US" w:eastAsia="zh-CN" w:bidi="ar-SA"/>
        </w:rPr>
        <w:t>附件1：工程量计价清单</w:t>
      </w:r>
    </w:p>
    <w:p w14:paraId="4F5B30D8">
      <w:pPr>
        <w:pStyle w:val="5"/>
        <w:spacing w:line="253" w:lineRule="auto"/>
        <w:rPr>
          <w:rFonts w:hint="eastAsia" w:eastAsia="宋体"/>
          <w:color w:val="auto"/>
          <w:highlight w:val="none"/>
          <w:lang w:val="en-US" w:eastAsia="zh-CN"/>
        </w:rPr>
      </w:pPr>
    </w:p>
    <w:p w14:paraId="05C8D7B3">
      <w:pPr>
        <w:pStyle w:val="5"/>
        <w:spacing w:line="253" w:lineRule="auto"/>
        <w:rPr>
          <w:rFonts w:hint="eastAsia" w:eastAsia="宋体"/>
          <w:color w:val="auto"/>
          <w:highlight w:val="none"/>
          <w:lang w:val="en-US" w:eastAsia="zh-CN"/>
        </w:rPr>
        <w:sectPr>
          <w:headerReference r:id="rId7" w:type="default"/>
          <w:footerReference r:id="rId8" w:type="default"/>
          <w:pgSz w:w="11900" w:h="16830"/>
          <w:pgMar w:top="1440" w:right="1800" w:bottom="1440" w:left="1800" w:header="0" w:footer="397" w:gutter="0"/>
          <w:pgNumType w:fmt="decimal"/>
          <w:cols w:equalWidth="0" w:num="1">
            <w:col w:w="9275"/>
          </w:cols>
          <w:rtlGutter w:val="0"/>
          <w:docGrid w:linePitch="0" w:charSpace="0"/>
        </w:sectPr>
      </w:pPr>
    </w:p>
    <w:p w14:paraId="72818A46">
      <w:pPr>
        <w:spacing w:before="81" w:line="222" w:lineRule="auto"/>
        <w:rPr>
          <w:rFonts w:ascii="仿宋" w:hAnsi="仿宋" w:eastAsia="仿宋" w:cs="仿宋"/>
          <w:color w:val="auto"/>
          <w:sz w:val="25"/>
          <w:szCs w:val="25"/>
          <w:highlight w:val="none"/>
        </w:rPr>
      </w:pPr>
      <w:r>
        <w:rPr>
          <w:rFonts w:ascii="仿宋" w:hAnsi="仿宋" w:eastAsia="仿宋" w:cs="仿宋"/>
          <w:color w:val="auto"/>
          <w:spacing w:val="10"/>
          <w:sz w:val="25"/>
          <w:szCs w:val="25"/>
          <w:highlight w:val="none"/>
        </w:rPr>
        <w:t>附件2:</w:t>
      </w:r>
    </w:p>
    <w:p w14:paraId="0AD3DAE5">
      <w:pPr>
        <w:spacing w:before="141" w:line="222" w:lineRule="auto"/>
        <w:ind w:left="2360"/>
        <w:rPr>
          <w:rFonts w:ascii="仿宋" w:hAnsi="仿宋" w:eastAsia="仿宋" w:cs="仿宋"/>
          <w:color w:val="auto"/>
          <w:sz w:val="32"/>
          <w:szCs w:val="32"/>
          <w:highlight w:val="none"/>
        </w:rPr>
      </w:pPr>
      <w:r>
        <w:rPr>
          <w:rFonts w:ascii="仿宋" w:hAnsi="仿宋" w:eastAsia="仿宋" w:cs="仿宋"/>
          <w:color w:val="auto"/>
          <w:sz w:val="32"/>
          <w:szCs w:val="32"/>
          <w:highlight w:val="none"/>
        </w:rPr>
        <w:t>环境与职业健康安全管理责任书</w:t>
      </w:r>
    </w:p>
    <w:p w14:paraId="7FDB7023">
      <w:pPr>
        <w:spacing w:before="141" w:line="222" w:lineRule="auto"/>
        <w:ind w:left="2360"/>
        <w:rPr>
          <w:rFonts w:ascii="仿宋" w:hAnsi="仿宋" w:eastAsia="仿宋" w:cs="仿宋"/>
          <w:color w:val="auto"/>
          <w:sz w:val="32"/>
          <w:szCs w:val="32"/>
          <w:highlight w:val="none"/>
        </w:rPr>
      </w:pPr>
    </w:p>
    <w:p w14:paraId="6A9B118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为在建设项目实施过程中创造安全、高效的施工环境，切实搞好本项目的安全生产 和环境保护管理工作，甲乙双方就</w:t>
      </w:r>
      <w:r>
        <w:rPr>
          <w:rFonts w:hint="eastAsia" w:ascii="仿宋" w:hAnsi="仿宋" w:eastAsia="仿宋" w:cs="仿宋"/>
          <w:color w:val="auto"/>
          <w:sz w:val="24"/>
          <w:szCs w:val="24"/>
          <w:highlight w:val="none"/>
          <w:u w:val="single"/>
          <w:lang w:eastAsia="zh-CN"/>
        </w:rPr>
        <w:t>会理市绿色农汽联创园建设项目</w:t>
      </w:r>
      <w:r>
        <w:rPr>
          <w:rFonts w:hint="eastAsia" w:ascii="仿宋" w:hAnsi="仿宋" w:eastAsia="仿宋" w:cs="仿宋"/>
          <w:color w:val="auto"/>
          <w:sz w:val="24"/>
          <w:szCs w:val="24"/>
          <w:highlight w:val="none"/>
          <w:u w:val="single"/>
        </w:rPr>
        <w:t>主体工程劳务分包合同(合同编号：</w:t>
      </w:r>
      <w:r>
        <w:rPr>
          <w:rFonts w:hint="eastAsia" w:ascii="仿宋" w:hAnsi="仿宋" w:eastAsia="仿宋" w:cs="仿宋"/>
          <w:color w:val="auto"/>
          <w:sz w:val="24"/>
          <w:szCs w:val="24"/>
          <w:highlight w:val="none"/>
          <w:u w:val="single"/>
          <w:lang w:eastAsia="zh-CN"/>
        </w:rPr>
        <w:t>WNT-HLQCC-2026-001</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的环境与职业健康安全( (E&amp;OHS)责任达成以下共识特签订本责任书，供双方共同遵守：</w:t>
      </w:r>
    </w:p>
    <w:p w14:paraId="007898D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一、合同期限：与本合同的有效期限相同。</w:t>
      </w:r>
    </w:p>
    <w:p w14:paraId="1A8FE13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二、工程范围内分包的工程项目：</w:t>
      </w:r>
    </w:p>
    <w:p w14:paraId="3AD6A2C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会理市绿色农汽联创园建设项目主体工程劳务分包合同(</w:t>
      </w:r>
      <w:r>
        <w:rPr>
          <w:rFonts w:hint="eastAsia" w:ascii="仿宋" w:hAnsi="仿宋" w:eastAsia="仿宋" w:cs="仿宋"/>
          <w:color w:val="auto"/>
          <w:sz w:val="24"/>
          <w:szCs w:val="24"/>
          <w:highlight w:val="none"/>
          <w:u w:val="single"/>
        </w:rPr>
        <w:t>合同编号：</w:t>
      </w:r>
      <w:r>
        <w:rPr>
          <w:rFonts w:hint="eastAsia" w:ascii="仿宋" w:hAnsi="仿宋" w:eastAsia="仿宋" w:cs="仿宋"/>
          <w:color w:val="auto"/>
          <w:sz w:val="24"/>
          <w:szCs w:val="24"/>
          <w:highlight w:val="none"/>
          <w:u w:val="single"/>
          <w:lang w:val="en-US" w:eastAsia="zh-CN"/>
        </w:rPr>
        <w:t>WNT-HLQCC-2026-001 )</w:t>
      </w:r>
      <w:r>
        <w:rPr>
          <w:rFonts w:hint="eastAsia" w:ascii="仿宋" w:hAnsi="仿宋" w:eastAsia="仿宋" w:cs="仿宋"/>
          <w:color w:val="auto"/>
          <w:sz w:val="24"/>
          <w:szCs w:val="24"/>
          <w:highlight w:val="none"/>
        </w:rPr>
        <w:t>中所规定的合同内容。</w:t>
      </w:r>
    </w:p>
    <w:p w14:paraId="0CE1FE1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 、甲方对乙方环境与职业健康安全(E&amp;OHS) 责任的要求：</w:t>
      </w:r>
    </w:p>
    <w:p w14:paraId="16EF172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1、认真贯彻执行国家、地方政府环境保护与职业健康安全(E&amp;OHS) 法律法规，遵 守公司相关规定，坚持“科学管理、诚信守法、注重环保、安全健康、争创优质、持续 改进”的方针，确保安全投入的有效实施，正确处理环境与生产、职业健康安全与生产 的关系。</w:t>
      </w:r>
    </w:p>
    <w:p w14:paraId="496DC3A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2、建立、健全环境保护与职业健康安全管理体系，确保运行正常、管理有效。</w:t>
      </w:r>
    </w:p>
    <w:p w14:paraId="737F383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3、强化培训教育，不断提高员工环境意识和自我保护意识。</w:t>
      </w:r>
    </w:p>
    <w:p w14:paraId="7818E2BC">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4、主动为员工办理工伤险和意外伤害保险。</w:t>
      </w:r>
    </w:p>
    <w:p w14:paraId="2B6D1D7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5、定期组织员工体检。</w:t>
      </w:r>
    </w:p>
    <w:p w14:paraId="10E8DB9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6、积极采取有效措施，加强环境保护工作。</w:t>
      </w:r>
    </w:p>
    <w:p w14:paraId="585AF37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1" w:name="_Toc10480"/>
      <w:r>
        <w:rPr>
          <w:rFonts w:hint="eastAsia" w:ascii="仿宋" w:hAnsi="仿宋" w:eastAsia="仿宋" w:cs="仿宋"/>
          <w:color w:val="auto"/>
          <w:sz w:val="24"/>
          <w:szCs w:val="24"/>
          <w:highlight w:val="none"/>
        </w:rPr>
        <w:t>四 、乙方环境与职业健康安全(E&amp;OHS) 控制指标：</w:t>
      </w:r>
      <w:bookmarkEnd w:id="41"/>
    </w:p>
    <w:p w14:paraId="0DE74B9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1、不发生群体性职业健康安全事故；</w:t>
      </w:r>
    </w:p>
    <w:p w14:paraId="58AFD85E">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2、不发生重大环境污染和投诉事件。</w:t>
      </w:r>
    </w:p>
    <w:p w14:paraId="1B78865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2" w:name="_Toc13441"/>
      <w:r>
        <w:rPr>
          <w:rFonts w:hint="eastAsia" w:ascii="仿宋" w:hAnsi="仿宋" w:eastAsia="仿宋" w:cs="仿宋"/>
          <w:color w:val="auto"/>
          <w:sz w:val="24"/>
          <w:szCs w:val="24"/>
          <w:highlight w:val="none"/>
        </w:rPr>
        <w:t>五、安全生产目标</w:t>
      </w:r>
      <w:bookmarkEnd w:id="42"/>
    </w:p>
    <w:p w14:paraId="3FE683D6">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(1)不发生生产性人身伤亡和重伤事故；</w:t>
      </w:r>
    </w:p>
    <w:p w14:paraId="15FA346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(2)不发生生产性原因造成的交通、火灾和重大机械设备事故；</w:t>
      </w:r>
    </w:p>
    <w:p w14:paraId="5A3A2AF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(3)不发生生产性原因造成环境污染事故和垮塌事故；</w:t>
      </w:r>
    </w:p>
    <w:p w14:paraId="7B9DB7D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(4)不发生性质恶劣影响较大的其它责任事故；</w:t>
      </w:r>
    </w:p>
    <w:p w14:paraId="0D89B50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(5)轻伤负伤频率低于3%;</w:t>
      </w:r>
    </w:p>
    <w:p w14:paraId="5C781E9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(6)实现安全施工“事故零目标” ,创州级一流安全及文明施工现场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根据项目是否创州标化或是省标化定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350B421B">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3" w:name="_Toc430"/>
      <w:r>
        <w:rPr>
          <w:rFonts w:hint="eastAsia" w:ascii="仿宋" w:hAnsi="仿宋" w:eastAsia="仿宋" w:cs="仿宋"/>
          <w:color w:val="auto"/>
          <w:sz w:val="24"/>
          <w:szCs w:val="24"/>
          <w:highlight w:val="none"/>
        </w:rPr>
        <w:t>六、甲方安全职责</w:t>
      </w:r>
      <w:bookmarkEnd w:id="43"/>
    </w:p>
    <w:p w14:paraId="0CA57C3B">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(1)严格遵守国家有关安全生产的法律法规，认真执行工程承包合同中的有关安 全要求。</w:t>
      </w:r>
    </w:p>
    <w:p w14:paraId="17D92B96">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(2)按照“安全第一、预防为主”和坚持“管生产必须管安全”的原则进行安全 生产管理，做到生产与安全工作同时计划、布置、检查、总结和评比。</w:t>
      </w:r>
    </w:p>
    <w:p w14:paraId="5975398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(3)定期召开安全生产调度会，及时传达中央及地方有关安全生产的精神。</w:t>
      </w:r>
    </w:p>
    <w:p w14:paraId="17E5226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(4)组织对乙方施工现场进行安全生产检查，监督乙方及时处理发现的各种安全 隐患。</w:t>
      </w:r>
    </w:p>
    <w:p w14:paraId="0B386A9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4" w:name="_Toc31798"/>
      <w:r>
        <w:rPr>
          <w:rFonts w:hint="eastAsia" w:ascii="仿宋" w:hAnsi="仿宋" w:eastAsia="仿宋" w:cs="仿宋"/>
          <w:color w:val="auto"/>
          <w:sz w:val="24"/>
          <w:szCs w:val="24"/>
          <w:highlight w:val="none"/>
        </w:rPr>
        <w:t>七、乙方安全职责</w:t>
      </w:r>
      <w:bookmarkEnd w:id="44"/>
    </w:p>
    <w:p w14:paraId="6019F13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(1)严格遵守《中华人民共和国安全生产法》、《建设工程安全生产管理条例》 等国家有关安全生产的法律法规，认真执行工程承包合同中的有关安全要求。</w:t>
      </w:r>
    </w:p>
    <w:p w14:paraId="774DCFD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(2)坚持“安全第一、预防为主”和“管生产必须管安全”的原则，加强安全生  产宣传教育，增强全员安全生产意识，建立健全各项安全生产的管理机构和安全生产管 理制度，配备专职及兼职安全检查人员，有组织有领导地开展安全生产活动。各级领导、 工程技术人员、生产管理人员和具体操作人员，必须熟悉和遵守本合同的各项规定，做  到生产与安全工作同时计划、布置、检查、总结和评比。</w:t>
      </w:r>
    </w:p>
    <w:p w14:paraId="19A1EE8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(3)建立健全安全生产责任制。从派往项目实施的项目经理到生产工人(包括临时 雇请的民工)的安全生产管理系统必须做到纵向到底，一环不漏；各职能部门、人员的 安全生产责任制做到横向到边，人人有责。项目经理是安全生产的第一责任人。现场设 置的安全机构，应按《建筑施工企业安全生产管理机构设置及专职安全生产管理人员配 备办法》规定的最低数量和资质条件配备专职安全生产管理人员，专职负责所有员工的 安全和治安保卫工作及预防事故的发生。安全机构人员有权按有关规定发布指令，并采 取保护性措施防止事故发生。</w:t>
      </w:r>
    </w:p>
    <w:p w14:paraId="29FC4BA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(4)乙方在任何时候都应采取各种合理的预防措施，防止其员工发生任何违法、违禁、暴力或妨碍治安的行为。</w:t>
      </w:r>
    </w:p>
    <w:p w14:paraId="3E90663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(5)乙方必须具有劳动安全管理部门颁发的安全生产考核合格证书，参加施工的 人员，必须接受安全技术教育，熟知和遵守本工种的各项安全技术操作规程，定期进行  安全技术考核，合格者方准上岗操作。对于从事电气、起重、建筑登高架设作业、锅炉、 压力容器、焊接、机动车船艇驾驶、爆破、潜水、瓦斯检验等特殊工种的人员，经过专  业培训，获得《安全操作合格证》后，方准持证上岗。施工现场如出现特种作业无证操  作现象时，项目经理必须承担管理责任。</w:t>
      </w:r>
    </w:p>
    <w:p w14:paraId="30B4C26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(6)对于易燃易爆的材料除应专门妥善保管之外，还应配备有足够的消防设施，</w:t>
      </w:r>
    </w:p>
    <w:p w14:paraId="70AB74A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所有施工人员都应熟悉消防设备的性能和使用方法；乙方不得将任何种类的爆炸物给予 易货或以其他方式转让给任何其他人，或允许、容忍上述同样行为。</w:t>
      </w:r>
    </w:p>
    <w:p w14:paraId="2BCFC5A9">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(7)操作人员上岗，必须按规定穿戴防护用品。施工负责人和安全检查员应随时 检查劳动防护用品的穿戴情况，不按规定穿戴防护用品的人员不得上岗。</w:t>
      </w:r>
    </w:p>
    <w:p w14:paraId="7C79742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(8)所有施工机具设备和高空作业的设备均应定期检查，并有安全员的签字记录， 保证其经常处于完好状态；不合格的机具、设备和劳动保护用品严禁使用。</w:t>
      </w:r>
    </w:p>
    <w:p w14:paraId="0F9A175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(9)施工中采用新技术、新工艺、新设备、新材料时，必须制定相应的安全技术 措施，施工现场必须具有相关的安全标志牌。</w:t>
      </w:r>
    </w:p>
    <w:p w14:paraId="028EEE96">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(10)乙方必须按照本工程项目特点，组织制定本工程实施中的生产安全事故应急  救援预案；如果发生安全事故，应按照《国务院关于特大安全事故行政责任追究的规定》 以及其他有关规定，及时上报有关部门，并坚持“四不放过”的原则，严肃处理相关责  任人。</w:t>
      </w:r>
    </w:p>
    <w:p w14:paraId="32CB6BA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(11)安全生产费用按照《企业安全生产费用提取和使用管理办法》(财企〔2012〕 16号)的相关规定使用和管理。</w:t>
      </w:r>
    </w:p>
    <w:p w14:paraId="5FD3225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bookmarkStart w:id="45" w:name="_Toc4453"/>
      <w:r>
        <w:rPr>
          <w:rFonts w:hint="eastAsia" w:ascii="仿宋" w:hAnsi="仿宋" w:eastAsia="仿宋" w:cs="仿宋"/>
          <w:color w:val="auto"/>
          <w:sz w:val="24"/>
          <w:szCs w:val="24"/>
          <w:highlight w:val="none"/>
        </w:rPr>
        <w:t>八、违约责任</w:t>
      </w:r>
      <w:bookmarkEnd w:id="45"/>
    </w:p>
    <w:p w14:paraId="3A60D79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如因甲方或乙方违约造成安全事故，将依法追究责任。</w:t>
      </w:r>
    </w:p>
    <w:p w14:paraId="6171FDEB">
      <w:pPr>
        <w:keepNext w:val="0"/>
        <w:keepLines w:val="0"/>
        <w:pageBreakBefore w:val="0"/>
        <w:widowControl/>
        <w:numPr>
          <w:ilvl w:val="0"/>
          <w:numId w:val="3"/>
        </w:numPr>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本责任书由双方法定代表人或其授权的代理人签署并加盖单位章后生效，全 部工程竣工验收后失效。</w:t>
      </w:r>
    </w:p>
    <w:p w14:paraId="3F073829">
      <w:pPr>
        <w:keepNext w:val="0"/>
        <w:keepLines w:val="0"/>
        <w:pageBreakBefore w:val="0"/>
        <w:widowControl/>
        <w:numPr>
          <w:ilvl w:val="0"/>
          <w:numId w:val="3"/>
        </w:numPr>
        <w:kinsoku/>
        <w:wordWrap/>
        <w:overflowPunct/>
        <w:topLinePunct/>
        <w:autoSpaceDE w:val="0"/>
        <w:autoSpaceDN w:val="0"/>
        <w:bidi w:val="0"/>
        <w:adjustRightInd w:val="0"/>
        <w:snapToGrid w:val="0"/>
        <w:spacing w:line="360" w:lineRule="auto"/>
        <w:ind w:left="0" w:leftChars="0" w:firstLine="472" w:firstLineChars="200"/>
        <w:textAlignment w:val="baseline"/>
        <w:rPr>
          <w:rFonts w:hint="eastAsia" w:ascii="仿宋" w:hAnsi="仿宋" w:eastAsia="仿宋" w:cs="仿宋"/>
          <w:color w:val="auto"/>
          <w:spacing w:val="-16"/>
          <w:sz w:val="25"/>
          <w:szCs w:val="25"/>
          <w:highlight w:val="none"/>
        </w:rPr>
      </w:pPr>
      <w:r>
        <w:rPr>
          <w:rFonts w:hint="eastAsia" w:ascii="仿宋" w:hAnsi="仿宋" w:eastAsia="仿宋" w:cs="仿宋"/>
          <w:color w:val="auto"/>
          <w:spacing w:val="-7"/>
          <w:sz w:val="25"/>
          <w:szCs w:val="25"/>
          <w:highlight w:val="none"/>
        </w:rPr>
        <w:t>本合同壹式</w:t>
      </w:r>
      <w:r>
        <w:rPr>
          <w:rFonts w:hint="eastAsia" w:ascii="仿宋" w:hAnsi="仿宋" w:eastAsia="仿宋" w:cs="仿宋"/>
          <w:b/>
          <w:bCs/>
          <w:color w:val="auto"/>
          <w:spacing w:val="-7"/>
          <w:sz w:val="25"/>
          <w:szCs w:val="25"/>
          <w:highlight w:val="none"/>
          <w:u w:val="single"/>
          <w:lang w:val="en-US" w:eastAsia="zh-CN"/>
        </w:rPr>
        <w:t>陆</w:t>
      </w:r>
      <w:r>
        <w:rPr>
          <w:rFonts w:hint="eastAsia" w:ascii="仿宋" w:hAnsi="仿宋" w:eastAsia="仿宋" w:cs="仿宋"/>
          <w:b w:val="0"/>
          <w:bCs w:val="0"/>
          <w:color w:val="auto"/>
          <w:spacing w:val="-7"/>
          <w:sz w:val="25"/>
          <w:szCs w:val="25"/>
          <w:highlight w:val="none"/>
        </w:rPr>
        <w:t>份</w:t>
      </w:r>
      <w:r>
        <w:rPr>
          <w:rFonts w:hint="eastAsia" w:ascii="仿宋" w:hAnsi="仿宋" w:eastAsia="仿宋" w:cs="仿宋"/>
          <w:color w:val="auto"/>
          <w:spacing w:val="-7"/>
          <w:sz w:val="25"/>
          <w:szCs w:val="25"/>
          <w:highlight w:val="none"/>
        </w:rPr>
        <w:t>，甲方</w:t>
      </w:r>
      <w:r>
        <w:rPr>
          <w:rFonts w:hint="eastAsia" w:ascii="仿宋" w:hAnsi="仿宋" w:eastAsia="仿宋" w:cs="仿宋"/>
          <w:b/>
          <w:bCs/>
          <w:color w:val="auto"/>
          <w:spacing w:val="-7"/>
          <w:sz w:val="25"/>
          <w:szCs w:val="25"/>
          <w:highlight w:val="none"/>
          <w:u w:val="single"/>
        </w:rPr>
        <w:t>肆</w:t>
      </w:r>
      <w:r>
        <w:rPr>
          <w:rFonts w:hint="eastAsia" w:ascii="仿宋" w:hAnsi="仿宋" w:eastAsia="仿宋" w:cs="仿宋"/>
          <w:color w:val="auto"/>
          <w:spacing w:val="-7"/>
          <w:sz w:val="25"/>
          <w:szCs w:val="25"/>
          <w:highlight w:val="none"/>
        </w:rPr>
        <w:t>份、乙方</w:t>
      </w:r>
      <w:r>
        <w:rPr>
          <w:rFonts w:hint="eastAsia" w:ascii="仿宋" w:hAnsi="仿宋" w:eastAsia="仿宋" w:cs="仿宋"/>
          <w:b/>
          <w:bCs/>
          <w:color w:val="auto"/>
          <w:spacing w:val="-7"/>
          <w:sz w:val="25"/>
          <w:szCs w:val="25"/>
          <w:highlight w:val="none"/>
          <w:u w:val="single"/>
          <w:lang w:val="en-US" w:eastAsia="zh-CN"/>
        </w:rPr>
        <w:t>贰</w:t>
      </w:r>
      <w:r>
        <w:rPr>
          <w:rFonts w:hint="eastAsia" w:ascii="仿宋" w:hAnsi="仿宋" w:eastAsia="仿宋" w:cs="仿宋"/>
          <w:color w:val="auto"/>
          <w:spacing w:val="-7"/>
          <w:sz w:val="25"/>
          <w:szCs w:val="25"/>
          <w:highlight w:val="none"/>
        </w:rPr>
        <w:t>份，当正本与副本的内容不一致时，以</w:t>
      </w:r>
      <w:r>
        <w:rPr>
          <w:rFonts w:hint="eastAsia" w:ascii="仿宋" w:hAnsi="仿宋" w:eastAsia="仿宋" w:cs="仿宋"/>
          <w:color w:val="auto"/>
          <w:spacing w:val="-16"/>
          <w:sz w:val="25"/>
          <w:szCs w:val="25"/>
          <w:highlight w:val="none"/>
        </w:rPr>
        <w:t>正本为准。</w:t>
      </w:r>
    </w:p>
    <w:p w14:paraId="6FE612EC">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3B061020">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6CC65A7D">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7149C258">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6F3CAA78">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color w:val="auto"/>
          <w:spacing w:val="-16"/>
          <w:sz w:val="25"/>
          <w:szCs w:val="25"/>
          <w:highlight w:val="none"/>
        </w:rPr>
      </w:pPr>
    </w:p>
    <w:p w14:paraId="03EDD5EF">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jc w:val="left"/>
        <w:textAlignment w:val="baseline"/>
        <w:rPr>
          <w:rFonts w:hint="eastAsia" w:ascii="仿宋" w:hAnsi="仿宋" w:eastAsia="仿宋" w:cs="仿宋"/>
          <w:b/>
          <w:bCs/>
          <w:color w:val="auto"/>
          <w:spacing w:val="-16"/>
          <w:sz w:val="25"/>
          <w:szCs w:val="25"/>
          <w:highlight w:val="none"/>
          <w:lang w:val="en-US" w:eastAsia="zh-CN"/>
        </w:rPr>
      </w:pPr>
      <w:r>
        <w:rPr>
          <w:rFonts w:hint="eastAsia" w:ascii="仿宋" w:hAnsi="仿宋" w:eastAsia="仿宋" w:cs="仿宋"/>
          <w:b/>
          <w:bCs/>
          <w:color w:val="auto"/>
          <w:spacing w:val="-16"/>
          <w:sz w:val="25"/>
          <w:szCs w:val="25"/>
          <w:highlight w:val="none"/>
          <w:lang w:val="en-US" w:eastAsia="zh-CN"/>
        </w:rPr>
        <w:t>签署页：</w:t>
      </w:r>
    </w:p>
    <w:tbl>
      <w:tblPr>
        <w:tblStyle w:val="12"/>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2ACA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9" w:hRule="atLeast"/>
        </w:trPr>
        <w:tc>
          <w:tcPr>
            <w:tcW w:w="4767" w:type="dxa"/>
            <w:tcBorders>
              <w:tl2br w:val="nil"/>
              <w:tr2bl w:val="nil"/>
            </w:tcBorders>
            <w:noWrap w:val="0"/>
            <w:vAlign w:val="top"/>
          </w:tcPr>
          <w:p w14:paraId="71778704">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val="en-US" w:eastAsia="zh-CN"/>
              </w:rPr>
              <w:t>四川万尼腾建设工程有限公司</w:t>
            </w:r>
          </w:p>
        </w:tc>
        <w:tc>
          <w:tcPr>
            <w:tcW w:w="4332" w:type="dxa"/>
            <w:tcBorders>
              <w:tl2br w:val="nil"/>
              <w:tr2bl w:val="nil"/>
            </w:tcBorders>
            <w:noWrap w:val="0"/>
            <w:vAlign w:val="top"/>
          </w:tcPr>
          <w:p w14:paraId="17C35A04">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b/>
                <w:bCs/>
                <w:i w:val="0"/>
                <w:iCs w:val="0"/>
                <w:color w:val="auto"/>
                <w:kern w:val="0"/>
                <w:sz w:val="24"/>
                <w:szCs w:val="24"/>
                <w:highlight w:val="none"/>
                <w:u w:val="none"/>
              </w:rPr>
              <w:t>乙方</w:t>
            </w:r>
            <w:r>
              <w:rPr>
                <w:rFonts w:hint="eastAsia" w:ascii="仿宋" w:hAnsi="仿宋" w:eastAsia="仿宋" w:cs="仿宋"/>
                <w:b/>
                <w:bCs/>
                <w:i w:val="0"/>
                <w:iCs w:val="0"/>
                <w:color w:val="auto"/>
                <w:kern w:val="0"/>
                <w:sz w:val="24"/>
                <w:szCs w:val="24"/>
                <w:highlight w:val="none"/>
                <w:u w:val="none"/>
                <w:lang w:eastAsia="zh-CN"/>
              </w:rPr>
              <w:t>：</w:t>
            </w:r>
            <w:r>
              <w:rPr>
                <w:rFonts w:hint="eastAsia" w:ascii="仿宋" w:hAnsi="仿宋" w:eastAsia="仿宋" w:cs="仿宋"/>
                <w:i w:val="0"/>
                <w:iCs w:val="0"/>
                <w:kern w:val="0"/>
                <w:sz w:val="24"/>
                <w:szCs w:val="24"/>
                <w:u w:val="none"/>
                <w:lang w:val="en-US" w:eastAsia="zh-CN"/>
              </w:rPr>
              <w:t>*****</w:t>
            </w:r>
          </w:p>
        </w:tc>
      </w:tr>
      <w:tr w14:paraId="0B24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5E68870">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69897D1">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法人代表（委托代理人）：</w:t>
            </w:r>
          </w:p>
        </w:tc>
      </w:tr>
      <w:tr w14:paraId="6200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59DB1A6B">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开户银行：中国工商银行股份有限公司凉山航天城支行</w:t>
            </w:r>
          </w:p>
        </w:tc>
        <w:tc>
          <w:tcPr>
            <w:tcW w:w="4332" w:type="dxa"/>
            <w:tcBorders>
              <w:tl2br w:val="nil"/>
              <w:tr2bl w:val="nil"/>
            </w:tcBorders>
            <w:noWrap w:val="0"/>
            <w:vAlign w:val="top"/>
          </w:tcPr>
          <w:p w14:paraId="535D62B9">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开户银行：</w:t>
            </w:r>
            <w:r>
              <w:rPr>
                <w:rFonts w:hint="eastAsia" w:ascii="仿宋" w:hAnsi="仿宋" w:eastAsia="仿宋" w:cs="仿宋"/>
                <w:i w:val="0"/>
                <w:iCs w:val="0"/>
                <w:color w:val="auto"/>
                <w:kern w:val="0"/>
                <w:sz w:val="24"/>
                <w:szCs w:val="24"/>
                <w:highlight w:val="none"/>
                <w:lang w:val="en-US" w:eastAsia="zh-CN"/>
              </w:rPr>
              <w:t>***********</w:t>
            </w:r>
          </w:p>
        </w:tc>
      </w:tr>
      <w:tr w14:paraId="620D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48534736">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账号：2320 6326 0910 0105 125</w:t>
            </w:r>
          </w:p>
        </w:tc>
        <w:tc>
          <w:tcPr>
            <w:tcW w:w="4332" w:type="dxa"/>
            <w:tcBorders>
              <w:tl2br w:val="nil"/>
              <w:tr2bl w:val="nil"/>
            </w:tcBorders>
            <w:noWrap w:val="0"/>
            <w:vAlign w:val="top"/>
          </w:tcPr>
          <w:p w14:paraId="73D1984A">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帐号：</w:t>
            </w:r>
            <w:r>
              <w:rPr>
                <w:rFonts w:hint="eastAsia" w:ascii="仿宋" w:hAnsi="仿宋" w:eastAsia="仿宋" w:cs="仿宋"/>
                <w:i w:val="0"/>
                <w:iCs w:val="0"/>
                <w:color w:val="auto"/>
                <w:kern w:val="0"/>
                <w:sz w:val="24"/>
                <w:szCs w:val="24"/>
                <w:highlight w:val="none"/>
                <w:lang w:val="en-US" w:eastAsia="zh-CN"/>
              </w:rPr>
              <w:t>***</w:t>
            </w:r>
          </w:p>
        </w:tc>
      </w:tr>
      <w:tr w14:paraId="7D32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1F84175E">
            <w:pPr>
              <w:pageBreakBefore w:val="0"/>
              <w:kinsoku/>
              <w:wordWrap/>
              <w:overflowPunct/>
              <w:topLinePunct w:val="0"/>
              <w:bidi w:val="0"/>
              <w:snapToGrid/>
              <w:spacing w:line="360" w:lineRule="auto"/>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kern w:val="0"/>
                <w:sz w:val="24"/>
                <w:szCs w:val="24"/>
                <w:lang w:val="en-US" w:eastAsia="zh-CN"/>
              </w:rPr>
              <w:t>注册地址：西昌市长安东路53号3幢1楼</w:t>
            </w:r>
          </w:p>
        </w:tc>
        <w:tc>
          <w:tcPr>
            <w:tcW w:w="4332" w:type="dxa"/>
            <w:tcBorders>
              <w:tl2br w:val="nil"/>
              <w:tr2bl w:val="nil"/>
            </w:tcBorders>
            <w:noWrap w:val="0"/>
            <w:vAlign w:val="top"/>
          </w:tcPr>
          <w:p w14:paraId="5D71BDEB">
            <w:pPr>
              <w:pageBreakBefore w:val="0"/>
              <w:kinsoku/>
              <w:wordWrap/>
              <w:overflowPunct/>
              <w:topLinePunct w:val="0"/>
              <w:bidi w:val="0"/>
              <w:snapToGrid/>
              <w:spacing w:line="360" w:lineRule="auto"/>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lang w:val="en-US" w:eastAsia="zh-CN"/>
              </w:rPr>
              <w:t>注册地址：***********</w:t>
            </w:r>
          </w:p>
        </w:tc>
      </w:tr>
      <w:tr w14:paraId="5507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0A83B4D9">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color w:val="auto"/>
                <w:kern w:val="0"/>
                <w:sz w:val="24"/>
                <w:szCs w:val="24"/>
                <w:highlight w:val="none"/>
              </w:rPr>
              <w:t>签订地点：</w:t>
            </w:r>
            <w:r>
              <w:rPr>
                <w:rFonts w:hint="eastAsia" w:ascii="仿宋" w:hAnsi="仿宋" w:eastAsia="仿宋" w:cs="仿宋"/>
                <w:i w:val="0"/>
                <w:iCs w:val="0"/>
                <w:color w:val="auto"/>
                <w:kern w:val="0"/>
                <w:sz w:val="24"/>
                <w:szCs w:val="24"/>
                <w:highlight w:val="none"/>
                <w:lang w:val="en-US" w:eastAsia="zh-CN"/>
              </w:rPr>
              <w:t>西昌市</w:t>
            </w:r>
          </w:p>
        </w:tc>
      </w:tr>
      <w:tr w14:paraId="18FF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6F7CE2DF">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签订日期：</w:t>
            </w:r>
            <w:r>
              <w:rPr>
                <w:rFonts w:hint="eastAsia" w:ascii="仿宋" w:hAnsi="仿宋" w:eastAsia="仿宋" w:cs="仿宋"/>
                <w:i w:val="0"/>
                <w:iCs w:val="0"/>
                <w:color w:val="auto"/>
                <w:kern w:val="0"/>
                <w:sz w:val="24"/>
                <w:szCs w:val="24"/>
                <w:highlight w:val="none"/>
                <w:lang w:val="en-US" w:eastAsia="zh-CN"/>
              </w:rPr>
              <w:t xml:space="preserve">  2026</w:t>
            </w:r>
            <w:r>
              <w:rPr>
                <w:rFonts w:hint="eastAsia" w:ascii="仿宋" w:hAnsi="仿宋" w:eastAsia="仿宋" w:cs="仿宋"/>
                <w:i w:val="0"/>
                <w:iCs w:val="0"/>
                <w:color w:val="auto"/>
                <w:kern w:val="0"/>
                <w:sz w:val="24"/>
                <w:szCs w:val="24"/>
                <w:highlight w:val="none"/>
              </w:rPr>
              <w:t>年</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月</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日</w:t>
            </w:r>
          </w:p>
        </w:tc>
      </w:tr>
    </w:tbl>
    <w:p w14:paraId="66D88D03">
      <w:pPr>
        <w:bidi w:val="0"/>
        <w:jc w:val="left"/>
        <w:rPr>
          <w:color w:val="auto"/>
          <w:highlight w:val="none"/>
          <w:lang w:val="en-US" w:eastAsia="en-US"/>
        </w:rPr>
        <w:sectPr>
          <w:pgSz w:w="11900" w:h="16830"/>
          <w:pgMar w:top="1440" w:right="1440" w:bottom="1440" w:left="1440" w:header="0" w:footer="397" w:gutter="0"/>
          <w:pgNumType w:fmt="decimal"/>
          <w:cols w:equalWidth="0" w:num="1">
            <w:col w:w="9275"/>
          </w:cols>
          <w:rtlGutter w:val="0"/>
          <w:docGrid w:linePitch="0" w:charSpace="0"/>
        </w:sectPr>
      </w:pPr>
    </w:p>
    <w:p w14:paraId="5B291133">
      <w:pPr>
        <w:spacing w:before="81" w:line="222" w:lineRule="auto"/>
        <w:rPr>
          <w:rFonts w:ascii="仿宋" w:hAnsi="仿宋" w:eastAsia="仿宋" w:cs="仿宋"/>
          <w:color w:val="auto"/>
          <w:sz w:val="25"/>
          <w:szCs w:val="25"/>
          <w:highlight w:val="none"/>
        </w:rPr>
      </w:pPr>
      <w:r>
        <w:rPr>
          <w:rFonts w:ascii="仿宋" w:hAnsi="仿宋" w:eastAsia="仿宋" w:cs="仿宋"/>
          <w:color w:val="auto"/>
          <w:spacing w:val="10"/>
          <w:sz w:val="25"/>
          <w:szCs w:val="25"/>
          <w:highlight w:val="none"/>
        </w:rPr>
        <w:t>附件3:</w:t>
      </w:r>
    </w:p>
    <w:p w14:paraId="2818287B">
      <w:pPr>
        <w:spacing w:before="171" w:line="222" w:lineRule="auto"/>
        <w:ind w:left="3779"/>
        <w:rPr>
          <w:rFonts w:ascii="仿宋" w:hAnsi="仿宋" w:eastAsia="仿宋" w:cs="仿宋"/>
          <w:color w:val="auto"/>
          <w:sz w:val="31"/>
          <w:szCs w:val="31"/>
          <w:highlight w:val="none"/>
        </w:rPr>
      </w:pPr>
      <w:r>
        <w:rPr>
          <w:rFonts w:ascii="仿宋" w:hAnsi="仿宋" w:eastAsia="仿宋" w:cs="仿宋"/>
          <w:color w:val="auto"/>
          <w:spacing w:val="-18"/>
          <w:sz w:val="31"/>
          <w:szCs w:val="31"/>
          <w:highlight w:val="none"/>
        </w:rPr>
        <w:t>廉</w:t>
      </w:r>
      <w:r>
        <w:rPr>
          <w:rFonts w:ascii="仿宋" w:hAnsi="仿宋" w:eastAsia="仿宋" w:cs="仿宋"/>
          <w:color w:val="auto"/>
          <w:spacing w:val="47"/>
          <w:sz w:val="31"/>
          <w:szCs w:val="31"/>
          <w:highlight w:val="none"/>
        </w:rPr>
        <w:t xml:space="preserve"> </w:t>
      </w:r>
      <w:r>
        <w:rPr>
          <w:rFonts w:ascii="仿宋" w:hAnsi="仿宋" w:eastAsia="仿宋" w:cs="仿宋"/>
          <w:color w:val="auto"/>
          <w:spacing w:val="-18"/>
          <w:sz w:val="31"/>
          <w:szCs w:val="31"/>
          <w:highlight w:val="none"/>
        </w:rPr>
        <w:t>政</w:t>
      </w:r>
      <w:r>
        <w:rPr>
          <w:rFonts w:ascii="仿宋" w:hAnsi="仿宋" w:eastAsia="仿宋" w:cs="仿宋"/>
          <w:color w:val="auto"/>
          <w:spacing w:val="55"/>
          <w:sz w:val="31"/>
          <w:szCs w:val="31"/>
          <w:highlight w:val="none"/>
        </w:rPr>
        <w:t xml:space="preserve"> </w:t>
      </w:r>
      <w:r>
        <w:rPr>
          <w:rFonts w:ascii="仿宋" w:hAnsi="仿宋" w:eastAsia="仿宋" w:cs="仿宋"/>
          <w:color w:val="auto"/>
          <w:spacing w:val="-18"/>
          <w:sz w:val="31"/>
          <w:szCs w:val="31"/>
          <w:highlight w:val="none"/>
        </w:rPr>
        <w:t>合</w:t>
      </w:r>
      <w:r>
        <w:rPr>
          <w:rFonts w:ascii="仿宋" w:hAnsi="仿宋" w:eastAsia="仿宋" w:cs="仿宋"/>
          <w:color w:val="auto"/>
          <w:spacing w:val="83"/>
          <w:sz w:val="31"/>
          <w:szCs w:val="31"/>
          <w:highlight w:val="none"/>
        </w:rPr>
        <w:t xml:space="preserve"> </w:t>
      </w:r>
      <w:r>
        <w:rPr>
          <w:rFonts w:ascii="仿宋" w:hAnsi="仿宋" w:eastAsia="仿宋" w:cs="仿宋"/>
          <w:color w:val="auto"/>
          <w:spacing w:val="-18"/>
          <w:sz w:val="31"/>
          <w:szCs w:val="31"/>
          <w:highlight w:val="none"/>
        </w:rPr>
        <w:t>同</w:t>
      </w:r>
    </w:p>
    <w:p w14:paraId="1BCB83E4">
      <w:pPr>
        <w:pStyle w:val="5"/>
        <w:spacing w:line="369" w:lineRule="auto"/>
        <w:rPr>
          <w:color w:val="auto"/>
          <w:highlight w:val="none"/>
        </w:rPr>
      </w:pPr>
    </w:p>
    <w:p w14:paraId="69F0B4A0">
      <w:pPr>
        <w:keepNext w:val="0"/>
        <w:keepLines w:val="0"/>
        <w:pageBreakBefore w:val="0"/>
        <w:widowControl/>
        <w:kinsoku/>
        <w:wordWrap/>
        <w:overflowPunct/>
        <w:topLinePunct/>
        <w:autoSpaceDE w:val="0"/>
        <w:autoSpaceDN w:val="0"/>
        <w:bidi w:val="0"/>
        <w:adjustRightInd w:val="0"/>
        <w:snapToGrid w:val="0"/>
        <w:spacing w:before="82" w:line="377" w:lineRule="auto"/>
        <w:ind w:right="98" w:firstLine="472" w:firstLineChars="200"/>
        <w:jc w:val="both"/>
        <w:textAlignment w:val="baseline"/>
        <w:rPr>
          <w:rFonts w:ascii="仿宋" w:hAnsi="仿宋" w:eastAsia="仿宋" w:cs="仿宋"/>
          <w:color w:val="auto"/>
          <w:sz w:val="25"/>
          <w:szCs w:val="25"/>
          <w:highlight w:val="none"/>
        </w:rPr>
      </w:pPr>
      <w:r>
        <w:rPr>
          <w:rFonts w:ascii="仿宋" w:hAnsi="仿宋" w:eastAsia="仿宋" w:cs="仿宋"/>
          <w:color w:val="auto"/>
          <w:spacing w:val="-7"/>
          <w:sz w:val="25"/>
          <w:szCs w:val="25"/>
          <w:highlight w:val="none"/>
        </w:rPr>
        <w:t>为做好工程建设中的党风廉政建设，保证工程建设高效优</w:t>
      </w:r>
      <w:r>
        <w:rPr>
          <w:rFonts w:ascii="仿宋" w:hAnsi="仿宋" w:eastAsia="仿宋" w:cs="仿宋"/>
          <w:color w:val="auto"/>
          <w:spacing w:val="-8"/>
          <w:sz w:val="25"/>
          <w:szCs w:val="25"/>
          <w:highlight w:val="none"/>
        </w:rPr>
        <w:t>质，保证建设资金的安</w:t>
      </w:r>
      <w:r>
        <w:rPr>
          <w:rFonts w:ascii="仿宋" w:hAnsi="仿宋" w:eastAsia="仿宋" w:cs="仿宋"/>
          <w:color w:val="auto"/>
          <w:spacing w:val="-7"/>
          <w:sz w:val="25"/>
          <w:szCs w:val="25"/>
          <w:highlight w:val="none"/>
        </w:rPr>
        <w:t>全和有效使用以及投资效益，</w:t>
      </w:r>
      <w:r>
        <w:rPr>
          <w:rFonts w:hint="eastAsia" w:ascii="仿宋" w:hAnsi="仿宋" w:eastAsia="仿宋" w:cs="仿宋"/>
          <w:b/>
          <w:bCs/>
          <w:color w:val="auto"/>
          <w:spacing w:val="-7"/>
          <w:sz w:val="25"/>
          <w:szCs w:val="25"/>
          <w:highlight w:val="none"/>
          <w:u w:val="single"/>
          <w:lang w:eastAsia="zh-CN"/>
        </w:rPr>
        <w:t>会理市绿色农汽联创园建设项目</w:t>
      </w:r>
      <w:r>
        <w:rPr>
          <w:rFonts w:ascii="仿宋" w:hAnsi="仿宋" w:eastAsia="仿宋" w:cs="仿宋"/>
          <w:color w:val="auto"/>
          <w:spacing w:val="-7"/>
          <w:sz w:val="25"/>
          <w:szCs w:val="25"/>
          <w:highlight w:val="none"/>
        </w:rPr>
        <w:t>的承包方</w:t>
      </w:r>
      <w:r>
        <w:rPr>
          <w:rFonts w:hint="eastAsia" w:ascii="仿宋" w:hAnsi="仿宋" w:eastAsia="仿宋" w:cs="仿宋"/>
          <w:color w:val="auto"/>
          <w:spacing w:val="-7"/>
          <w:sz w:val="25"/>
          <w:szCs w:val="25"/>
          <w:highlight w:val="none"/>
          <w:u w:val="single"/>
          <w:lang w:val="en-US" w:eastAsia="zh-CN"/>
        </w:rPr>
        <w:t>四川万尼腾建设工程有限公司</w:t>
      </w:r>
      <w:r>
        <w:rPr>
          <w:rFonts w:ascii="仿宋" w:hAnsi="仿宋" w:eastAsia="仿宋" w:cs="仿宋"/>
          <w:color w:val="auto"/>
          <w:spacing w:val="-7"/>
          <w:sz w:val="25"/>
          <w:szCs w:val="25"/>
          <w:highlight w:val="none"/>
        </w:rPr>
        <w:t>(以下简</w:t>
      </w:r>
      <w:r>
        <w:rPr>
          <w:rFonts w:ascii="仿宋" w:hAnsi="仿宋" w:eastAsia="仿宋" w:cs="仿宋"/>
          <w:color w:val="auto"/>
          <w:spacing w:val="1"/>
          <w:sz w:val="25"/>
          <w:szCs w:val="25"/>
          <w:highlight w:val="none"/>
        </w:rPr>
        <w:t xml:space="preserve"> </w:t>
      </w:r>
      <w:r>
        <w:rPr>
          <w:rFonts w:ascii="仿宋" w:hAnsi="仿宋" w:eastAsia="仿宋" w:cs="仿宋"/>
          <w:color w:val="auto"/>
          <w:spacing w:val="-6"/>
          <w:sz w:val="25"/>
          <w:szCs w:val="25"/>
          <w:highlight w:val="none"/>
        </w:rPr>
        <w:t>称“甲方”)与该项目的分包单</w:t>
      </w:r>
      <w:r>
        <w:rPr>
          <w:rFonts w:hint="eastAsia" w:ascii="仿宋" w:hAnsi="仿宋" w:eastAsia="仿宋" w:cs="仿宋"/>
          <w:b w:val="0"/>
          <w:bCs w:val="0"/>
          <w:color w:val="auto"/>
          <w:spacing w:val="-6"/>
          <w:sz w:val="25"/>
          <w:szCs w:val="25"/>
          <w:highlight w:val="none"/>
          <w:u w:val="single" w:color="auto"/>
          <w:lang w:val="en-US" w:eastAsia="zh-CN"/>
        </w:rPr>
        <w:t xml:space="preserve">  </w:t>
      </w:r>
      <w:r>
        <w:rPr>
          <w:rFonts w:hint="eastAsia" w:ascii="仿宋" w:hAnsi="仿宋" w:eastAsia="仿宋" w:cs="仿宋"/>
          <w:b/>
          <w:bCs/>
          <w:color w:val="auto"/>
          <w:spacing w:val="-6"/>
          <w:sz w:val="25"/>
          <w:szCs w:val="25"/>
          <w:highlight w:val="none"/>
          <w:u w:val="single" w:color="auto"/>
          <w:lang w:val="en-US" w:eastAsia="zh-CN"/>
        </w:rPr>
        <w:t>四川蜀地基础建设工程有限公司</w:t>
      </w:r>
      <w:r>
        <w:rPr>
          <w:rFonts w:hint="eastAsia" w:ascii="仿宋" w:hAnsi="仿宋" w:eastAsia="仿宋" w:cs="仿宋"/>
          <w:b w:val="0"/>
          <w:bCs w:val="0"/>
          <w:color w:val="auto"/>
          <w:spacing w:val="-6"/>
          <w:sz w:val="25"/>
          <w:szCs w:val="25"/>
          <w:highlight w:val="none"/>
          <w:u w:val="single" w:color="auto"/>
          <w:lang w:val="en-US" w:eastAsia="zh-CN"/>
        </w:rPr>
        <w:t xml:space="preserve">  </w:t>
      </w:r>
      <w:r>
        <w:rPr>
          <w:rFonts w:ascii="仿宋" w:hAnsi="仿宋" w:eastAsia="仿宋" w:cs="仿宋"/>
          <w:color w:val="auto"/>
          <w:spacing w:val="-6"/>
          <w:sz w:val="25"/>
          <w:szCs w:val="25"/>
          <w:highlight w:val="none"/>
        </w:rPr>
        <w:t>(以下简</w:t>
      </w:r>
      <w:r>
        <w:rPr>
          <w:rFonts w:ascii="仿宋" w:hAnsi="仿宋" w:eastAsia="仿宋" w:cs="仿宋"/>
          <w:color w:val="auto"/>
          <w:spacing w:val="-7"/>
          <w:sz w:val="25"/>
          <w:szCs w:val="25"/>
          <w:highlight w:val="none"/>
        </w:rPr>
        <w:t>称“乙方”),</w:t>
      </w:r>
      <w:r>
        <w:rPr>
          <w:rFonts w:ascii="仿宋" w:hAnsi="仿宋" w:eastAsia="仿宋" w:cs="仿宋"/>
          <w:color w:val="auto"/>
          <w:sz w:val="25"/>
          <w:szCs w:val="25"/>
          <w:highlight w:val="none"/>
        </w:rPr>
        <w:t xml:space="preserve">  </w:t>
      </w:r>
      <w:r>
        <w:rPr>
          <w:rFonts w:ascii="仿宋" w:hAnsi="仿宋" w:eastAsia="仿宋" w:cs="仿宋"/>
          <w:color w:val="auto"/>
          <w:spacing w:val="-12"/>
          <w:sz w:val="25"/>
          <w:szCs w:val="25"/>
          <w:highlight w:val="none"/>
        </w:rPr>
        <w:t>特订立如下合同。</w:t>
      </w:r>
    </w:p>
    <w:p w14:paraId="1956182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甲乙双方的权利和义务</w:t>
      </w:r>
    </w:p>
    <w:p w14:paraId="710365AA">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(1)严格遵守党的政策规定和国家有关法律法规的有关规定。</w:t>
      </w:r>
    </w:p>
    <w:p w14:paraId="279B8E36">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(2)严格执行 </w:t>
      </w:r>
      <w:r>
        <w:rPr>
          <w:rFonts w:hint="eastAsia" w:ascii="仿宋" w:hAnsi="仿宋" w:eastAsia="仿宋" w:cs="仿宋"/>
          <w:b/>
          <w:bCs/>
          <w:color w:val="auto"/>
          <w:sz w:val="24"/>
          <w:szCs w:val="24"/>
          <w:highlight w:val="none"/>
          <w:u w:val="single"/>
          <w:lang w:eastAsia="zh-CN"/>
        </w:rPr>
        <w:t>会理市绿色农汽联创园建设项目</w:t>
      </w:r>
      <w:r>
        <w:rPr>
          <w:rFonts w:hint="eastAsia" w:ascii="仿宋" w:hAnsi="仿宋" w:eastAsia="仿宋" w:cs="仿宋"/>
          <w:b/>
          <w:bCs/>
          <w:color w:val="auto"/>
          <w:sz w:val="24"/>
          <w:szCs w:val="24"/>
          <w:highlight w:val="none"/>
          <w:u w:val="single"/>
        </w:rPr>
        <w:t>主体工程劳务分包合同</w:t>
      </w:r>
      <w:r>
        <w:rPr>
          <w:rFonts w:hint="eastAsia" w:ascii="仿宋" w:hAnsi="仿宋" w:eastAsia="仿宋" w:cs="仿宋"/>
          <w:color w:val="auto"/>
          <w:sz w:val="24"/>
          <w:szCs w:val="24"/>
          <w:highlight w:val="none"/>
        </w:rPr>
        <w:t>施工合同文件，自觉按合同办事。</w:t>
      </w:r>
    </w:p>
    <w:p w14:paraId="5700B19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(3)双方的业务活动坚持公开、公正、诚信、透明的原则(法律认定的商业秘密和 合同文件另有规定除外),不得损害国家和集体利益，不得违反工程建设管理规章制度。</w:t>
      </w:r>
    </w:p>
    <w:p w14:paraId="395E40C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(4)建立健全廉政制度，开展廉政教育，设立廉政告示牌，公布举报电话，监督并认真查处违法违纪行为。</w:t>
      </w:r>
    </w:p>
    <w:p w14:paraId="0CFFB39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(5)发现对方在业务活动中有违反廉政规定的行为，有及时提醒对方纠正的权利 和义务。</w:t>
      </w:r>
    </w:p>
    <w:p w14:paraId="25939B3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(6)发现对方严重违反本合同义务条款的行为，有向其上级有关部门举报、建议 给予处理并要求告知处理结果的权利。</w:t>
      </w:r>
    </w:p>
    <w:p w14:paraId="26946D3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甲方的义务</w:t>
      </w:r>
    </w:p>
    <w:p w14:paraId="61DEFFC5">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(1)甲方及其工作人员不得索要或接受乙方的礼金、有价证券和贵重物品，不得 让乙方报销任何应由甲方或甲方工作人员个人支付的费用等。</w:t>
      </w:r>
    </w:p>
    <w:p w14:paraId="2E6049B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(2)甲方工作人员不得参加乙方安排的超标准宴请和娱乐活动；不得接受乙方提 供的通讯工具、交通工具和高档办公用品等。</w:t>
      </w:r>
    </w:p>
    <w:p w14:paraId="1341B0E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(3)甲方及其工作人员不得要求或者接受乙方为其住房装修、婚丧嫁娶活动、配 偶子女的工作安排以及出国出境、旅游等提供方便等。</w:t>
      </w:r>
    </w:p>
    <w:p w14:paraId="36617B0C">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(4)甲方工作人员及其配偶、子女不得从事与乙方工程有关的材料设备供应、工 程分包、劳务等经济活动等。</w:t>
      </w:r>
    </w:p>
    <w:p w14:paraId="1F74E0B3">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(5)甲方及其工作人员不得以任何理由向乙方推荐分包单位或推销材料，不得要 求乙方购买合同规定外的材料和设备。</w:t>
      </w:r>
    </w:p>
    <w:p w14:paraId="4D520B2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(6)甲方工作人员要秉公办事，不准营私舞弊，不准利用职权从事各种个人有偿 中介活动和安排个人施工队伍。</w:t>
      </w:r>
    </w:p>
    <w:p w14:paraId="7BC19847">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乙方的义务</w:t>
      </w:r>
    </w:p>
    <w:p w14:paraId="08477A80">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(1)乙方不得以任何理由向甲方及其工作人员行贿或馈赠礼金、有价证券、贵重礼品。</w:t>
      </w:r>
    </w:p>
    <w:p w14:paraId="6A93E941">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(2)乙方不得以任何名义为甲方及其工作人员报销应由发包人单位或个人支付的 任何费用。</w:t>
      </w:r>
    </w:p>
    <w:p w14:paraId="04BE5322">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(3)乙方不得以任何理由安排甲方工作人员参加超标准宴请及娱乐活动。</w:t>
      </w:r>
    </w:p>
    <w:p w14:paraId="2D1F551C">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 xml:space="preserve">)乙方不得为甲方单位和个人购置或提供通信工具、交通工具和高档办公用品等。 </w:t>
      </w:r>
    </w:p>
    <w:p w14:paraId="5AC5740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4.违约责任</w:t>
      </w:r>
    </w:p>
    <w:p w14:paraId="740A7978">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(1)甲方及其工作人员违反本合同第1、2条，按管理权限，依据有关规定给予党 纪、政纪或组织处理；涉嫌犯罪的，移交司法机关追究刑事责任；给承包人单位造成经 济损失的，应予以赔偿。</w:t>
      </w:r>
    </w:p>
    <w:p w14:paraId="3D575F80">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(2)乙方及其工作人员违反本合同第1、3条，按管理权限，依据有关规定给予党 纪、政纪或组织处理；给甲方单位造成经济损失的，应予以赔偿。</w:t>
      </w:r>
    </w:p>
    <w:p w14:paraId="3CD2467F">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本合同有效期为甲方和乙方签署之日起至该工程项目竣工验收后止。</w:t>
      </w:r>
    </w:p>
    <w:p w14:paraId="4D1BC78F">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6.本合同作为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color w:val="auto"/>
          <w:sz w:val="24"/>
          <w:szCs w:val="24"/>
          <w:highlight w:val="none"/>
          <w:u w:val="single"/>
          <w:lang w:eastAsia="zh-CN"/>
        </w:rPr>
        <w:t>会理市绿色农汽联创园建设项目</w:t>
      </w:r>
      <w:r>
        <w:rPr>
          <w:rFonts w:hint="eastAsia" w:ascii="仿宋" w:hAnsi="仿宋" w:eastAsia="仿宋" w:cs="仿宋"/>
          <w:b/>
          <w:bCs/>
          <w:color w:val="auto"/>
          <w:sz w:val="24"/>
          <w:szCs w:val="24"/>
          <w:highlight w:val="none"/>
          <w:u w:val="single"/>
        </w:rPr>
        <w:t>主体工程劳务分包合同</w:t>
      </w:r>
      <w:r>
        <w:rPr>
          <w:rFonts w:hint="eastAsia" w:ascii="仿宋" w:hAnsi="仿宋" w:eastAsia="仿宋" w:cs="仿宋"/>
          <w:color w:val="auto"/>
          <w:sz w:val="24"/>
          <w:szCs w:val="24"/>
          <w:highlight w:val="none"/>
        </w:rPr>
        <w:t>施工合同的附件，与主合同具有同等的法律效力，经合同 双方签署后立即生效。</w:t>
      </w:r>
    </w:p>
    <w:p w14:paraId="533E2F74">
      <w:pPr>
        <w:keepNext w:val="0"/>
        <w:keepLines w:val="0"/>
        <w:pageBreakBefore w:val="0"/>
        <w:widowControl/>
        <w:kinsoku/>
        <w:wordWrap/>
        <w:overflowPunct/>
        <w:topLinePunct/>
        <w:autoSpaceDE w:val="0"/>
        <w:autoSpaceDN w:val="0"/>
        <w:bidi w:val="0"/>
        <w:adjustRightInd w:val="0"/>
        <w:snapToGrid w:val="0"/>
        <w:spacing w:line="360" w:lineRule="auto"/>
        <w:ind w:firstLine="480" w:firstLineChars="200"/>
        <w:textAlignment w:val="baseline"/>
        <w:rPr>
          <w:rFonts w:ascii="仿宋" w:hAnsi="仿宋" w:eastAsia="仿宋" w:cs="仿宋"/>
          <w:color w:val="auto"/>
          <w:spacing w:val="-10"/>
          <w:sz w:val="25"/>
          <w:szCs w:val="25"/>
          <w:highlight w:val="none"/>
        </w:rPr>
      </w:pPr>
      <w:r>
        <w:rPr>
          <w:rFonts w:hint="eastAsia" w:ascii="仿宋" w:hAnsi="仿宋" w:eastAsia="仿宋" w:cs="仿宋"/>
          <w:color w:val="auto"/>
          <w:sz w:val="24"/>
          <w:szCs w:val="24"/>
          <w:highlight w:val="none"/>
        </w:rPr>
        <w:t>7.本合同壹式</w:t>
      </w:r>
      <w:r>
        <w:rPr>
          <w:rFonts w:hint="eastAsia" w:ascii="仿宋" w:hAnsi="仿宋" w:eastAsia="仿宋" w:cs="仿宋"/>
          <w:b/>
          <w:bCs/>
          <w:color w:val="auto"/>
          <w:sz w:val="24"/>
          <w:szCs w:val="24"/>
          <w:highlight w:val="none"/>
          <w:u w:val="single"/>
          <w:lang w:val="en-US" w:eastAsia="zh-CN"/>
        </w:rPr>
        <w:t>陆</w:t>
      </w:r>
      <w:r>
        <w:rPr>
          <w:rFonts w:hint="eastAsia" w:ascii="仿宋" w:hAnsi="仿宋" w:eastAsia="仿宋" w:cs="仿宋"/>
          <w:color w:val="auto"/>
          <w:sz w:val="24"/>
          <w:szCs w:val="24"/>
          <w:highlight w:val="none"/>
        </w:rPr>
        <w:t>份，甲方</w:t>
      </w:r>
      <w:r>
        <w:rPr>
          <w:rFonts w:hint="eastAsia" w:ascii="仿宋" w:hAnsi="仿宋" w:eastAsia="仿宋" w:cs="仿宋"/>
          <w:b/>
          <w:bCs/>
          <w:color w:val="auto"/>
          <w:sz w:val="24"/>
          <w:szCs w:val="24"/>
          <w:highlight w:val="none"/>
          <w:u w:val="single"/>
        </w:rPr>
        <w:t>肆</w:t>
      </w:r>
      <w:r>
        <w:rPr>
          <w:rFonts w:hint="eastAsia" w:ascii="仿宋" w:hAnsi="仿宋" w:eastAsia="仿宋" w:cs="仿宋"/>
          <w:color w:val="auto"/>
          <w:sz w:val="24"/>
          <w:szCs w:val="24"/>
          <w:highlight w:val="none"/>
        </w:rPr>
        <w:t>份、乙方</w:t>
      </w:r>
      <w:r>
        <w:rPr>
          <w:rFonts w:hint="eastAsia" w:ascii="仿宋" w:hAnsi="仿宋" w:eastAsia="仿宋" w:cs="仿宋"/>
          <w:b/>
          <w:bCs/>
          <w:color w:val="auto"/>
          <w:sz w:val="24"/>
          <w:szCs w:val="24"/>
          <w:highlight w:val="none"/>
          <w:u w:val="single"/>
          <w:lang w:val="en-US" w:eastAsia="zh-CN"/>
        </w:rPr>
        <w:t>贰</w:t>
      </w:r>
      <w:r>
        <w:rPr>
          <w:rFonts w:hint="eastAsia" w:ascii="仿宋" w:hAnsi="仿宋" w:eastAsia="仿宋" w:cs="仿宋"/>
          <w:color w:val="auto"/>
          <w:sz w:val="24"/>
          <w:szCs w:val="24"/>
          <w:highlight w:val="none"/>
        </w:rPr>
        <w:t>份，当正本与副本的内容不一致时，以正本为准。</w:t>
      </w: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7860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2605F8BB">
            <w:pPr>
              <w:pageBreakBefore w:val="0"/>
              <w:kinsoku/>
              <w:wordWrap/>
              <w:overflowPunct/>
              <w:topLinePunct w:val="0"/>
              <w:bidi w:val="0"/>
              <w:snapToGrid/>
              <w:spacing w:line="360" w:lineRule="auto"/>
              <w:textAlignment w:val="auto"/>
              <w:rPr>
                <w:rFonts w:hint="default" w:ascii="仿宋" w:hAnsi="仿宋" w:eastAsia="仿宋" w:cs="仿宋"/>
                <w:i w:val="0"/>
                <w:iCs w:val="0"/>
                <w:color w:val="auto"/>
                <w:sz w:val="24"/>
                <w:szCs w:val="24"/>
                <w:highlight w:val="none"/>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r>
              <w:rPr>
                <w:rFonts w:hint="eastAsia" w:ascii="仿宋" w:hAnsi="仿宋" w:eastAsia="仿宋" w:cs="仿宋"/>
                <w:i w:val="0"/>
                <w:iCs w:val="0"/>
                <w:kern w:val="0"/>
                <w:sz w:val="24"/>
                <w:szCs w:val="24"/>
                <w:u w:val="none"/>
                <w:lang w:val="en-US" w:eastAsia="zh-CN"/>
              </w:rPr>
              <w:t>四川万尼腾建设工程有限公司</w:t>
            </w:r>
          </w:p>
        </w:tc>
        <w:tc>
          <w:tcPr>
            <w:tcW w:w="4332" w:type="dxa"/>
            <w:tcBorders>
              <w:tl2br w:val="nil"/>
              <w:tr2bl w:val="nil"/>
            </w:tcBorders>
            <w:noWrap w:val="0"/>
            <w:vAlign w:val="top"/>
          </w:tcPr>
          <w:p w14:paraId="3E696BE3">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b/>
                <w:bCs/>
                <w:i w:val="0"/>
                <w:iCs w:val="0"/>
                <w:color w:val="auto"/>
                <w:kern w:val="0"/>
                <w:sz w:val="24"/>
                <w:szCs w:val="24"/>
                <w:highlight w:val="none"/>
                <w:u w:val="none"/>
              </w:rPr>
              <w:t>乙方</w:t>
            </w:r>
            <w:r>
              <w:rPr>
                <w:rFonts w:hint="eastAsia" w:ascii="仿宋" w:hAnsi="仿宋" w:eastAsia="仿宋" w:cs="仿宋"/>
                <w:b/>
                <w:bCs/>
                <w:i w:val="0"/>
                <w:iCs w:val="0"/>
                <w:color w:val="auto"/>
                <w:kern w:val="0"/>
                <w:sz w:val="24"/>
                <w:szCs w:val="24"/>
                <w:highlight w:val="none"/>
                <w:u w:val="none"/>
                <w:lang w:eastAsia="zh-CN"/>
              </w:rPr>
              <w:t>：</w:t>
            </w:r>
            <w:r>
              <w:rPr>
                <w:rFonts w:hint="eastAsia" w:ascii="仿宋" w:hAnsi="仿宋" w:eastAsia="仿宋" w:cs="仿宋"/>
                <w:i w:val="0"/>
                <w:iCs w:val="0"/>
                <w:kern w:val="0"/>
                <w:sz w:val="24"/>
                <w:szCs w:val="24"/>
                <w:u w:val="none"/>
                <w:lang w:val="en-US" w:eastAsia="zh-CN"/>
              </w:rPr>
              <w:t>*****</w:t>
            </w:r>
          </w:p>
        </w:tc>
      </w:tr>
      <w:tr w14:paraId="7FAF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79E88E74">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2FBFFEC6">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法人代表（委托代理人）：</w:t>
            </w:r>
          </w:p>
        </w:tc>
      </w:tr>
      <w:tr w14:paraId="0B06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65144454">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开户银行：中国工商银行股份有限公司凉山航天城支行</w:t>
            </w:r>
          </w:p>
        </w:tc>
        <w:tc>
          <w:tcPr>
            <w:tcW w:w="4332" w:type="dxa"/>
            <w:tcBorders>
              <w:tl2br w:val="nil"/>
              <w:tr2bl w:val="nil"/>
            </w:tcBorders>
            <w:noWrap w:val="0"/>
            <w:vAlign w:val="top"/>
          </w:tcPr>
          <w:p w14:paraId="58135A8B">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开户银行：</w:t>
            </w:r>
            <w:r>
              <w:rPr>
                <w:rFonts w:hint="eastAsia" w:ascii="仿宋" w:hAnsi="仿宋" w:eastAsia="仿宋" w:cs="仿宋"/>
                <w:i w:val="0"/>
                <w:iCs w:val="0"/>
                <w:color w:val="auto"/>
                <w:kern w:val="0"/>
                <w:sz w:val="24"/>
                <w:szCs w:val="24"/>
                <w:highlight w:val="none"/>
                <w:lang w:val="en-US" w:eastAsia="zh-CN"/>
              </w:rPr>
              <w:t>***********</w:t>
            </w:r>
          </w:p>
        </w:tc>
      </w:tr>
      <w:tr w14:paraId="191D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7282AF58">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kern w:val="0"/>
                <w:sz w:val="24"/>
                <w:szCs w:val="24"/>
                <w:lang w:val="en-US" w:eastAsia="zh-CN"/>
              </w:rPr>
              <w:t>账号：2320 6326 0910 0105 125</w:t>
            </w:r>
          </w:p>
        </w:tc>
        <w:tc>
          <w:tcPr>
            <w:tcW w:w="4332" w:type="dxa"/>
            <w:tcBorders>
              <w:tl2br w:val="nil"/>
              <w:tr2bl w:val="nil"/>
            </w:tcBorders>
            <w:noWrap w:val="0"/>
            <w:vAlign w:val="top"/>
          </w:tcPr>
          <w:p w14:paraId="5CE888E9">
            <w:pPr>
              <w:pageBreakBefore w:val="0"/>
              <w:kinsoku/>
              <w:wordWrap/>
              <w:overflowPunct/>
              <w:topLinePunct w:val="0"/>
              <w:bidi w:val="0"/>
              <w:snapToGrid/>
              <w:spacing w:line="360" w:lineRule="auto"/>
              <w:textAlignment w:val="auto"/>
              <w:rPr>
                <w:rFonts w:hint="eastAsia" w:ascii="仿宋" w:hAnsi="仿宋" w:eastAsia="仿宋" w:cs="仿宋"/>
                <w:i w:val="0"/>
                <w:iCs w:val="0"/>
                <w:color w:val="auto"/>
                <w:sz w:val="24"/>
                <w:szCs w:val="24"/>
                <w:highlight w:val="none"/>
                <w:vertAlign w:val="baseline"/>
              </w:rPr>
            </w:pPr>
            <w:r>
              <w:rPr>
                <w:rFonts w:hint="eastAsia" w:ascii="仿宋" w:hAnsi="仿宋" w:eastAsia="仿宋" w:cs="仿宋"/>
                <w:i w:val="0"/>
                <w:iCs w:val="0"/>
                <w:color w:val="auto"/>
                <w:kern w:val="0"/>
                <w:sz w:val="24"/>
                <w:szCs w:val="24"/>
                <w:highlight w:val="none"/>
              </w:rPr>
              <w:t>帐号：</w:t>
            </w:r>
            <w:r>
              <w:rPr>
                <w:rFonts w:hint="eastAsia" w:ascii="仿宋" w:hAnsi="仿宋" w:eastAsia="仿宋" w:cs="仿宋"/>
                <w:i w:val="0"/>
                <w:iCs w:val="0"/>
                <w:color w:val="auto"/>
                <w:kern w:val="0"/>
                <w:sz w:val="24"/>
                <w:szCs w:val="24"/>
                <w:highlight w:val="none"/>
                <w:lang w:val="en-US" w:eastAsia="zh-CN"/>
              </w:rPr>
              <w:t>***</w:t>
            </w:r>
          </w:p>
        </w:tc>
      </w:tr>
      <w:tr w14:paraId="2AD0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1E6FDF6E">
            <w:pPr>
              <w:pageBreakBefore w:val="0"/>
              <w:kinsoku/>
              <w:wordWrap/>
              <w:overflowPunct/>
              <w:topLinePunct w:val="0"/>
              <w:bidi w:val="0"/>
              <w:snapToGrid/>
              <w:spacing w:line="360" w:lineRule="auto"/>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kern w:val="0"/>
                <w:sz w:val="24"/>
                <w:szCs w:val="24"/>
                <w:lang w:val="en-US" w:eastAsia="zh-CN"/>
              </w:rPr>
              <w:t>注册地址：西昌市长安东路53号3幢1楼</w:t>
            </w:r>
          </w:p>
        </w:tc>
        <w:tc>
          <w:tcPr>
            <w:tcW w:w="4332" w:type="dxa"/>
            <w:tcBorders>
              <w:tl2br w:val="nil"/>
              <w:tr2bl w:val="nil"/>
            </w:tcBorders>
            <w:noWrap w:val="0"/>
            <w:vAlign w:val="top"/>
          </w:tcPr>
          <w:p w14:paraId="08ED60B8">
            <w:pPr>
              <w:pageBreakBefore w:val="0"/>
              <w:kinsoku/>
              <w:wordWrap/>
              <w:overflowPunct/>
              <w:topLinePunct w:val="0"/>
              <w:bidi w:val="0"/>
              <w:snapToGrid/>
              <w:spacing w:line="360" w:lineRule="auto"/>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lang w:val="en-US" w:eastAsia="zh-CN"/>
              </w:rPr>
              <w:t>注册地址：***********</w:t>
            </w:r>
          </w:p>
        </w:tc>
      </w:tr>
      <w:tr w14:paraId="41DD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31E7B7A2">
            <w:pPr>
              <w:pageBreakBefore w:val="0"/>
              <w:widowControl/>
              <w:kinsoku/>
              <w:wordWrap/>
              <w:overflowPunct/>
              <w:topLinePunct w:val="0"/>
              <w:bidi w:val="0"/>
              <w:snapToGrid/>
              <w:spacing w:line="360" w:lineRule="auto"/>
              <w:ind w:firstLine="3120" w:firstLineChars="1300"/>
              <w:jc w:val="left"/>
              <w:textAlignment w:val="auto"/>
              <w:rPr>
                <w:rFonts w:hint="default" w:ascii="仿宋" w:hAnsi="仿宋" w:eastAsia="仿宋" w:cs="仿宋"/>
                <w:i w:val="0"/>
                <w:iCs w:val="0"/>
                <w:color w:val="auto"/>
                <w:kern w:val="0"/>
                <w:sz w:val="24"/>
                <w:szCs w:val="24"/>
                <w:highlight w:val="none"/>
                <w:lang w:val="en-US" w:eastAsia="zh-CN"/>
              </w:rPr>
            </w:pPr>
            <w:r>
              <w:rPr>
                <w:rFonts w:hint="eastAsia" w:ascii="仿宋" w:hAnsi="仿宋" w:eastAsia="仿宋" w:cs="仿宋"/>
                <w:i w:val="0"/>
                <w:iCs w:val="0"/>
                <w:color w:val="auto"/>
                <w:kern w:val="0"/>
                <w:sz w:val="24"/>
                <w:szCs w:val="24"/>
                <w:highlight w:val="none"/>
              </w:rPr>
              <w:t>签订地点：</w:t>
            </w:r>
            <w:r>
              <w:rPr>
                <w:rFonts w:hint="eastAsia" w:ascii="仿宋" w:hAnsi="仿宋" w:eastAsia="仿宋" w:cs="仿宋"/>
                <w:i w:val="0"/>
                <w:iCs w:val="0"/>
                <w:color w:val="auto"/>
                <w:kern w:val="0"/>
                <w:sz w:val="24"/>
                <w:szCs w:val="24"/>
                <w:highlight w:val="none"/>
                <w:lang w:val="en-US" w:eastAsia="zh-CN"/>
              </w:rPr>
              <w:t>西昌市</w:t>
            </w:r>
          </w:p>
        </w:tc>
      </w:tr>
      <w:tr w14:paraId="29A9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277C87DF">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签订日期：</w:t>
            </w:r>
            <w:r>
              <w:rPr>
                <w:rFonts w:hint="eastAsia" w:ascii="仿宋" w:hAnsi="仿宋" w:eastAsia="仿宋" w:cs="仿宋"/>
                <w:i w:val="0"/>
                <w:iCs w:val="0"/>
                <w:color w:val="auto"/>
                <w:kern w:val="0"/>
                <w:sz w:val="24"/>
                <w:szCs w:val="24"/>
                <w:highlight w:val="none"/>
                <w:lang w:val="en-US" w:eastAsia="zh-CN"/>
              </w:rPr>
              <w:t xml:space="preserve">  2026</w:t>
            </w:r>
            <w:r>
              <w:rPr>
                <w:rFonts w:hint="eastAsia" w:ascii="仿宋" w:hAnsi="仿宋" w:eastAsia="仿宋" w:cs="仿宋"/>
                <w:i w:val="0"/>
                <w:iCs w:val="0"/>
                <w:color w:val="auto"/>
                <w:kern w:val="0"/>
                <w:sz w:val="24"/>
                <w:szCs w:val="24"/>
                <w:highlight w:val="none"/>
              </w:rPr>
              <w:t>年</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月</w:t>
            </w:r>
            <w:r>
              <w:rPr>
                <w:rFonts w:hint="eastAsia" w:ascii="仿宋" w:hAnsi="仿宋" w:eastAsia="仿宋" w:cs="仿宋"/>
                <w:i w:val="0"/>
                <w:iCs w:val="0"/>
                <w:color w:val="auto"/>
                <w:kern w:val="0"/>
                <w:sz w:val="24"/>
                <w:szCs w:val="24"/>
                <w:highlight w:val="none"/>
                <w:lang w:val="en-US" w:eastAsia="zh-CN"/>
              </w:rPr>
              <w:t xml:space="preserve"> *** </w:t>
            </w:r>
            <w:r>
              <w:rPr>
                <w:rFonts w:hint="eastAsia" w:ascii="仿宋" w:hAnsi="仿宋" w:eastAsia="仿宋" w:cs="仿宋"/>
                <w:i w:val="0"/>
                <w:iCs w:val="0"/>
                <w:color w:val="auto"/>
                <w:kern w:val="0"/>
                <w:sz w:val="24"/>
                <w:szCs w:val="24"/>
                <w:highlight w:val="none"/>
              </w:rPr>
              <w:t>日</w:t>
            </w:r>
          </w:p>
        </w:tc>
      </w:tr>
    </w:tbl>
    <w:p w14:paraId="2AF04572">
      <w:pPr>
        <w:spacing w:before="81" w:line="222" w:lineRule="auto"/>
        <w:rPr>
          <w:rFonts w:ascii="仿宋" w:hAnsi="仿宋" w:eastAsia="仿宋" w:cs="仿宋"/>
          <w:color w:val="auto"/>
          <w:spacing w:val="15"/>
          <w:sz w:val="25"/>
          <w:szCs w:val="25"/>
          <w:highlight w:val="none"/>
        </w:rPr>
      </w:pPr>
    </w:p>
    <w:p w14:paraId="4C112918">
      <w:pPr>
        <w:spacing w:before="81" w:line="222" w:lineRule="auto"/>
        <w:ind w:left="44"/>
        <w:rPr>
          <w:rFonts w:ascii="仿宋" w:hAnsi="仿宋" w:eastAsia="仿宋" w:cs="仿宋"/>
          <w:color w:val="auto"/>
          <w:spacing w:val="15"/>
          <w:sz w:val="25"/>
          <w:szCs w:val="25"/>
          <w:highlight w:val="none"/>
        </w:rPr>
      </w:pPr>
    </w:p>
    <w:p w14:paraId="65FDF094">
      <w:pPr>
        <w:spacing w:before="81" w:line="222" w:lineRule="auto"/>
        <w:ind w:left="44"/>
        <w:rPr>
          <w:rFonts w:ascii="仿宋" w:hAnsi="仿宋" w:eastAsia="仿宋" w:cs="仿宋"/>
          <w:color w:val="auto"/>
          <w:spacing w:val="15"/>
          <w:sz w:val="25"/>
          <w:szCs w:val="25"/>
          <w:highlight w:val="none"/>
        </w:rPr>
      </w:pPr>
    </w:p>
    <w:p w14:paraId="6C10A064">
      <w:pPr>
        <w:spacing w:before="81" w:line="222" w:lineRule="auto"/>
        <w:ind w:left="44"/>
        <w:rPr>
          <w:rFonts w:ascii="仿宋" w:hAnsi="仿宋" w:eastAsia="仿宋" w:cs="仿宋"/>
          <w:color w:val="auto"/>
          <w:spacing w:val="15"/>
          <w:sz w:val="25"/>
          <w:szCs w:val="25"/>
          <w:highlight w:val="none"/>
        </w:rPr>
      </w:pPr>
    </w:p>
    <w:p w14:paraId="0D0CD866">
      <w:pPr>
        <w:spacing w:before="81" w:line="222" w:lineRule="auto"/>
        <w:ind w:left="44"/>
        <w:rPr>
          <w:rFonts w:ascii="仿宋" w:hAnsi="仿宋" w:eastAsia="仿宋" w:cs="仿宋"/>
          <w:color w:val="auto"/>
          <w:spacing w:val="15"/>
          <w:sz w:val="25"/>
          <w:szCs w:val="25"/>
          <w:highlight w:val="none"/>
        </w:rPr>
      </w:pPr>
    </w:p>
    <w:p w14:paraId="7D8E8AAF">
      <w:pPr>
        <w:spacing w:before="81" w:line="222" w:lineRule="auto"/>
        <w:ind w:left="44"/>
        <w:rPr>
          <w:rFonts w:ascii="仿宋" w:hAnsi="仿宋" w:eastAsia="仿宋" w:cs="仿宋"/>
          <w:color w:val="auto"/>
          <w:spacing w:val="15"/>
          <w:sz w:val="25"/>
          <w:szCs w:val="25"/>
          <w:highlight w:val="none"/>
        </w:rPr>
      </w:pPr>
    </w:p>
    <w:p w14:paraId="72F95FBE">
      <w:pPr>
        <w:spacing w:before="81" w:line="222" w:lineRule="auto"/>
        <w:ind w:left="44"/>
        <w:rPr>
          <w:rFonts w:ascii="仿宋" w:hAnsi="仿宋" w:eastAsia="仿宋" w:cs="仿宋"/>
          <w:color w:val="auto"/>
          <w:spacing w:val="15"/>
          <w:sz w:val="25"/>
          <w:szCs w:val="25"/>
          <w:highlight w:val="none"/>
        </w:rPr>
      </w:pPr>
    </w:p>
    <w:p w14:paraId="35EA7035">
      <w:pPr>
        <w:spacing w:before="81" w:line="222" w:lineRule="auto"/>
        <w:ind w:left="44"/>
        <w:rPr>
          <w:rFonts w:ascii="仿宋" w:hAnsi="仿宋" w:eastAsia="仿宋" w:cs="仿宋"/>
          <w:color w:val="auto"/>
          <w:spacing w:val="15"/>
          <w:sz w:val="25"/>
          <w:szCs w:val="25"/>
          <w:highlight w:val="none"/>
        </w:rPr>
      </w:pPr>
    </w:p>
    <w:p w14:paraId="590D2EE7">
      <w:pPr>
        <w:spacing w:before="81" w:line="222" w:lineRule="auto"/>
        <w:ind w:left="44"/>
        <w:rPr>
          <w:rFonts w:ascii="仿宋" w:hAnsi="仿宋" w:eastAsia="仿宋" w:cs="仿宋"/>
          <w:color w:val="auto"/>
          <w:spacing w:val="15"/>
          <w:sz w:val="25"/>
          <w:szCs w:val="25"/>
          <w:highlight w:val="none"/>
        </w:rPr>
      </w:pPr>
    </w:p>
    <w:p w14:paraId="7037C82F">
      <w:pPr>
        <w:spacing w:before="81" w:line="222" w:lineRule="auto"/>
        <w:ind w:left="44"/>
        <w:rPr>
          <w:rFonts w:ascii="仿宋" w:hAnsi="仿宋" w:eastAsia="仿宋" w:cs="仿宋"/>
          <w:color w:val="auto"/>
          <w:spacing w:val="15"/>
          <w:sz w:val="25"/>
          <w:szCs w:val="25"/>
          <w:highlight w:val="none"/>
        </w:rPr>
      </w:pPr>
    </w:p>
    <w:p w14:paraId="118EA5C2">
      <w:pPr>
        <w:spacing w:before="81" w:line="222" w:lineRule="auto"/>
        <w:ind w:left="44"/>
        <w:rPr>
          <w:rFonts w:ascii="仿宋" w:hAnsi="仿宋" w:eastAsia="仿宋" w:cs="仿宋"/>
          <w:color w:val="auto"/>
          <w:spacing w:val="15"/>
          <w:sz w:val="25"/>
          <w:szCs w:val="25"/>
          <w:highlight w:val="none"/>
        </w:rPr>
      </w:pPr>
    </w:p>
    <w:p w14:paraId="3F054E92">
      <w:pPr>
        <w:spacing w:before="81" w:line="222" w:lineRule="auto"/>
        <w:ind w:left="44"/>
        <w:rPr>
          <w:rFonts w:ascii="仿宋" w:hAnsi="仿宋" w:eastAsia="仿宋" w:cs="仿宋"/>
          <w:color w:val="auto"/>
          <w:spacing w:val="15"/>
          <w:sz w:val="25"/>
          <w:szCs w:val="25"/>
          <w:highlight w:val="none"/>
        </w:rPr>
      </w:pPr>
    </w:p>
    <w:p w14:paraId="23B6BB03">
      <w:pPr>
        <w:spacing w:before="81" w:line="222" w:lineRule="auto"/>
        <w:ind w:left="44"/>
        <w:rPr>
          <w:rFonts w:ascii="仿宋" w:hAnsi="仿宋" w:eastAsia="仿宋" w:cs="仿宋"/>
          <w:color w:val="auto"/>
          <w:spacing w:val="15"/>
          <w:sz w:val="25"/>
          <w:szCs w:val="25"/>
          <w:highlight w:val="none"/>
        </w:rPr>
      </w:pPr>
    </w:p>
    <w:p w14:paraId="794C5B95">
      <w:pPr>
        <w:spacing w:before="81" w:line="222" w:lineRule="auto"/>
        <w:ind w:left="44"/>
        <w:rPr>
          <w:rFonts w:ascii="仿宋" w:hAnsi="仿宋" w:eastAsia="仿宋" w:cs="仿宋"/>
          <w:color w:val="auto"/>
          <w:spacing w:val="15"/>
          <w:sz w:val="25"/>
          <w:szCs w:val="25"/>
          <w:highlight w:val="none"/>
        </w:rPr>
      </w:pPr>
    </w:p>
    <w:p w14:paraId="2459E153">
      <w:pPr>
        <w:spacing w:before="81" w:line="222" w:lineRule="auto"/>
        <w:ind w:left="44"/>
        <w:rPr>
          <w:rFonts w:ascii="仿宋" w:hAnsi="仿宋" w:eastAsia="仿宋" w:cs="仿宋"/>
          <w:color w:val="auto"/>
          <w:spacing w:val="15"/>
          <w:sz w:val="25"/>
          <w:szCs w:val="25"/>
          <w:highlight w:val="none"/>
        </w:rPr>
      </w:pPr>
    </w:p>
    <w:p w14:paraId="2EACC476">
      <w:pPr>
        <w:spacing w:before="81" w:line="222" w:lineRule="auto"/>
        <w:ind w:left="44"/>
        <w:rPr>
          <w:rFonts w:ascii="仿宋" w:hAnsi="仿宋" w:eastAsia="仿宋" w:cs="仿宋"/>
          <w:color w:val="auto"/>
          <w:spacing w:val="15"/>
          <w:sz w:val="25"/>
          <w:szCs w:val="25"/>
          <w:highlight w:val="none"/>
        </w:rPr>
      </w:pPr>
    </w:p>
    <w:p w14:paraId="1ADE1935">
      <w:pPr>
        <w:spacing w:before="81" w:line="222" w:lineRule="auto"/>
        <w:ind w:left="44"/>
        <w:rPr>
          <w:rFonts w:ascii="仿宋" w:hAnsi="仿宋" w:eastAsia="仿宋" w:cs="仿宋"/>
          <w:color w:val="auto"/>
          <w:spacing w:val="15"/>
          <w:sz w:val="25"/>
          <w:szCs w:val="25"/>
          <w:highlight w:val="none"/>
        </w:rPr>
      </w:pPr>
    </w:p>
    <w:p w14:paraId="3D00AAF6">
      <w:pPr>
        <w:spacing w:before="81" w:line="222" w:lineRule="auto"/>
        <w:ind w:left="44"/>
        <w:rPr>
          <w:rFonts w:ascii="仿宋" w:hAnsi="仿宋" w:eastAsia="仿宋" w:cs="仿宋"/>
          <w:color w:val="auto"/>
          <w:spacing w:val="15"/>
          <w:sz w:val="25"/>
          <w:szCs w:val="25"/>
          <w:highlight w:val="none"/>
        </w:rPr>
      </w:pPr>
    </w:p>
    <w:p w14:paraId="786DAFC3">
      <w:pPr>
        <w:spacing w:before="81" w:line="222" w:lineRule="auto"/>
        <w:ind w:left="44"/>
        <w:rPr>
          <w:rFonts w:ascii="仿宋" w:hAnsi="仿宋" w:eastAsia="仿宋" w:cs="仿宋"/>
          <w:color w:val="auto"/>
          <w:spacing w:val="15"/>
          <w:sz w:val="25"/>
          <w:szCs w:val="25"/>
          <w:highlight w:val="none"/>
        </w:rPr>
      </w:pPr>
    </w:p>
    <w:p w14:paraId="16BB117D">
      <w:pPr>
        <w:spacing w:before="81" w:line="222" w:lineRule="auto"/>
        <w:ind w:left="44"/>
        <w:rPr>
          <w:rFonts w:ascii="仿宋" w:hAnsi="仿宋" w:eastAsia="仿宋" w:cs="仿宋"/>
          <w:color w:val="auto"/>
          <w:spacing w:val="15"/>
          <w:sz w:val="25"/>
          <w:szCs w:val="25"/>
          <w:highlight w:val="none"/>
        </w:rPr>
      </w:pPr>
    </w:p>
    <w:p w14:paraId="1EF14E30">
      <w:pPr>
        <w:spacing w:before="81" w:line="222" w:lineRule="auto"/>
        <w:ind w:left="44"/>
        <w:rPr>
          <w:rFonts w:ascii="仿宋" w:hAnsi="仿宋" w:eastAsia="仿宋" w:cs="仿宋"/>
          <w:color w:val="auto"/>
          <w:spacing w:val="15"/>
          <w:sz w:val="25"/>
          <w:szCs w:val="25"/>
          <w:highlight w:val="none"/>
        </w:rPr>
      </w:pPr>
    </w:p>
    <w:p w14:paraId="4A45B52C">
      <w:pPr>
        <w:spacing w:before="81" w:line="222" w:lineRule="auto"/>
        <w:ind w:left="44"/>
        <w:rPr>
          <w:rFonts w:ascii="仿宋" w:hAnsi="仿宋" w:eastAsia="仿宋" w:cs="仿宋"/>
          <w:color w:val="auto"/>
          <w:spacing w:val="15"/>
          <w:sz w:val="25"/>
          <w:szCs w:val="25"/>
          <w:highlight w:val="none"/>
        </w:rPr>
      </w:pPr>
    </w:p>
    <w:p w14:paraId="6A35000A">
      <w:pPr>
        <w:spacing w:before="81" w:line="222" w:lineRule="auto"/>
        <w:ind w:left="44"/>
        <w:rPr>
          <w:rFonts w:ascii="仿宋" w:hAnsi="仿宋" w:eastAsia="仿宋" w:cs="仿宋"/>
          <w:color w:val="auto"/>
          <w:spacing w:val="15"/>
          <w:sz w:val="25"/>
          <w:szCs w:val="25"/>
          <w:highlight w:val="none"/>
        </w:rPr>
      </w:pPr>
    </w:p>
    <w:p w14:paraId="750E2476">
      <w:pPr>
        <w:spacing w:before="81" w:line="222" w:lineRule="auto"/>
        <w:ind w:left="44"/>
        <w:rPr>
          <w:rFonts w:ascii="仿宋" w:hAnsi="仿宋" w:eastAsia="仿宋" w:cs="仿宋"/>
          <w:color w:val="auto"/>
          <w:spacing w:val="15"/>
          <w:sz w:val="25"/>
          <w:szCs w:val="25"/>
          <w:highlight w:val="none"/>
        </w:rPr>
      </w:pPr>
    </w:p>
    <w:p w14:paraId="2CA593AA">
      <w:pPr>
        <w:spacing w:before="81" w:line="222" w:lineRule="auto"/>
        <w:ind w:left="44"/>
        <w:rPr>
          <w:rFonts w:ascii="仿宋" w:hAnsi="仿宋" w:eastAsia="仿宋" w:cs="仿宋"/>
          <w:color w:val="auto"/>
          <w:spacing w:val="15"/>
          <w:sz w:val="25"/>
          <w:szCs w:val="25"/>
          <w:highlight w:val="none"/>
        </w:rPr>
      </w:pPr>
    </w:p>
    <w:p w14:paraId="280F3176">
      <w:pPr>
        <w:spacing w:before="81" w:line="222" w:lineRule="auto"/>
        <w:ind w:left="44"/>
        <w:rPr>
          <w:rFonts w:ascii="仿宋" w:hAnsi="仿宋" w:eastAsia="仿宋" w:cs="仿宋"/>
          <w:color w:val="auto"/>
          <w:spacing w:val="15"/>
          <w:sz w:val="25"/>
          <w:szCs w:val="25"/>
          <w:highlight w:val="none"/>
        </w:rPr>
      </w:pPr>
    </w:p>
    <w:p w14:paraId="25694625">
      <w:pPr>
        <w:spacing w:before="81" w:line="222" w:lineRule="auto"/>
        <w:ind w:left="44"/>
        <w:rPr>
          <w:rFonts w:ascii="仿宋" w:hAnsi="仿宋" w:eastAsia="仿宋" w:cs="仿宋"/>
          <w:color w:val="auto"/>
          <w:spacing w:val="15"/>
          <w:sz w:val="25"/>
          <w:szCs w:val="25"/>
          <w:highlight w:val="none"/>
        </w:rPr>
      </w:pPr>
    </w:p>
    <w:p w14:paraId="277169EC">
      <w:pPr>
        <w:spacing w:before="81" w:line="222" w:lineRule="auto"/>
        <w:ind w:left="44"/>
        <w:rPr>
          <w:rFonts w:ascii="仿宋" w:hAnsi="仿宋" w:eastAsia="仿宋" w:cs="仿宋"/>
          <w:color w:val="auto"/>
          <w:spacing w:val="15"/>
          <w:sz w:val="25"/>
          <w:szCs w:val="25"/>
          <w:highlight w:val="none"/>
        </w:rPr>
      </w:pPr>
    </w:p>
    <w:p w14:paraId="63EB671D">
      <w:pPr>
        <w:spacing w:before="81" w:line="222" w:lineRule="auto"/>
        <w:ind w:left="44"/>
        <w:rPr>
          <w:rFonts w:ascii="仿宋" w:hAnsi="仿宋" w:eastAsia="仿宋" w:cs="仿宋"/>
          <w:color w:val="auto"/>
          <w:spacing w:val="15"/>
          <w:sz w:val="25"/>
          <w:szCs w:val="25"/>
          <w:highlight w:val="none"/>
        </w:rPr>
      </w:pPr>
    </w:p>
    <w:p w14:paraId="217F7AF0">
      <w:pPr>
        <w:spacing w:before="81" w:line="222" w:lineRule="auto"/>
        <w:ind w:left="44"/>
        <w:rPr>
          <w:rFonts w:ascii="仿宋" w:hAnsi="仿宋" w:eastAsia="仿宋" w:cs="仿宋"/>
          <w:color w:val="auto"/>
          <w:spacing w:val="15"/>
          <w:sz w:val="25"/>
          <w:szCs w:val="25"/>
          <w:highlight w:val="none"/>
        </w:rPr>
      </w:pPr>
    </w:p>
    <w:p w14:paraId="1EE5EA09">
      <w:pPr>
        <w:spacing w:before="81" w:line="222" w:lineRule="auto"/>
        <w:ind w:left="44"/>
        <w:rPr>
          <w:rFonts w:ascii="仿宋" w:hAnsi="仿宋" w:eastAsia="仿宋" w:cs="仿宋"/>
          <w:color w:val="auto"/>
          <w:spacing w:val="15"/>
          <w:sz w:val="25"/>
          <w:szCs w:val="25"/>
          <w:highlight w:val="none"/>
        </w:rPr>
      </w:pPr>
    </w:p>
    <w:p w14:paraId="772A131B">
      <w:pPr>
        <w:spacing w:before="81" w:line="222" w:lineRule="auto"/>
        <w:ind w:left="44"/>
        <w:rPr>
          <w:rFonts w:ascii="仿宋" w:hAnsi="仿宋" w:eastAsia="仿宋" w:cs="仿宋"/>
          <w:color w:val="auto"/>
          <w:spacing w:val="15"/>
          <w:sz w:val="25"/>
          <w:szCs w:val="25"/>
          <w:highlight w:val="none"/>
        </w:rPr>
      </w:pPr>
    </w:p>
    <w:p w14:paraId="725D7624">
      <w:pPr>
        <w:spacing w:before="81" w:line="222" w:lineRule="auto"/>
        <w:ind w:left="44"/>
        <w:rPr>
          <w:rFonts w:ascii="仿宋" w:hAnsi="仿宋" w:eastAsia="仿宋" w:cs="仿宋"/>
          <w:color w:val="auto"/>
          <w:spacing w:val="15"/>
          <w:sz w:val="25"/>
          <w:szCs w:val="25"/>
          <w:highlight w:val="none"/>
        </w:rPr>
      </w:pPr>
    </w:p>
    <w:p w14:paraId="12405B8E">
      <w:pPr>
        <w:spacing w:before="81" w:line="222" w:lineRule="auto"/>
        <w:ind w:left="44"/>
        <w:rPr>
          <w:rFonts w:ascii="仿宋" w:hAnsi="仿宋" w:eastAsia="仿宋" w:cs="仿宋"/>
          <w:color w:val="auto"/>
          <w:spacing w:val="15"/>
          <w:sz w:val="25"/>
          <w:szCs w:val="25"/>
          <w:highlight w:val="none"/>
        </w:rPr>
      </w:pPr>
    </w:p>
    <w:p w14:paraId="3BAADED2">
      <w:pPr>
        <w:spacing w:before="81" w:line="222" w:lineRule="auto"/>
        <w:ind w:left="44"/>
        <w:rPr>
          <w:rFonts w:ascii="仿宋" w:hAnsi="仿宋" w:eastAsia="仿宋" w:cs="仿宋"/>
          <w:color w:val="auto"/>
          <w:spacing w:val="15"/>
          <w:sz w:val="25"/>
          <w:szCs w:val="25"/>
          <w:highlight w:val="none"/>
        </w:rPr>
      </w:pPr>
    </w:p>
    <w:p w14:paraId="427F221B">
      <w:pPr>
        <w:spacing w:before="81" w:line="222" w:lineRule="auto"/>
        <w:ind w:left="44"/>
        <w:rPr>
          <w:rFonts w:ascii="仿宋" w:hAnsi="仿宋" w:eastAsia="仿宋" w:cs="仿宋"/>
          <w:color w:val="auto"/>
          <w:spacing w:val="15"/>
          <w:sz w:val="25"/>
          <w:szCs w:val="25"/>
          <w:highlight w:val="none"/>
        </w:rPr>
      </w:pPr>
    </w:p>
    <w:p w14:paraId="7DA39C6B">
      <w:pPr>
        <w:spacing w:before="81" w:line="222" w:lineRule="auto"/>
        <w:ind w:left="44"/>
        <w:rPr>
          <w:rFonts w:ascii="仿宋" w:hAnsi="仿宋" w:eastAsia="仿宋" w:cs="仿宋"/>
          <w:color w:val="auto"/>
          <w:sz w:val="25"/>
          <w:szCs w:val="25"/>
          <w:highlight w:val="none"/>
        </w:rPr>
      </w:pPr>
      <w:r>
        <w:rPr>
          <w:rFonts w:ascii="仿宋" w:hAnsi="仿宋" w:eastAsia="仿宋" w:cs="仿宋"/>
          <w:color w:val="auto"/>
          <w:spacing w:val="15"/>
          <w:sz w:val="25"/>
          <w:szCs w:val="25"/>
          <w:highlight w:val="none"/>
        </w:rPr>
        <w:t>附件4:</w:t>
      </w:r>
    </w:p>
    <w:p w14:paraId="5C90D2ED">
      <w:pPr>
        <w:spacing w:before="148" w:line="221" w:lineRule="auto"/>
        <w:ind w:left="2365"/>
        <w:outlineLvl w:val="2"/>
        <w:rPr>
          <w:rFonts w:ascii="仿宋" w:hAnsi="仿宋" w:eastAsia="仿宋" w:cs="仿宋"/>
          <w:color w:val="auto"/>
          <w:sz w:val="32"/>
          <w:szCs w:val="32"/>
          <w:highlight w:val="none"/>
        </w:rPr>
      </w:pPr>
      <w:r>
        <w:rPr>
          <w:rFonts w:ascii="仿宋" w:hAnsi="仿宋" w:eastAsia="仿宋" w:cs="仿宋"/>
          <w:color w:val="auto"/>
          <w:spacing w:val="-2"/>
          <w:sz w:val="32"/>
          <w:szCs w:val="32"/>
          <w:highlight w:val="none"/>
        </w:rPr>
        <w:t>农民工工资支付保障承诺书</w:t>
      </w:r>
    </w:p>
    <w:p w14:paraId="7A011FE8">
      <w:pPr>
        <w:spacing w:before="197" w:line="222" w:lineRule="auto"/>
        <w:ind w:left="674"/>
        <w:rPr>
          <w:rFonts w:ascii="仿宋" w:hAnsi="仿宋" w:eastAsia="仿宋" w:cs="仿宋"/>
          <w:color w:val="auto"/>
          <w:spacing w:val="-39"/>
          <w:sz w:val="25"/>
          <w:szCs w:val="25"/>
          <w:highlight w:val="none"/>
        </w:rPr>
      </w:pPr>
    </w:p>
    <w:p w14:paraId="68CBAB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致：</w:t>
      </w:r>
      <w:r>
        <w:rPr>
          <w:rFonts w:hint="eastAsia" w:ascii="仿宋" w:hAnsi="仿宋" w:eastAsia="仿宋" w:cs="仿宋"/>
          <w:color w:val="auto"/>
          <w:sz w:val="24"/>
          <w:szCs w:val="24"/>
          <w:highlight w:val="none"/>
          <w:u w:val="single"/>
          <w:lang w:eastAsia="zh-CN"/>
        </w:rPr>
        <w:t>四川万尼腾建设工程有限公司</w:t>
      </w:r>
      <w:r>
        <w:rPr>
          <w:rFonts w:hint="eastAsia" w:ascii="仿宋" w:hAnsi="仿宋" w:eastAsia="仿宋" w:cs="仿宋"/>
          <w:color w:val="auto"/>
          <w:sz w:val="24"/>
          <w:szCs w:val="24"/>
          <w:highlight w:val="none"/>
          <w:u w:val="single"/>
          <w:lang w:val="en-US" w:eastAsia="zh-CN"/>
        </w:rPr>
        <w:t>：</w:t>
      </w:r>
    </w:p>
    <w:p w14:paraId="09C970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为切实维护保护农民工的合法权益，确保社会和企业稳定，不拖欠农民工工资，本公司郑重承诺：</w:t>
      </w:r>
    </w:p>
    <w:p w14:paraId="466A298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1、按照劳动保障法律法规规定使用农民工。</w:t>
      </w:r>
    </w:p>
    <w:p w14:paraId="278C2B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2、将公司自有资金以及本项目所有结算资金(包含应支付的进度款、工资 等)作为本项目农民工工资的资金来源，优先保证农民工工资及时、足额发放；</w:t>
      </w:r>
    </w:p>
    <w:p w14:paraId="0DFEEA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经我司签字盖章的工资表真实有效(包含但不限于表格形式、现场负责人和班组长签字认可、农民工本人签字、身份证号、身份证复印件、影像),不以虚列人员及工资等方式套取民工工资，不挪用本项目工程款；</w:t>
      </w:r>
    </w:p>
    <w:p w14:paraId="0813C49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4、如果发生违反规定拖欠或克扣农民工工资行为，造成农民工罢工、上访 和恶意讨薪事件发生的，贵部有权使用本公司所有应付资金进行处理，不足部分本公司愿意全额承担；同时，本公司愿意按照合同和相关法律法规约定，接受贵部以及人力资源社会保障、劳动监察等主管部门作出的处理和处罚决定。</w:t>
      </w:r>
    </w:p>
    <w:p w14:paraId="5C70B8DD">
      <w:pPr>
        <w:pStyle w:val="5"/>
        <w:spacing w:line="261" w:lineRule="auto"/>
        <w:rPr>
          <w:color w:val="auto"/>
          <w:highlight w:val="none"/>
        </w:rPr>
      </w:pPr>
    </w:p>
    <w:p w14:paraId="4BA27546">
      <w:pPr>
        <w:pStyle w:val="5"/>
        <w:spacing w:line="261" w:lineRule="auto"/>
        <w:rPr>
          <w:color w:val="auto"/>
          <w:highlight w:val="none"/>
        </w:rPr>
      </w:pPr>
    </w:p>
    <w:p w14:paraId="3E01E886">
      <w:pPr>
        <w:pStyle w:val="5"/>
        <w:spacing w:line="261" w:lineRule="auto"/>
        <w:rPr>
          <w:color w:val="auto"/>
          <w:highlight w:val="none"/>
        </w:rPr>
      </w:pPr>
    </w:p>
    <w:p w14:paraId="4CF98652">
      <w:pPr>
        <w:pStyle w:val="5"/>
        <w:spacing w:line="262" w:lineRule="auto"/>
        <w:rPr>
          <w:color w:val="auto"/>
          <w:highlight w:val="none"/>
        </w:rPr>
      </w:pPr>
    </w:p>
    <w:p w14:paraId="7A16A0CC">
      <w:pPr>
        <w:spacing w:before="81" w:line="221" w:lineRule="auto"/>
        <w:ind w:left="5494"/>
        <w:rPr>
          <w:rFonts w:hint="eastAsia" w:ascii="仿宋" w:hAnsi="仿宋" w:eastAsia="仿宋" w:cs="仿宋"/>
          <w:color w:val="auto"/>
          <w:sz w:val="25"/>
          <w:szCs w:val="25"/>
          <w:highlight w:val="none"/>
          <w:lang w:eastAsia="zh-CN"/>
        </w:rPr>
      </w:pPr>
      <w:r>
        <w:rPr>
          <w:rFonts w:ascii="仿宋" w:hAnsi="仿宋" w:eastAsia="仿宋" w:cs="仿宋"/>
          <w:color w:val="auto"/>
          <w:spacing w:val="21"/>
          <w:sz w:val="25"/>
          <w:szCs w:val="25"/>
          <w:highlight w:val="none"/>
        </w:rPr>
        <w:t>承诺单位</w:t>
      </w:r>
      <w:r>
        <w:rPr>
          <w:rFonts w:hint="eastAsia" w:ascii="仿宋" w:hAnsi="仿宋" w:eastAsia="仿宋" w:cs="仿宋"/>
          <w:color w:val="auto"/>
          <w:spacing w:val="21"/>
          <w:sz w:val="25"/>
          <w:szCs w:val="25"/>
          <w:highlight w:val="none"/>
          <w:lang w:eastAsia="zh-CN"/>
        </w:rPr>
        <w:t>：</w:t>
      </w:r>
    </w:p>
    <w:p w14:paraId="2DC91C05">
      <w:pPr>
        <w:spacing w:before="174" w:line="223" w:lineRule="auto"/>
        <w:ind w:left="5494"/>
        <w:rPr>
          <w:rFonts w:hint="eastAsia" w:ascii="仿宋" w:hAnsi="仿宋" w:eastAsia="仿宋" w:cs="仿宋"/>
          <w:color w:val="auto"/>
          <w:sz w:val="25"/>
          <w:szCs w:val="25"/>
          <w:highlight w:val="none"/>
          <w:lang w:eastAsia="zh-CN"/>
        </w:rPr>
      </w:pPr>
      <w:r>
        <w:rPr>
          <w:rFonts w:ascii="仿宋" w:hAnsi="仿宋" w:eastAsia="仿宋" w:cs="仿宋"/>
          <w:color w:val="auto"/>
          <w:spacing w:val="22"/>
          <w:sz w:val="25"/>
          <w:szCs w:val="25"/>
          <w:highlight w:val="none"/>
        </w:rPr>
        <w:t>法定代表</w:t>
      </w:r>
      <w:r>
        <w:rPr>
          <w:rFonts w:hint="eastAsia" w:ascii="仿宋" w:hAnsi="仿宋" w:eastAsia="仿宋" w:cs="仿宋"/>
          <w:color w:val="auto"/>
          <w:spacing w:val="22"/>
          <w:sz w:val="25"/>
          <w:szCs w:val="25"/>
          <w:highlight w:val="none"/>
          <w:lang w:eastAsia="zh-CN"/>
        </w:rPr>
        <w:t>：</w:t>
      </w:r>
    </w:p>
    <w:p w14:paraId="66B0F993">
      <w:pPr>
        <w:spacing w:before="207" w:line="223" w:lineRule="auto"/>
        <w:ind w:firstLine="4720" w:firstLineChars="2000"/>
        <w:rPr>
          <w:rFonts w:hint="eastAsia" w:ascii="仿宋" w:hAnsi="仿宋" w:eastAsia="仿宋" w:cs="仿宋"/>
          <w:color w:val="auto"/>
          <w:spacing w:val="8"/>
          <w:sz w:val="22"/>
          <w:szCs w:val="22"/>
          <w:highlight w:val="none"/>
          <w:lang w:val="en-US" w:eastAsia="zh-CN"/>
        </w:rPr>
      </w:pPr>
      <w:r>
        <w:rPr>
          <w:rFonts w:ascii="仿宋" w:hAnsi="仿宋" w:eastAsia="仿宋" w:cs="仿宋"/>
          <w:color w:val="auto"/>
          <w:spacing w:val="8"/>
          <w:sz w:val="22"/>
          <w:szCs w:val="22"/>
          <w:highlight w:val="none"/>
        </w:rPr>
        <w:t>时间</w:t>
      </w:r>
      <w:r>
        <w:rPr>
          <w:rFonts w:hint="eastAsia" w:ascii="仿宋" w:hAnsi="仿宋" w:eastAsia="仿宋" w:cs="仿宋"/>
          <w:color w:val="auto"/>
          <w:spacing w:val="8"/>
          <w:sz w:val="22"/>
          <w:szCs w:val="22"/>
          <w:highlight w:val="none"/>
          <w:lang w:eastAsia="zh-CN"/>
        </w:rPr>
        <w:t>：</w:t>
      </w:r>
      <w:r>
        <w:rPr>
          <w:rFonts w:hint="eastAsia" w:ascii="仿宋" w:hAnsi="仿宋" w:eastAsia="仿宋" w:cs="仿宋"/>
          <w:color w:val="auto"/>
          <w:spacing w:val="8"/>
          <w:sz w:val="22"/>
          <w:szCs w:val="22"/>
          <w:highlight w:val="none"/>
          <w:lang w:val="en-US" w:eastAsia="zh-CN"/>
        </w:rPr>
        <w:t xml:space="preserve"> 2026  年  1 月 12 日</w:t>
      </w:r>
    </w:p>
    <w:p w14:paraId="5649D776">
      <w:pPr>
        <w:bidi w:val="0"/>
        <w:rPr>
          <w:rFonts w:ascii="Arial" w:hAnsi="Arial" w:eastAsia="Arial" w:cs="Arial"/>
          <w:snapToGrid w:val="0"/>
          <w:color w:val="auto"/>
          <w:kern w:val="0"/>
          <w:sz w:val="21"/>
          <w:szCs w:val="21"/>
          <w:highlight w:val="none"/>
          <w:lang w:val="en-US" w:eastAsia="en-US" w:bidi="ar-SA"/>
        </w:rPr>
      </w:pPr>
    </w:p>
    <w:p w14:paraId="71AD90B9">
      <w:pPr>
        <w:bidi w:val="0"/>
        <w:rPr>
          <w:color w:val="auto"/>
          <w:highlight w:val="none"/>
          <w:lang w:val="en-US" w:eastAsia="en-US"/>
        </w:rPr>
      </w:pPr>
    </w:p>
    <w:p w14:paraId="7E018292">
      <w:pPr>
        <w:bidi w:val="0"/>
        <w:rPr>
          <w:color w:val="auto"/>
          <w:highlight w:val="none"/>
          <w:lang w:val="en-US" w:eastAsia="en-US"/>
        </w:rPr>
      </w:pPr>
    </w:p>
    <w:p w14:paraId="04883636">
      <w:pPr>
        <w:bidi w:val="0"/>
        <w:rPr>
          <w:color w:val="auto"/>
          <w:highlight w:val="none"/>
          <w:lang w:val="en-US" w:eastAsia="en-US"/>
        </w:rPr>
      </w:pPr>
    </w:p>
    <w:p w14:paraId="6D70616F">
      <w:pPr>
        <w:bidi w:val="0"/>
        <w:rPr>
          <w:color w:val="auto"/>
          <w:highlight w:val="none"/>
          <w:lang w:val="en-US" w:eastAsia="en-US"/>
        </w:rPr>
      </w:pPr>
    </w:p>
    <w:p w14:paraId="75E75C89">
      <w:pPr>
        <w:bidi w:val="0"/>
        <w:rPr>
          <w:color w:val="auto"/>
          <w:highlight w:val="none"/>
          <w:lang w:val="en-US" w:eastAsia="en-US"/>
        </w:rPr>
      </w:pPr>
    </w:p>
    <w:p w14:paraId="7F55C79D">
      <w:pPr>
        <w:bidi w:val="0"/>
        <w:rPr>
          <w:color w:val="auto"/>
          <w:highlight w:val="none"/>
          <w:lang w:val="en-US" w:eastAsia="en-US"/>
        </w:rPr>
      </w:pPr>
    </w:p>
    <w:p w14:paraId="0A7FC40D">
      <w:pPr>
        <w:bidi w:val="0"/>
        <w:rPr>
          <w:color w:val="auto"/>
          <w:highlight w:val="none"/>
          <w:lang w:val="en-US" w:eastAsia="en-US"/>
        </w:rPr>
      </w:pPr>
    </w:p>
    <w:p w14:paraId="592EBF3D">
      <w:pPr>
        <w:bidi w:val="0"/>
        <w:rPr>
          <w:color w:val="auto"/>
          <w:highlight w:val="none"/>
          <w:lang w:val="en-US" w:eastAsia="en-US"/>
        </w:rPr>
      </w:pPr>
    </w:p>
    <w:p w14:paraId="31E939E3">
      <w:pPr>
        <w:bidi w:val="0"/>
        <w:rPr>
          <w:color w:val="auto"/>
          <w:highlight w:val="none"/>
          <w:lang w:val="en-US" w:eastAsia="en-US"/>
        </w:rPr>
      </w:pPr>
    </w:p>
    <w:p w14:paraId="46F3C291">
      <w:pPr>
        <w:bidi w:val="0"/>
        <w:rPr>
          <w:color w:val="auto"/>
          <w:highlight w:val="none"/>
          <w:lang w:val="en-US" w:eastAsia="en-US"/>
        </w:rPr>
      </w:pPr>
    </w:p>
    <w:p w14:paraId="2362C3EE">
      <w:pPr>
        <w:bidi w:val="0"/>
        <w:rPr>
          <w:color w:val="auto"/>
          <w:highlight w:val="none"/>
          <w:lang w:val="en-US" w:eastAsia="en-US"/>
        </w:rPr>
      </w:pPr>
    </w:p>
    <w:p w14:paraId="6F36C455">
      <w:pPr>
        <w:bidi w:val="0"/>
        <w:jc w:val="left"/>
        <w:rPr>
          <w:color w:val="auto"/>
          <w:highlight w:val="none"/>
          <w:lang w:val="en-US" w:eastAsia="en-US"/>
        </w:rPr>
      </w:pPr>
    </w:p>
    <w:p w14:paraId="1AC0E7EB">
      <w:pPr>
        <w:spacing w:before="81" w:line="222" w:lineRule="auto"/>
        <w:ind w:left="44"/>
        <w:rPr>
          <w:rFonts w:hint="eastAsia" w:ascii="仿宋" w:hAnsi="仿宋" w:eastAsia="仿宋" w:cs="仿宋"/>
          <w:color w:val="auto"/>
          <w:spacing w:val="15"/>
          <w:sz w:val="25"/>
          <w:szCs w:val="25"/>
          <w:highlight w:val="none"/>
          <w:lang w:val="en-US" w:eastAsia="zh-CN"/>
        </w:rPr>
      </w:pPr>
      <w:bookmarkStart w:id="46" w:name="_Toc693"/>
    </w:p>
    <w:p w14:paraId="150BCB48">
      <w:pPr>
        <w:spacing w:before="81" w:line="222" w:lineRule="auto"/>
        <w:rPr>
          <w:rFonts w:hint="eastAsia" w:ascii="仿宋" w:hAnsi="仿宋" w:eastAsia="仿宋" w:cs="仿宋"/>
          <w:color w:val="auto"/>
          <w:spacing w:val="15"/>
          <w:sz w:val="25"/>
          <w:szCs w:val="25"/>
          <w:highlight w:val="none"/>
          <w:lang w:val="en-US" w:eastAsia="zh-CN"/>
        </w:rPr>
      </w:pPr>
    </w:p>
    <w:p w14:paraId="7875B81E">
      <w:pPr>
        <w:spacing w:before="81" w:line="222" w:lineRule="auto"/>
        <w:ind w:left="44"/>
        <w:rPr>
          <w:rFonts w:hint="default" w:ascii="仿宋" w:hAnsi="仿宋" w:eastAsia="仿宋" w:cs="仿宋"/>
          <w:color w:val="auto"/>
          <w:spacing w:val="15"/>
          <w:sz w:val="25"/>
          <w:szCs w:val="25"/>
          <w:highlight w:val="none"/>
          <w:lang w:val="en-US" w:eastAsia="zh-CN"/>
        </w:rPr>
      </w:pPr>
      <w:r>
        <w:rPr>
          <w:rFonts w:hint="eastAsia" w:ascii="仿宋" w:hAnsi="仿宋" w:eastAsia="仿宋" w:cs="仿宋"/>
          <w:color w:val="auto"/>
          <w:spacing w:val="15"/>
          <w:sz w:val="25"/>
          <w:szCs w:val="25"/>
          <w:highlight w:val="none"/>
          <w:lang w:val="en-US" w:eastAsia="zh-CN"/>
        </w:rPr>
        <w:t>附件5  法人授权书</w:t>
      </w:r>
      <w:bookmarkEnd w:id="46"/>
    </w:p>
    <w:p w14:paraId="7F445E7A">
      <w:pPr>
        <w:pStyle w:val="2"/>
        <w:spacing w:before="360" w:after="360"/>
        <w:jc w:val="center"/>
        <w:outlineLvl w:val="0"/>
        <w:rPr>
          <w:rFonts w:hint="eastAsia" w:eastAsia="仿宋"/>
          <w:color w:val="auto"/>
          <w:sz w:val="32"/>
          <w:szCs w:val="22"/>
          <w:highlight w:val="none"/>
        </w:rPr>
      </w:pPr>
      <w:bookmarkStart w:id="47" w:name="_Toc7837"/>
      <w:r>
        <w:rPr>
          <w:rFonts w:hint="default" w:ascii="Cambria" w:hAnsi="Cambria" w:eastAsia="仿宋"/>
          <w:color w:val="auto"/>
          <w:sz w:val="32"/>
          <w:szCs w:val="22"/>
          <w:highlight w:val="none"/>
        </w:rPr>
        <w:t>授权委托书</w:t>
      </w:r>
      <w:bookmarkEnd w:id="47"/>
    </w:p>
    <w:p w14:paraId="2D5C860F">
      <w:pPr>
        <w:adjustRightInd w:val="0"/>
        <w:snapToGrid w:val="0"/>
        <w:spacing w:line="360" w:lineRule="auto"/>
        <w:ind w:right="0" w:right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四川万尼腾建设工程有限公司</w:t>
      </w:r>
      <w:r>
        <w:rPr>
          <w:rFonts w:hint="eastAsia" w:ascii="仿宋" w:hAnsi="仿宋" w:eastAsia="仿宋" w:cs="仿宋"/>
          <w:color w:val="auto"/>
          <w:sz w:val="24"/>
          <w:highlight w:val="none"/>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现委托人委托受托人：</w:t>
      </w:r>
      <w:r>
        <w:rPr>
          <w:rFonts w:hint="eastAsia" w:ascii="仿宋" w:hAnsi="仿宋" w:eastAsia="仿宋" w:cs="仿宋"/>
          <w:sz w:val="24"/>
          <w:u w:val="single"/>
          <w:lang w:val="en-US" w:eastAsia="zh-CN"/>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身份证号码</w:t>
      </w:r>
      <w:r>
        <w:rPr>
          <w:rFonts w:hint="eastAsia" w:ascii="仿宋" w:hAnsi="仿宋" w:eastAsia="仿宋" w:cs="仿宋"/>
          <w:sz w:val="24"/>
          <w:u w:val="singl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sz w:val="24"/>
          <w:u w:val="single"/>
          <w:lang w:val="en-US" w:eastAsia="zh-CN"/>
        </w:rPr>
        <w:t>）</w:t>
      </w:r>
      <w:r>
        <w:rPr>
          <w:rFonts w:hint="eastAsia" w:ascii="仿宋" w:hAnsi="仿宋" w:eastAsia="仿宋" w:cs="仿宋"/>
          <w:sz w:val="24"/>
          <w:lang w:val="en-US" w:eastAsia="zh-CN"/>
        </w:rPr>
        <w:t xml:space="preserve"> </w:t>
      </w:r>
      <w:r>
        <w:rPr>
          <w:rFonts w:hint="eastAsia" w:ascii="仿宋" w:hAnsi="仿宋" w:eastAsia="仿宋" w:cs="仿宋"/>
          <w:sz w:val="24"/>
        </w:rPr>
        <w:t>代理</w:t>
      </w:r>
      <w:r>
        <w:rPr>
          <w:rFonts w:hint="eastAsia" w:ascii="仿宋" w:hAnsi="仿宋" w:eastAsia="仿宋" w:cs="仿宋"/>
          <w:sz w:val="24"/>
          <w:lang w:eastAsia="zh-CN"/>
        </w:rPr>
        <w:t>、</w:t>
      </w:r>
      <w:r>
        <w:rPr>
          <w:rFonts w:hint="eastAsia" w:ascii="仿宋" w:hAnsi="仿宋" w:eastAsia="仿宋" w:cs="仿宋"/>
          <w:sz w:val="24"/>
          <w:lang w:val="en-US" w:eastAsia="zh-CN"/>
        </w:rPr>
        <w:t>代表委托人全权决策、处理、执行、履行</w:t>
      </w:r>
      <w:r>
        <w:rPr>
          <w:rFonts w:hint="eastAsia" w:ascii="仿宋" w:hAnsi="仿宋" w:eastAsia="仿宋" w:cs="仿宋"/>
          <w:sz w:val="24"/>
          <w:u w:val="none"/>
          <w:lang w:val="en-US" w:eastAsia="zh-CN"/>
        </w:rPr>
        <w:t>与贵公司所签订的《</w:t>
      </w:r>
      <w:r>
        <w:rPr>
          <w:rFonts w:hint="eastAsia" w:ascii="仿宋" w:hAnsi="仿宋" w:eastAsia="仿宋" w:cs="仿宋"/>
          <w:b/>
          <w:bCs/>
          <w:color w:val="auto"/>
          <w:sz w:val="24"/>
          <w:szCs w:val="24"/>
          <w:highlight w:val="none"/>
          <w:u w:val="single"/>
          <w:lang w:eastAsia="zh-CN"/>
        </w:rPr>
        <w:t>会理市绿色农汽联创园建设项目</w:t>
      </w:r>
      <w:r>
        <w:rPr>
          <w:rFonts w:hint="eastAsia" w:ascii="仿宋" w:hAnsi="仿宋" w:eastAsia="仿宋" w:cs="仿宋"/>
          <w:b/>
          <w:bCs/>
          <w:color w:val="auto"/>
          <w:sz w:val="24"/>
          <w:szCs w:val="24"/>
          <w:highlight w:val="none"/>
          <w:u w:val="single"/>
        </w:rPr>
        <w:t>主体工程劳务分包</w:t>
      </w:r>
      <w:r>
        <w:rPr>
          <w:rFonts w:hint="eastAsia" w:ascii="仿宋" w:hAnsi="仿宋" w:eastAsia="仿宋" w:cs="仿宋"/>
          <w:sz w:val="24"/>
          <w:u w:val="none"/>
          <w:lang w:val="en-US" w:eastAsia="zh-CN"/>
        </w:rPr>
        <w:t>》合同（以下简称上述合同）的全部事宜及上述合同项目现场管理全部</w:t>
      </w:r>
      <w:r>
        <w:rPr>
          <w:rFonts w:hint="eastAsia" w:ascii="仿宋" w:hAnsi="仿宋" w:eastAsia="仿宋" w:cs="仿宋"/>
          <w:sz w:val="24"/>
        </w:rPr>
        <w:t>事宜</w:t>
      </w:r>
      <w:r>
        <w:rPr>
          <w:rFonts w:hint="eastAsia" w:ascii="仿宋" w:hAnsi="仿宋" w:eastAsia="仿宋" w:cs="仿宋"/>
          <w:sz w:val="24"/>
          <w:lang w:eastAsia="zh-CN"/>
        </w:rPr>
        <w:t>；</w:t>
      </w:r>
      <w:r>
        <w:rPr>
          <w:rFonts w:hint="eastAsia" w:ascii="仿宋" w:hAnsi="仿宋" w:eastAsia="仿宋" w:cs="仿宋"/>
          <w:sz w:val="24"/>
          <w:lang w:val="en-US" w:eastAsia="zh-CN"/>
        </w:rPr>
        <w:t>受托人对上述合同的履行及项目现场管理进行全权决策、执行，</w:t>
      </w:r>
      <w:r>
        <w:rPr>
          <w:rFonts w:hint="default" w:ascii="仿宋" w:hAnsi="仿宋" w:eastAsia="仿宋" w:cs="仿宋"/>
          <w:sz w:val="24"/>
          <w:lang w:val="en-US" w:eastAsia="zh-CN"/>
        </w:rPr>
        <w:t>对</w:t>
      </w:r>
      <w:r>
        <w:rPr>
          <w:rFonts w:hint="eastAsia" w:ascii="仿宋" w:hAnsi="仿宋" w:eastAsia="仿宋" w:cs="仿宋"/>
          <w:sz w:val="24"/>
          <w:lang w:val="en-US" w:eastAsia="zh-CN"/>
        </w:rPr>
        <w:t>项目</w:t>
      </w:r>
      <w:r>
        <w:rPr>
          <w:rFonts w:hint="default" w:ascii="仿宋" w:hAnsi="仿宋" w:eastAsia="仿宋" w:cs="仿宋"/>
          <w:sz w:val="24"/>
          <w:lang w:val="en-US" w:eastAsia="zh-CN"/>
        </w:rPr>
        <w:t>工程质量、安全、进度、成本</w:t>
      </w:r>
      <w:r>
        <w:rPr>
          <w:rFonts w:hint="eastAsia" w:ascii="仿宋" w:hAnsi="仿宋" w:eastAsia="仿宋" w:cs="仿宋"/>
          <w:sz w:val="24"/>
          <w:lang w:val="en-US" w:eastAsia="zh-CN"/>
        </w:rPr>
        <w:t>、签证及价款结算等全面负责；受托人所签署的相关文件、签证、结算、合同、协议等委托人均予以认可。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textAlignment w:val="auto"/>
        <w:rPr>
          <w:rFonts w:hint="default" w:ascii="仿宋" w:hAnsi="仿宋" w:eastAsia="仿宋" w:cs="仿宋"/>
          <w:b/>
          <w:bCs/>
          <w:sz w:val="24"/>
          <w:lang w:val="en-US" w:eastAsia="zh-CN"/>
        </w:rPr>
      </w:pPr>
      <w:r>
        <w:rPr>
          <w:rFonts w:hint="eastAsia" w:ascii="仿宋" w:hAnsi="仿宋" w:eastAsia="仿宋" w:cs="仿宋"/>
          <w:b/>
          <w:bCs/>
          <w:sz w:val="24"/>
          <w:lang w:val="en-US" w:eastAsia="zh-CN"/>
        </w:rPr>
        <w:t>具体委托事项及范围：</w:t>
      </w:r>
    </w:p>
    <w:p w14:paraId="066C0428">
      <w:pPr>
        <w:pageBreakBefore w:val="0"/>
        <w:widowControl w:val="0"/>
        <w:numPr>
          <w:ilvl w:val="0"/>
          <w:numId w:val="4"/>
        </w:numPr>
        <w:kinsoku/>
        <w:wordWrap/>
        <w:overflowPunct/>
        <w:topLinePunct w:val="0"/>
        <w:autoSpaceDE/>
        <w:autoSpaceDN/>
        <w:bidi w:val="0"/>
        <w:adjustRightInd w:val="0"/>
        <w:snapToGrid w:val="0"/>
        <w:spacing w:line="420" w:lineRule="exact"/>
        <w:ind w:left="549" w:leftChars="0" w:firstLine="0" w:firstLineChars="0"/>
        <w:textAlignment w:val="auto"/>
        <w:rPr>
          <w:rFonts w:hint="default" w:ascii="仿宋" w:hAnsi="仿宋" w:eastAsia="仿宋" w:cs="仿宋"/>
          <w:sz w:val="24"/>
          <w:lang w:val="en-US" w:eastAsia="zh-CN"/>
        </w:rPr>
      </w:pPr>
      <w:r>
        <w:rPr>
          <w:rFonts w:hint="default" w:ascii="仿宋" w:hAnsi="仿宋" w:eastAsia="仿宋" w:cs="仿宋"/>
          <w:sz w:val="24"/>
          <w:lang w:val="en-US" w:eastAsia="zh-CN"/>
        </w:rPr>
        <w:t>施工组织实施：全面负责现场人、机、料、</w:t>
      </w:r>
      <w:r>
        <w:rPr>
          <w:rFonts w:hint="eastAsia" w:ascii="仿宋" w:hAnsi="仿宋" w:eastAsia="仿宋" w:cs="仿宋"/>
          <w:sz w:val="24"/>
          <w:lang w:val="en-US" w:eastAsia="zh-CN"/>
        </w:rPr>
        <w:t>资金</w:t>
      </w:r>
      <w:r>
        <w:rPr>
          <w:rFonts w:hint="default" w:ascii="仿宋" w:hAnsi="仿宋" w:eastAsia="仿宋" w:cs="仿宋"/>
          <w:sz w:val="24"/>
          <w:lang w:val="en-US" w:eastAsia="zh-CN"/>
        </w:rPr>
        <w:t>、环</w:t>
      </w:r>
      <w:r>
        <w:rPr>
          <w:rFonts w:hint="eastAsia" w:ascii="仿宋" w:hAnsi="仿宋" w:eastAsia="仿宋" w:cs="仿宋"/>
          <w:sz w:val="24"/>
          <w:lang w:val="en-US" w:eastAsia="zh-CN"/>
        </w:rPr>
        <w:t>保</w:t>
      </w:r>
      <w:r>
        <w:rPr>
          <w:rFonts w:hint="default" w:ascii="仿宋" w:hAnsi="仿宋" w:eastAsia="仿宋" w:cs="仿宋"/>
          <w:sz w:val="24"/>
          <w:lang w:val="en-US" w:eastAsia="zh-CN"/>
        </w:rPr>
        <w:t>的组织与管理，确保按图施工、符合规范。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2. 质量安全第一责任：落实质量安全保障措施，处理质量安全事故。</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3. 技术管理：组织施工方案交底、技术复核、工序验收等。</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4. 进度与成本控制：编制施工计划，控制材料消耗和人工成本。</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5. 日常协调：与总包、监理、其他分包单位进行日常技术、工作协调。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6. </w:t>
      </w:r>
      <w:r>
        <w:rPr>
          <w:rFonts w:hint="eastAsia" w:ascii="仿宋" w:hAnsi="仿宋" w:eastAsia="仿宋" w:cs="仿宋"/>
          <w:sz w:val="24"/>
          <w:lang w:val="en-US" w:eastAsia="zh-CN"/>
        </w:rPr>
        <w:t>合同、协议及</w:t>
      </w:r>
      <w:r>
        <w:rPr>
          <w:rFonts w:hint="default" w:ascii="仿宋" w:hAnsi="仿宋" w:eastAsia="仿宋" w:cs="仿宋"/>
          <w:sz w:val="24"/>
          <w:lang w:val="en-US" w:eastAsia="zh-CN"/>
        </w:rPr>
        <w:t>文件签署：签署施工日志、工序报验、材料进场验收、一般工程联系单等技术性、执行性文件</w:t>
      </w:r>
      <w:r>
        <w:rPr>
          <w:rFonts w:hint="eastAsia" w:ascii="仿宋" w:hAnsi="仿宋" w:eastAsia="仿宋" w:cs="仿宋"/>
          <w:sz w:val="24"/>
          <w:lang w:val="en-US" w:eastAsia="zh-CN"/>
        </w:rPr>
        <w:t>，前述相关合同、协议、变更文件、签证文件及结算文件等</w:t>
      </w:r>
      <w:r>
        <w:rPr>
          <w:rFonts w:hint="default" w:ascii="仿宋" w:hAnsi="仿宋" w:eastAsia="仿宋" w:cs="仿宋"/>
          <w:sz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7.</w:t>
      </w:r>
      <w:r>
        <w:rPr>
          <w:rFonts w:hint="default" w:ascii="仿宋" w:hAnsi="仿宋" w:eastAsia="仿宋" w:cs="仿宋"/>
          <w:sz w:val="24"/>
          <w:lang w:val="en-US" w:eastAsia="zh-CN"/>
        </w:rPr>
        <w:t> 重大决策</w:t>
      </w:r>
      <w:r>
        <w:rPr>
          <w:rFonts w:hint="eastAsia" w:ascii="仿宋" w:hAnsi="仿宋" w:eastAsia="仿宋" w:cs="仿宋"/>
          <w:sz w:val="24"/>
          <w:lang w:val="en-US" w:eastAsia="zh-CN"/>
        </w:rPr>
        <w:t>与</w:t>
      </w:r>
      <w:r>
        <w:rPr>
          <w:rFonts w:hint="default" w:ascii="仿宋" w:hAnsi="仿宋" w:eastAsia="仿宋" w:cs="仿宋"/>
          <w:sz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8.</w:t>
      </w:r>
      <w:r>
        <w:rPr>
          <w:rFonts w:hint="default" w:ascii="仿宋" w:hAnsi="仿宋" w:eastAsia="仿宋" w:cs="仿宋"/>
          <w:sz w:val="24"/>
          <w:lang w:val="en-US" w:eastAsia="zh-CN"/>
        </w:rPr>
        <w:t> 争议解决代表：代表公司参与正式的谈判、调解、仲裁或诉讼活动。</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sz w:val="24"/>
          <w:lang w:eastAsia="zh-CN"/>
        </w:rPr>
      </w:pPr>
      <w:r>
        <w:rPr>
          <w:rFonts w:hint="eastAsia" w:ascii="仿宋" w:hAnsi="仿宋" w:eastAsia="仿宋" w:cs="仿宋"/>
          <w:b/>
          <w:bCs/>
          <w:sz w:val="24"/>
          <w:lang w:val="en-US" w:eastAsia="zh-CN"/>
        </w:rPr>
        <w:t>委托</w:t>
      </w:r>
      <w:r>
        <w:rPr>
          <w:rFonts w:hint="eastAsia" w:ascii="仿宋" w:hAnsi="仿宋" w:eastAsia="仿宋" w:cs="仿宋"/>
          <w:b/>
          <w:bCs/>
          <w:sz w:val="24"/>
        </w:rPr>
        <w:t>期限：</w:t>
      </w:r>
      <w:r>
        <w:rPr>
          <w:rFonts w:hint="eastAsia" w:ascii="仿宋" w:hAnsi="仿宋" w:eastAsia="仿宋" w:cs="仿宋"/>
          <w:sz w:val="24"/>
          <w:lang w:val="en-US" w:eastAsia="zh-CN"/>
        </w:rPr>
        <w:t>自本委托书出具之日起</w:t>
      </w:r>
      <w:r>
        <w:rPr>
          <w:rFonts w:hint="eastAsia" w:ascii="仿宋" w:hAnsi="仿宋" w:eastAsia="仿宋" w:cs="仿宋"/>
          <w:sz w:val="24"/>
        </w:rPr>
        <w:t>至</w:t>
      </w:r>
      <w:r>
        <w:rPr>
          <w:rFonts w:hint="eastAsia" w:ascii="仿宋" w:hAnsi="仿宋" w:eastAsia="仿宋" w:cs="仿宋"/>
          <w:sz w:val="24"/>
          <w:lang w:val="en-US" w:eastAsia="zh-CN"/>
        </w:rPr>
        <w:t>上述合同履行完毕、</w:t>
      </w:r>
      <w:r>
        <w:rPr>
          <w:rFonts w:hint="eastAsia" w:ascii="仿宋" w:hAnsi="仿宋" w:eastAsia="仿宋" w:cs="仿宋"/>
          <w:sz w:val="24"/>
        </w:rPr>
        <w:t>工程</w:t>
      </w:r>
      <w:r>
        <w:rPr>
          <w:rFonts w:hint="eastAsia" w:ascii="仿宋" w:hAnsi="仿宋" w:eastAsia="仿宋" w:cs="仿宋"/>
          <w:sz w:val="24"/>
          <w:lang w:val="en-US" w:eastAsia="zh-CN"/>
        </w:rPr>
        <w:t>竣工验收合格，且</w:t>
      </w:r>
      <w:r>
        <w:rPr>
          <w:rFonts w:hint="eastAsia" w:ascii="仿宋" w:hAnsi="仿宋" w:eastAsia="仿宋" w:cs="仿宋"/>
          <w:sz w:val="24"/>
        </w:rPr>
        <w:t>双方权利义务关系清结之日</w:t>
      </w:r>
      <w:r>
        <w:rPr>
          <w:rFonts w:hint="eastAsia" w:ascii="仿宋" w:hAnsi="仿宋" w:eastAsia="仿宋" w:cs="仿宋"/>
          <w:sz w:val="24"/>
          <w:lang w:val="en-US" w:eastAsia="zh-CN"/>
        </w:rPr>
        <w:t>止</w:t>
      </w:r>
      <w:r>
        <w:rPr>
          <w:rFonts w:hint="eastAsia" w:ascii="仿宋" w:hAnsi="仿宋" w:eastAsia="仿宋" w:cs="仿宋"/>
          <w:sz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lang w:eastAsia="zh-CN"/>
        </w:rPr>
      </w:pPr>
      <w:r>
        <w:rPr>
          <w:rFonts w:hint="eastAsia" w:ascii="仿宋" w:hAnsi="仿宋" w:eastAsia="仿宋" w:cs="仿宋"/>
          <w:b/>
          <w:bCs/>
          <w:sz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lang w:val="en-US" w:eastAsia="zh-CN"/>
        </w:rPr>
        <w:t>受托</w:t>
      </w:r>
      <w:r>
        <w:rPr>
          <w:rFonts w:hint="eastAsia" w:ascii="仿宋" w:hAnsi="仿宋" w:eastAsia="仿宋" w:cs="仿宋"/>
          <w:b/>
          <w:bCs/>
          <w:sz w:val="24"/>
          <w:lang w:eastAsia="zh-CN"/>
        </w:rPr>
        <w:t>人</w:t>
      </w:r>
      <w:r>
        <w:rPr>
          <w:rFonts w:hint="eastAsia" w:ascii="仿宋" w:hAnsi="仿宋" w:eastAsia="仿宋" w:cs="仿宋"/>
          <w:b/>
          <w:bCs/>
          <w:sz w:val="24"/>
        </w:rPr>
        <w:t>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rPr>
      </w:pPr>
      <w:r>
        <w:rPr>
          <w:rFonts w:hint="eastAsia" w:ascii="仿宋" w:hAnsi="仿宋" w:eastAsia="仿宋" w:cs="仿宋"/>
          <w:sz w:val="24"/>
          <w:lang w:val="en-US" w:eastAsia="zh-CN"/>
        </w:rPr>
        <w:t>委托</w:t>
      </w:r>
      <w:r>
        <w:rPr>
          <w:rFonts w:hint="eastAsia" w:ascii="仿宋" w:hAnsi="仿宋" w:eastAsia="仿宋" w:cs="仿宋"/>
          <w:sz w:val="24"/>
        </w:rPr>
        <w:t>单位</w:t>
      </w:r>
      <w:r>
        <w:rPr>
          <w:rFonts w:hint="eastAsia" w:ascii="仿宋" w:hAnsi="仿宋" w:eastAsia="仿宋" w:cs="仿宋"/>
          <w:sz w:val="24"/>
          <w:lang w:eastAsia="zh-CN"/>
        </w:rPr>
        <w:t>（</w:t>
      </w:r>
      <w:r>
        <w:rPr>
          <w:rFonts w:hint="eastAsia" w:ascii="仿宋" w:hAnsi="仿宋" w:eastAsia="仿宋" w:cs="仿宋"/>
          <w:sz w:val="24"/>
          <w:lang w:val="en-US" w:eastAsia="zh-CN"/>
        </w:rPr>
        <w:t>委托人</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r>
        <w:rPr>
          <w:rFonts w:hint="eastAsia" w:ascii="仿宋" w:hAnsi="仿宋" w:eastAsia="仿宋" w:cs="仿宋"/>
          <w:color w:val="auto"/>
          <w:sz w:val="24"/>
          <w:highlight w:val="none"/>
          <w:u w:val="single"/>
          <w:lang w:val="en-US" w:eastAsia="zh-CN"/>
        </w:rPr>
        <w:t>****</w:t>
      </w:r>
      <w:r>
        <w:rPr>
          <w:rFonts w:hint="eastAsia" w:ascii="仿宋" w:hAnsi="仿宋" w:eastAsia="仿宋" w:cs="仿宋"/>
          <w:sz w:val="24"/>
          <w:u w:val="single"/>
          <w:lang w:val="en-US" w:eastAsia="zh-CN"/>
        </w:rPr>
        <w:t xml:space="preserve"> </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val="en-US" w:eastAsia="zh-CN"/>
        </w:rPr>
        <w:t>统一社会信用代码</w:t>
      </w:r>
      <w:r>
        <w:rPr>
          <w:rFonts w:hint="eastAsia" w:ascii="仿宋" w:hAnsi="仿宋" w:eastAsia="仿宋" w:cs="仿宋"/>
          <w:sz w:val="24"/>
        </w:rPr>
        <w:t>号：</w:t>
      </w:r>
      <w:r>
        <w:rPr>
          <w:rFonts w:hint="eastAsia" w:ascii="仿宋" w:hAnsi="仿宋" w:eastAsia="仿宋" w:cs="仿宋"/>
          <w:color w:val="auto"/>
          <w:sz w:val="24"/>
          <w:highlight w:val="none"/>
          <w:u w:val="single"/>
          <w:lang w:val="en-US" w:eastAsia="zh-CN"/>
        </w:rPr>
        <w:t>****</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u w:val="single"/>
          <w:lang w:val="en-US" w:eastAsia="zh-CN"/>
        </w:rPr>
        <w:t xml:space="preserve">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eastAsia="zh-CN"/>
        </w:rPr>
        <w:t>代理人</w:t>
      </w:r>
      <w:r>
        <w:rPr>
          <w:rFonts w:hint="eastAsia" w:ascii="仿宋" w:hAnsi="仿宋" w:eastAsia="仿宋" w:cs="仿宋"/>
          <w:sz w:val="24"/>
        </w:rPr>
        <w:t>(</w:t>
      </w:r>
      <w:r>
        <w:rPr>
          <w:rFonts w:hint="eastAsia" w:ascii="仿宋" w:hAnsi="仿宋" w:eastAsia="仿宋" w:cs="仿宋"/>
          <w:sz w:val="24"/>
          <w:lang w:val="en-US" w:eastAsia="zh-CN"/>
        </w:rPr>
        <w:t>受托人</w:t>
      </w:r>
      <w:r>
        <w:rPr>
          <w:rFonts w:hint="eastAsia" w:ascii="仿宋" w:hAnsi="仿宋" w:eastAsia="仿宋" w:cs="仿宋"/>
          <w:sz w:val="24"/>
        </w:rPr>
        <w:t>)：</w:t>
      </w:r>
      <w:r>
        <w:rPr>
          <w:rFonts w:hint="eastAsia" w:ascii="仿宋" w:hAnsi="仿宋" w:eastAsia="仿宋" w:cs="仿宋"/>
          <w:sz w:val="24"/>
          <w:u w:val="single"/>
          <w:lang w:val="en-US" w:eastAsia="zh-CN"/>
        </w:rPr>
        <w:t xml:space="preserve">          </w:t>
      </w:r>
    </w:p>
    <w:p w14:paraId="6ACCD149">
      <w:pPr>
        <w:adjustRightInd w:val="0"/>
        <w:snapToGrid w:val="0"/>
        <w:spacing w:line="360" w:lineRule="auto"/>
        <w:ind w:leftChars="800" w:firstLine="480" w:firstLineChars="200"/>
        <w:rPr>
          <w:rFonts w:hint="eastAsia" w:ascii="仿宋" w:hAnsi="仿宋" w:eastAsia="仿宋" w:cs="仿宋"/>
          <w:color w:val="auto"/>
          <w:sz w:val="24"/>
          <w:highlight w:val="none"/>
        </w:rPr>
        <w:sectPr>
          <w:footerReference r:id="rId9"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4"/>
          <w:highlight w:val="none"/>
          <w:lang w:val="en-US" w:eastAsia="zh-CN"/>
        </w:rPr>
        <w:t xml:space="preserve">  2026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 xml:space="preserve"> **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 xml:space="preserve"> ***  </w:t>
      </w:r>
      <w:r>
        <w:rPr>
          <w:rFonts w:hint="eastAsia" w:ascii="仿宋" w:hAnsi="仿宋" w:eastAsia="仿宋" w:cs="仿宋"/>
          <w:color w:val="auto"/>
          <w:sz w:val="24"/>
          <w:highlight w:val="none"/>
        </w:rPr>
        <w:t>日</w:t>
      </w:r>
    </w:p>
    <w:p w14:paraId="2F260B69">
      <w:pPr>
        <w:jc w:val="left"/>
        <w:rPr>
          <w:rFonts w:hint="eastAsia" w:ascii="仿宋" w:hAnsi="仿宋" w:eastAsia="仿宋"/>
          <w:color w:val="auto"/>
          <w:sz w:val="28"/>
          <w:szCs w:val="28"/>
          <w:highlight w:val="none"/>
          <w:lang w:val="en-US" w:eastAsia="zh-CN"/>
        </w:rPr>
      </w:pPr>
    </w:p>
    <w:p w14:paraId="3E95AE32">
      <w:pPr>
        <w:pStyle w:val="2"/>
        <w:spacing w:before="360" w:after="360"/>
        <w:jc w:val="center"/>
        <w:outlineLvl w:val="0"/>
        <w:rPr>
          <w:rFonts w:hint="eastAsia" w:eastAsia="仿宋"/>
          <w:color w:val="auto"/>
          <w:sz w:val="32"/>
          <w:szCs w:val="22"/>
          <w:highlight w:val="none"/>
        </w:rPr>
      </w:pPr>
      <w:bookmarkStart w:id="48" w:name="_Toc13328"/>
      <w:r>
        <w:rPr>
          <w:rFonts w:hint="default" w:ascii="Cambria" w:hAnsi="Cambria" w:eastAsia="仿宋"/>
          <w:color w:val="auto"/>
          <w:sz w:val="32"/>
          <w:szCs w:val="22"/>
          <w:highlight w:val="none"/>
        </w:rPr>
        <w:t>授权委托书</w:t>
      </w:r>
      <w:bookmarkEnd w:id="48"/>
    </w:p>
    <w:p w14:paraId="59DB3904">
      <w:pPr>
        <w:adjustRightInd w:val="0"/>
        <w:snapToGrid w:val="0"/>
        <w:spacing w:line="360" w:lineRule="auto"/>
        <w:ind w:leftChars="800" w:firstLine="480" w:firstLineChars="200"/>
        <w:rPr>
          <w:rFonts w:hint="eastAsia" w:ascii="仿宋" w:hAnsi="仿宋" w:eastAsia="仿宋" w:cs="仿宋"/>
          <w:color w:val="auto"/>
          <w:sz w:val="24"/>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58"/>
        <w:gridCol w:w="4258"/>
      </w:tblGrid>
      <w:tr w14:paraId="4E691A16">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4F7EA1CF">
            <w:pPr>
              <w:adjustRightInd w:val="0"/>
              <w:snapToGrid w:val="0"/>
              <w:spacing w:line="360" w:lineRule="auto"/>
              <w:ind w:firstLine="480" w:firstLineChars="200"/>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lang w:eastAsia="zh-CN"/>
              </w:rPr>
              <w:t>身份证复印件：</w:t>
            </w:r>
          </w:p>
        </w:tc>
        <w:tc>
          <w:tcPr>
            <w:tcW w:w="4261" w:type="dxa"/>
            <w:tcBorders>
              <w:tl2br w:val="nil"/>
              <w:tr2bl w:val="nil"/>
            </w:tcBorders>
            <w:noWrap w:val="0"/>
            <w:vAlign w:val="top"/>
          </w:tcPr>
          <w:p w14:paraId="0521620C">
            <w:pPr>
              <w:adjustRightInd w:val="0"/>
              <w:snapToGrid w:val="0"/>
              <w:spacing w:line="360" w:lineRule="auto"/>
              <w:ind w:firstLine="480" w:firstLineChars="200"/>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lang w:eastAsia="zh-CN"/>
              </w:rPr>
              <w:t>委托代理人身份证复印件：</w:t>
            </w:r>
          </w:p>
        </w:tc>
      </w:tr>
      <w:tr w14:paraId="243FD6C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032F3BB1">
            <w:pPr>
              <w:adjustRightInd w:val="0"/>
              <w:snapToGrid w:val="0"/>
              <w:spacing w:line="360" w:lineRule="auto"/>
              <w:ind w:firstLine="480" w:firstLineChars="200"/>
              <w:rPr>
                <w:rFonts w:hint="eastAsia" w:ascii="仿宋" w:hAnsi="仿宋" w:eastAsia="仿宋" w:cs="仿宋"/>
                <w:color w:val="auto"/>
                <w:sz w:val="24"/>
                <w:highlight w:val="none"/>
                <w:vertAlign w:val="baseline"/>
              </w:rPr>
            </w:pPr>
          </w:p>
        </w:tc>
        <w:tc>
          <w:tcPr>
            <w:tcW w:w="4261" w:type="dxa"/>
            <w:tcBorders>
              <w:tl2br w:val="nil"/>
              <w:tr2bl w:val="nil"/>
            </w:tcBorders>
            <w:noWrap w:val="0"/>
            <w:vAlign w:val="top"/>
          </w:tcPr>
          <w:p w14:paraId="20084B80">
            <w:pPr>
              <w:adjustRightInd w:val="0"/>
              <w:snapToGrid w:val="0"/>
              <w:spacing w:line="360" w:lineRule="auto"/>
              <w:ind w:firstLine="480" w:firstLineChars="200"/>
              <w:rPr>
                <w:rFonts w:hint="eastAsia" w:ascii="仿宋" w:hAnsi="仿宋" w:eastAsia="仿宋" w:cs="仿宋"/>
                <w:color w:val="auto"/>
                <w:sz w:val="24"/>
                <w:highlight w:val="none"/>
                <w:vertAlign w:val="baseline"/>
              </w:rPr>
            </w:pPr>
          </w:p>
        </w:tc>
      </w:tr>
      <w:tr w14:paraId="51554C5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3FA7481C">
            <w:pPr>
              <w:adjustRightInd w:val="0"/>
              <w:snapToGrid w:val="0"/>
              <w:spacing w:line="360" w:lineRule="auto"/>
              <w:ind w:firstLine="480" w:firstLineChars="200"/>
              <w:rPr>
                <w:rFonts w:hint="eastAsia" w:ascii="仿宋" w:hAnsi="仿宋" w:eastAsia="仿宋" w:cs="仿宋"/>
                <w:color w:val="auto"/>
                <w:sz w:val="24"/>
                <w:highlight w:val="none"/>
                <w:vertAlign w:val="baseline"/>
              </w:rPr>
            </w:pPr>
          </w:p>
        </w:tc>
        <w:tc>
          <w:tcPr>
            <w:tcW w:w="4261" w:type="dxa"/>
            <w:tcBorders>
              <w:tl2br w:val="nil"/>
              <w:tr2bl w:val="nil"/>
            </w:tcBorders>
            <w:noWrap w:val="0"/>
            <w:vAlign w:val="top"/>
          </w:tcPr>
          <w:p w14:paraId="07E01C91">
            <w:pPr>
              <w:adjustRightInd w:val="0"/>
              <w:snapToGrid w:val="0"/>
              <w:spacing w:line="360" w:lineRule="auto"/>
              <w:ind w:firstLine="480" w:firstLineChars="200"/>
              <w:rPr>
                <w:rFonts w:hint="eastAsia" w:ascii="仿宋" w:hAnsi="仿宋" w:eastAsia="仿宋" w:cs="仿宋"/>
                <w:color w:val="auto"/>
                <w:sz w:val="24"/>
                <w:highlight w:val="none"/>
                <w:vertAlign w:val="baseline"/>
              </w:rPr>
            </w:pPr>
          </w:p>
        </w:tc>
      </w:tr>
    </w:tbl>
    <w:p w14:paraId="708125B6">
      <w:pPr>
        <w:pStyle w:val="3"/>
        <w:numPr>
          <w:ilvl w:val="3"/>
          <w:numId w:val="0"/>
        </w:numPr>
        <w:ind w:leftChars="0"/>
        <w:outlineLvl w:val="9"/>
        <w:rPr>
          <w:color w:val="auto"/>
          <w:highlight w:val="none"/>
          <w:lang w:val="en-US" w:eastAsia="en-US"/>
        </w:rPr>
      </w:pPr>
    </w:p>
    <w:sectPr>
      <w:footerReference r:id="rId10" w:type="default"/>
      <w:pgSz w:w="11900" w:h="1683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7F" w:usb3="00000000" w:csb0="203F01FF" w:csb1="D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7557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34CE">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posOffset>2609850</wp:posOffset>
              </wp:positionH>
              <wp:positionV relativeFrom="paragraph">
                <wp:posOffset>-146050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AC7B9C">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5pt;margin-top:-11.5pt;height:144pt;width:144pt;mso-position-horizontal-relative:margin;mso-wrap-style:none;z-index:251659264;mso-width-relative:page;mso-height-relative:page;" filled="f" stroked="f" coordsize="21600,21600" o:gfxdata="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JIwVNdgAAAAL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14:paraId="0EAC7B9C">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4C105">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19801">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FA19801">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90A83">
    <w:pPr>
      <w:pStyle w:val="5"/>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658E08">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658E08">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6410D">
    <w:pPr>
      <w:pStyle w:val="5"/>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3C5C7">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DC3C5C7">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97FC4">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3"/>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4CDB616F"/>
    <w:multiLevelType w:val="singleLevel"/>
    <w:tmpl w:val="4CDB616F"/>
    <w:lvl w:ilvl="0" w:tentative="0">
      <w:start w:val="11"/>
      <w:numFmt w:val="decimal"/>
      <w:suff w:val="nothing"/>
      <w:lvlText w:val="（%1）"/>
      <w:lvlJc w:val="left"/>
    </w:lvl>
  </w:abstractNum>
  <w:abstractNum w:abstractNumId="2">
    <w:nsid w:val="5DD55FF3"/>
    <w:multiLevelType w:val="singleLevel"/>
    <w:tmpl w:val="5DD55FF3"/>
    <w:lvl w:ilvl="0" w:tentative="0">
      <w:start w:val="1"/>
      <w:numFmt w:val="decimal"/>
      <w:lvlText w:val="%1."/>
      <w:lvlJc w:val="left"/>
      <w:pPr>
        <w:tabs>
          <w:tab w:val="left" w:pos="312"/>
        </w:tabs>
        <w:ind w:left="549" w:leftChars="0" w:firstLine="0" w:firstLineChars="0"/>
      </w:pPr>
    </w:lvl>
  </w:abstractNum>
  <w:abstractNum w:abstractNumId="3">
    <w:nsid w:val="6931165B"/>
    <w:multiLevelType w:val="singleLevel"/>
    <w:tmpl w:val="6931165B"/>
    <w:lvl w:ilvl="0" w:tentative="0">
      <w:start w:val="9"/>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E4ZDUwNzQ5YTNiZjE2YjdkMmE0MzUzNTIyZDJjZTgifQ=="/>
  </w:docVars>
  <w:rsids>
    <w:rsidRoot w:val="00000000"/>
    <w:rsid w:val="00B93F2F"/>
    <w:rsid w:val="019E7EC4"/>
    <w:rsid w:val="02F35C77"/>
    <w:rsid w:val="03085DD0"/>
    <w:rsid w:val="03525361"/>
    <w:rsid w:val="04333FF8"/>
    <w:rsid w:val="0541791E"/>
    <w:rsid w:val="056A63E5"/>
    <w:rsid w:val="059F4D6B"/>
    <w:rsid w:val="06063F44"/>
    <w:rsid w:val="06745EAA"/>
    <w:rsid w:val="070847B9"/>
    <w:rsid w:val="078647D1"/>
    <w:rsid w:val="082E3A4D"/>
    <w:rsid w:val="08500BB1"/>
    <w:rsid w:val="089119C6"/>
    <w:rsid w:val="08D1013D"/>
    <w:rsid w:val="0A7D229F"/>
    <w:rsid w:val="0AA241ED"/>
    <w:rsid w:val="0AE574F8"/>
    <w:rsid w:val="0C117ADF"/>
    <w:rsid w:val="0C2F779B"/>
    <w:rsid w:val="0CB47829"/>
    <w:rsid w:val="0E5A04E5"/>
    <w:rsid w:val="0F3835E7"/>
    <w:rsid w:val="0FCC75A3"/>
    <w:rsid w:val="104135F9"/>
    <w:rsid w:val="10795489"/>
    <w:rsid w:val="10FB1EA8"/>
    <w:rsid w:val="11BF336F"/>
    <w:rsid w:val="12427803"/>
    <w:rsid w:val="12851EC3"/>
    <w:rsid w:val="138959E3"/>
    <w:rsid w:val="13C22CA3"/>
    <w:rsid w:val="13C36036"/>
    <w:rsid w:val="1449672B"/>
    <w:rsid w:val="14B67441"/>
    <w:rsid w:val="16F85B8F"/>
    <w:rsid w:val="171D26F1"/>
    <w:rsid w:val="17F7713C"/>
    <w:rsid w:val="18301BA0"/>
    <w:rsid w:val="18E41CD3"/>
    <w:rsid w:val="19506F0E"/>
    <w:rsid w:val="198E220F"/>
    <w:rsid w:val="19902A83"/>
    <w:rsid w:val="19BB08C0"/>
    <w:rsid w:val="19F015EC"/>
    <w:rsid w:val="1A4C648D"/>
    <w:rsid w:val="1A5B5BFF"/>
    <w:rsid w:val="1ABF40EE"/>
    <w:rsid w:val="1ADC0ECC"/>
    <w:rsid w:val="1B1D271F"/>
    <w:rsid w:val="1D124E97"/>
    <w:rsid w:val="1DEC7ECD"/>
    <w:rsid w:val="1E3173A3"/>
    <w:rsid w:val="1E893BEF"/>
    <w:rsid w:val="1F6F0182"/>
    <w:rsid w:val="20387DA6"/>
    <w:rsid w:val="20E06E5E"/>
    <w:rsid w:val="226D4721"/>
    <w:rsid w:val="23645B24"/>
    <w:rsid w:val="24554E2A"/>
    <w:rsid w:val="26CE78E3"/>
    <w:rsid w:val="27070CA1"/>
    <w:rsid w:val="280779EC"/>
    <w:rsid w:val="288C5086"/>
    <w:rsid w:val="2A226CB0"/>
    <w:rsid w:val="2B2C517A"/>
    <w:rsid w:val="2B3908CA"/>
    <w:rsid w:val="2C990CD2"/>
    <w:rsid w:val="2D1C72A9"/>
    <w:rsid w:val="2D63452A"/>
    <w:rsid w:val="301914A6"/>
    <w:rsid w:val="309612E7"/>
    <w:rsid w:val="31EF0CAF"/>
    <w:rsid w:val="32072A6F"/>
    <w:rsid w:val="332D35E6"/>
    <w:rsid w:val="33591E7C"/>
    <w:rsid w:val="33AC647C"/>
    <w:rsid w:val="34F8431E"/>
    <w:rsid w:val="354E2190"/>
    <w:rsid w:val="358E6F9F"/>
    <w:rsid w:val="370E5DF7"/>
    <w:rsid w:val="3814321D"/>
    <w:rsid w:val="396925D9"/>
    <w:rsid w:val="3A01188D"/>
    <w:rsid w:val="3ACC7DDF"/>
    <w:rsid w:val="3BF05C51"/>
    <w:rsid w:val="3C402634"/>
    <w:rsid w:val="3D433E1D"/>
    <w:rsid w:val="3D460D42"/>
    <w:rsid w:val="3D6912FC"/>
    <w:rsid w:val="3DF70AA7"/>
    <w:rsid w:val="3E6529E7"/>
    <w:rsid w:val="3E916A5A"/>
    <w:rsid w:val="3F6371D0"/>
    <w:rsid w:val="41A35612"/>
    <w:rsid w:val="41F670F3"/>
    <w:rsid w:val="42140081"/>
    <w:rsid w:val="42EE557E"/>
    <w:rsid w:val="430D7573"/>
    <w:rsid w:val="44AD7979"/>
    <w:rsid w:val="44E75C82"/>
    <w:rsid w:val="4545490C"/>
    <w:rsid w:val="45886FF9"/>
    <w:rsid w:val="459040FF"/>
    <w:rsid w:val="45BD3146"/>
    <w:rsid w:val="461F6DC5"/>
    <w:rsid w:val="46D5596E"/>
    <w:rsid w:val="46F87C7E"/>
    <w:rsid w:val="47193AE7"/>
    <w:rsid w:val="474515C9"/>
    <w:rsid w:val="49411BD7"/>
    <w:rsid w:val="49B94735"/>
    <w:rsid w:val="4A21138B"/>
    <w:rsid w:val="4C150230"/>
    <w:rsid w:val="4C2500C8"/>
    <w:rsid w:val="4C5F329A"/>
    <w:rsid w:val="4D5970B4"/>
    <w:rsid w:val="4E340BD7"/>
    <w:rsid w:val="4F132EA1"/>
    <w:rsid w:val="4F42646A"/>
    <w:rsid w:val="4FE903EE"/>
    <w:rsid w:val="4FF37A73"/>
    <w:rsid w:val="50483726"/>
    <w:rsid w:val="51037C6A"/>
    <w:rsid w:val="51B12745"/>
    <w:rsid w:val="51D0201A"/>
    <w:rsid w:val="52114F3A"/>
    <w:rsid w:val="540D34EB"/>
    <w:rsid w:val="55602E78"/>
    <w:rsid w:val="55F31B09"/>
    <w:rsid w:val="565A24B9"/>
    <w:rsid w:val="56ED13B1"/>
    <w:rsid w:val="57407733"/>
    <w:rsid w:val="592948B1"/>
    <w:rsid w:val="594C6024"/>
    <w:rsid w:val="59723DF0"/>
    <w:rsid w:val="59BC7E98"/>
    <w:rsid w:val="59D979CB"/>
    <w:rsid w:val="5A1B30C4"/>
    <w:rsid w:val="5A821C9B"/>
    <w:rsid w:val="5AC74C0A"/>
    <w:rsid w:val="5B8935B6"/>
    <w:rsid w:val="5B8E543E"/>
    <w:rsid w:val="5CA3645E"/>
    <w:rsid w:val="5CB8303A"/>
    <w:rsid w:val="5CF02414"/>
    <w:rsid w:val="5D7719D5"/>
    <w:rsid w:val="5DC51E56"/>
    <w:rsid w:val="5DCC7F73"/>
    <w:rsid w:val="5E0F7E5F"/>
    <w:rsid w:val="5EB23444"/>
    <w:rsid w:val="5EDB5F93"/>
    <w:rsid w:val="5F29437A"/>
    <w:rsid w:val="5F5F0972"/>
    <w:rsid w:val="60221EE9"/>
    <w:rsid w:val="612B1454"/>
    <w:rsid w:val="620E6BC4"/>
    <w:rsid w:val="624A3B5C"/>
    <w:rsid w:val="633617DC"/>
    <w:rsid w:val="63BA4541"/>
    <w:rsid w:val="63CA273A"/>
    <w:rsid w:val="65C141DD"/>
    <w:rsid w:val="660B3602"/>
    <w:rsid w:val="66916A11"/>
    <w:rsid w:val="66984178"/>
    <w:rsid w:val="67A26950"/>
    <w:rsid w:val="681271D2"/>
    <w:rsid w:val="68727968"/>
    <w:rsid w:val="6ADE7537"/>
    <w:rsid w:val="6B84704B"/>
    <w:rsid w:val="6BDD77EF"/>
    <w:rsid w:val="6C4671C6"/>
    <w:rsid w:val="6E023D8A"/>
    <w:rsid w:val="6E3C2B6A"/>
    <w:rsid w:val="6F213E96"/>
    <w:rsid w:val="70DC0075"/>
    <w:rsid w:val="71AF5789"/>
    <w:rsid w:val="72646574"/>
    <w:rsid w:val="729D55E2"/>
    <w:rsid w:val="7354211B"/>
    <w:rsid w:val="73B021A3"/>
    <w:rsid w:val="73F34EE8"/>
    <w:rsid w:val="73F35C51"/>
    <w:rsid w:val="747B7BA5"/>
    <w:rsid w:val="764D6FDD"/>
    <w:rsid w:val="76911902"/>
    <w:rsid w:val="76F25221"/>
    <w:rsid w:val="774626EC"/>
    <w:rsid w:val="78D5109F"/>
    <w:rsid w:val="794404C5"/>
    <w:rsid w:val="7A884DCA"/>
    <w:rsid w:val="7A9D0EE8"/>
    <w:rsid w:val="7AD56C4A"/>
    <w:rsid w:val="7B4753CF"/>
    <w:rsid w:val="7BAB10BE"/>
    <w:rsid w:val="7BB57A17"/>
    <w:rsid w:val="7C6D4277"/>
    <w:rsid w:val="7D85227D"/>
    <w:rsid w:val="7DBC30CC"/>
    <w:rsid w:val="7DC12057"/>
    <w:rsid w:val="7DCB0A32"/>
    <w:rsid w:val="7E9957F7"/>
    <w:rsid w:val="7EE30820"/>
    <w:rsid w:val="7F371343"/>
    <w:rsid w:val="7FE17E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2">
    <w:name w:val="Table Grid"/>
    <w:basedOn w:val="1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宋体" w:hAnsi="宋体" w:eastAsia="宋体" w:cs="宋体"/>
      <w:sz w:val="18"/>
      <w:szCs w:val="18"/>
      <w:lang w:val="en-US" w:eastAsia="en-US" w:bidi="ar-SA"/>
    </w:rPr>
  </w:style>
  <w:style w:type="paragraph" w:customStyle="1" w:styleId="16">
    <w:name w:val="正文 A"/>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3"/>
    <w:qFormat/>
    <w:uiPriority w:val="0"/>
    <w:pPr>
      <w:ind w:leftChars="400"/>
    </w:pPr>
    <w:rPr>
      <w:rFonts w:ascii="Times New Roman" w:hAnsi="Times New Roman" w:eastAsia="宋体" w:cs="Times New Roman"/>
      <w:sz w:val="20"/>
      <w:szCs w:val="20"/>
    </w:rPr>
  </w:style>
  <w:style w:type="character" w:customStyle="1" w:styleId="20">
    <w:name w:val="font61"/>
    <w:basedOn w:val="13"/>
    <w:qFormat/>
    <w:uiPriority w:val="0"/>
    <w:rPr>
      <w:rFonts w:hint="eastAsia" w:ascii="宋体" w:hAnsi="宋体" w:eastAsia="宋体" w:cs="宋体"/>
      <w:color w:val="000000"/>
      <w:sz w:val="18"/>
      <w:szCs w:val="18"/>
      <w:u w:val="none"/>
    </w:rPr>
  </w:style>
  <w:style w:type="character" w:customStyle="1" w:styleId="21">
    <w:name w:val="font122"/>
    <w:basedOn w:val="13"/>
    <w:qFormat/>
    <w:uiPriority w:val="0"/>
    <w:rPr>
      <w:rFonts w:hint="eastAsia" w:ascii="宋体" w:hAnsi="宋体" w:eastAsia="宋体" w:cs="宋体"/>
      <w:color w:val="000000"/>
      <w:sz w:val="18"/>
      <w:szCs w:val="18"/>
      <w:u w:val="none"/>
      <w:vertAlign w:val="superscript"/>
    </w:rPr>
  </w:style>
  <w:style w:type="character" w:customStyle="1" w:styleId="22">
    <w:name w:val="font21"/>
    <w:basedOn w:val="13"/>
    <w:qFormat/>
    <w:uiPriority w:val="0"/>
    <w:rPr>
      <w:rFonts w:hint="eastAsia" w:ascii="宋体" w:hAnsi="宋体" w:eastAsia="宋体" w:cs="宋体"/>
      <w:b/>
      <w:bCs/>
      <w:color w:val="000000"/>
      <w:sz w:val="32"/>
      <w:szCs w:val="32"/>
      <w:u w:val="none"/>
    </w:rPr>
  </w:style>
  <w:style w:type="character" w:customStyle="1" w:styleId="23">
    <w:name w:val="font161"/>
    <w:basedOn w:val="13"/>
    <w:qFormat/>
    <w:uiPriority w:val="0"/>
    <w:rPr>
      <w:rFonts w:hint="eastAsia" w:ascii="宋体" w:hAnsi="宋体" w:eastAsia="宋体" w:cs="宋体"/>
      <w:b/>
      <w:bCs/>
      <w:color w:val="000000"/>
      <w:sz w:val="24"/>
      <w:szCs w:val="24"/>
      <w:u w:val="none"/>
    </w:rPr>
  </w:style>
  <w:style w:type="character" w:customStyle="1" w:styleId="24">
    <w:name w:val="font41"/>
    <w:basedOn w:val="13"/>
    <w:qFormat/>
    <w:uiPriority w:val="0"/>
    <w:rPr>
      <w:rFonts w:hint="eastAsia" w:ascii="宋体" w:hAnsi="宋体" w:eastAsia="宋体" w:cs="宋体"/>
      <w:color w:val="000000"/>
      <w:sz w:val="28"/>
      <w:szCs w:val="28"/>
      <w:u w:val="none"/>
    </w:rPr>
  </w:style>
  <w:style w:type="character" w:customStyle="1" w:styleId="25">
    <w:name w:val="font01"/>
    <w:basedOn w:val="13"/>
    <w:qFormat/>
    <w:uiPriority w:val="0"/>
    <w:rPr>
      <w:rFonts w:hint="eastAsia" w:ascii="宋体" w:hAnsi="宋体" w:eastAsia="宋体" w:cs="宋体"/>
      <w:color w:val="000000"/>
      <w:sz w:val="24"/>
      <w:szCs w:val="24"/>
      <w:u w:val="none"/>
    </w:rPr>
  </w:style>
  <w:style w:type="character" w:customStyle="1" w:styleId="26">
    <w:name w:val="font71"/>
    <w:basedOn w:val="13"/>
    <w:qFormat/>
    <w:uiPriority w:val="0"/>
    <w:rPr>
      <w:rFonts w:ascii="黑体" w:hAnsi="宋体" w:eastAsia="黑体" w:cs="黑体"/>
      <w:color w:val="000000"/>
      <w:sz w:val="24"/>
      <w:szCs w:val="24"/>
      <w:u w:val="none"/>
    </w:rPr>
  </w:style>
  <w:style w:type="character" w:customStyle="1" w:styleId="27">
    <w:name w:val="font11"/>
    <w:basedOn w:val="1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22387</Words>
  <Characters>23067</Characters>
  <TotalTime>0</TotalTime>
  <ScaleCrop>false</ScaleCrop>
  <LinksUpToDate>false</LinksUpToDate>
  <CharactersWithSpaces>23336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企业用户_672349649</cp:lastModifiedBy>
  <dcterms:modified xsi:type="dcterms:W3CDTF">2026-04-07T09:10:30Z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2052-12.1.0.25225</vt:lpwstr>
  </property>
  <property fmtid="{D5CDD505-2E9C-101B-9397-08002B2CF9AE}" pid="6" name="ICV">
    <vt:lpwstr>BF72C0A7EA7948E0A455A9AF911CEEFE_13</vt:lpwstr>
  </property>
  <property fmtid="{D5CDD505-2E9C-101B-9397-08002B2CF9AE}" pid="7" name="KSOTemplateDocerSaveRecord">
    <vt:lpwstr>eyJoZGlkIjoiZDc3ZGI1NWQxMjc0MTBiNGZlODA5ODk2YjBlNjFlMDgiLCJ1c2VySWQiOiIxNTg3ODQyMDQ3In0=</vt:lpwstr>
  </property>
</Properties>
</file>