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370"/>
        </w:tabs>
        <w:spacing w:line="276" w:lineRule="auto"/>
        <w:ind w:right="215"/>
        <w:outlineLvl w:val="0"/>
        <w:rPr>
          <w:rFonts w:hint="eastAsia" w:ascii="宋体" w:hAnsi="宋体" w:cs="宋体"/>
          <w:b/>
          <w:bCs/>
          <w:sz w:val="32"/>
          <w:szCs w:val="32"/>
          <w:lang w:eastAsia="zh-CN"/>
        </w:rPr>
      </w:pPr>
    </w:p>
    <w:p>
      <w:pPr>
        <w:tabs>
          <w:tab w:val="left" w:pos="4965"/>
        </w:tabs>
        <w:spacing w:line="276" w:lineRule="auto"/>
        <w:ind w:right="215"/>
        <w:jc w:val="center"/>
        <w:outlineLvl w:val="0"/>
        <w:rPr>
          <w:rFonts w:hint="eastAsia" w:ascii="宋体" w:hAnsi="宋体" w:cs="宋体"/>
          <w:sz w:val="52"/>
          <w:szCs w:val="52"/>
          <w:lang w:eastAsia="zh-CN"/>
        </w:rPr>
      </w:pPr>
      <w:r>
        <w:rPr>
          <w:rFonts w:hint="eastAsia" w:ascii="宋体" w:hAnsi="宋体" w:cs="宋体"/>
          <w:sz w:val="52"/>
          <w:szCs w:val="52"/>
          <w:lang w:eastAsia="zh-CN"/>
        </w:rPr>
        <w:t>建筑形体规则性判定报告书</w:t>
      </w:r>
    </w:p>
    <w:p>
      <w:pPr>
        <w:tabs>
          <w:tab w:val="left" w:pos="4965"/>
        </w:tabs>
        <w:spacing w:line="276" w:lineRule="auto"/>
        <w:ind w:right="215"/>
        <w:jc w:val="center"/>
        <w:outlineLvl w:val="0"/>
        <w:rPr>
          <w:rFonts w:hint="eastAsia" w:ascii="宋体" w:hAnsi="宋体" w:cs="宋体"/>
          <w:sz w:val="52"/>
          <w:szCs w:val="52"/>
          <w:lang w:eastAsia="zh-CN"/>
        </w:rPr>
      </w:pPr>
      <w:r>
        <w:rPr>
          <w:rFonts w:hint="eastAsia" w:ascii="宋体" w:hAnsi="宋体" w:cs="宋体"/>
          <w:sz w:val="52"/>
          <w:szCs w:val="52"/>
          <w:lang w:eastAsia="zh-CN"/>
        </w:rPr>
        <w:t>1#</w:t>
      </w:r>
      <w:r>
        <w:rPr>
          <w:rFonts w:hint="eastAsia" w:ascii="宋体" w:hAnsi="宋体" w:cs="宋体"/>
          <w:sz w:val="52"/>
          <w:szCs w:val="52"/>
          <w:lang w:val="en-US" w:eastAsia="zh-CN"/>
        </w:rPr>
        <w:t>2#3#</w:t>
      </w:r>
      <w:r>
        <w:rPr>
          <w:rFonts w:hint="eastAsia" w:ascii="宋体" w:hAnsi="宋体" w:cs="宋体"/>
          <w:sz w:val="52"/>
          <w:szCs w:val="52"/>
          <w:lang w:eastAsia="zh-CN"/>
        </w:rPr>
        <w:t>楼</w:t>
      </w:r>
    </w:p>
    <w:p>
      <w:pPr>
        <w:tabs>
          <w:tab w:val="left" w:pos="4965"/>
        </w:tabs>
        <w:spacing w:line="276" w:lineRule="auto"/>
        <w:ind w:right="215"/>
        <w:jc w:val="center"/>
        <w:outlineLvl w:val="0"/>
        <w:rPr>
          <w:rFonts w:hint="eastAsia" w:ascii="宋体" w:hAnsi="宋体" w:cs="宋体"/>
          <w:sz w:val="52"/>
          <w:szCs w:val="52"/>
          <w:lang w:eastAsia="zh-CN"/>
        </w:rPr>
      </w:pPr>
    </w:p>
    <w:p>
      <w:pPr>
        <w:tabs>
          <w:tab w:val="left" w:pos="4965"/>
        </w:tabs>
        <w:spacing w:line="276" w:lineRule="auto"/>
        <w:ind w:right="215"/>
        <w:jc w:val="center"/>
        <w:outlineLvl w:val="0"/>
        <w:rPr>
          <w:rFonts w:hint="eastAsia" w:ascii="宋体" w:hAnsi="宋体" w:cs="宋体"/>
          <w:sz w:val="52"/>
          <w:szCs w:val="52"/>
          <w:lang w:eastAsia="zh-CN"/>
        </w:rPr>
      </w:pPr>
      <w:bookmarkStart w:id="0" w:name="_GoBack"/>
      <w:bookmarkEnd w:id="0"/>
    </w:p>
    <w:p>
      <w:pPr>
        <w:spacing w:line="360" w:lineRule="auto"/>
        <w:ind w:left="1417" w:leftChars="644"/>
        <w:jc w:val="both"/>
        <w:rPr>
          <w:rFonts w:hint="eastAsia" w:ascii="宋体" w:hAnsi="宋体"/>
          <w:bCs/>
          <w:sz w:val="28"/>
          <w:szCs w:val="28"/>
          <w:lang w:eastAsia="zh-CN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 xml:space="preserve">项目名称：   越西县文昌中学扩建工程规划设计项目  </w:t>
      </w:r>
    </w:p>
    <w:p>
      <w:pPr>
        <w:spacing w:line="360" w:lineRule="auto"/>
        <w:ind w:left="1417" w:leftChars="644"/>
        <w:jc w:val="both"/>
        <w:rPr>
          <w:rFonts w:hint="eastAsia" w:ascii="宋体" w:hAnsi="宋体"/>
          <w:bCs/>
          <w:sz w:val="28"/>
          <w:szCs w:val="28"/>
          <w:lang w:eastAsia="zh-CN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249555</wp:posOffset>
            </wp:positionV>
            <wp:extent cx="781685" cy="379095"/>
            <wp:effectExtent l="0" t="0" r="18415" b="1905"/>
            <wp:wrapNone/>
            <wp:docPr id="1" name="图片 2" descr="设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设计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Cs/>
          <w:sz w:val="28"/>
          <w:szCs w:val="28"/>
          <w:lang w:eastAsia="zh-CN"/>
        </w:rPr>
        <w:t xml:space="preserve">项目地点：         四川省越西县           </w:t>
      </w:r>
    </w:p>
    <w:p>
      <w:pPr>
        <w:spacing w:line="360" w:lineRule="auto"/>
        <w:ind w:left="1417" w:leftChars="644"/>
        <w:jc w:val="both"/>
        <w:rPr>
          <w:rFonts w:hint="eastAsia" w:ascii="宋体" w:hAnsi="宋体"/>
          <w:bCs/>
          <w:sz w:val="28"/>
          <w:szCs w:val="28"/>
          <w:lang w:eastAsia="zh-CN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2787650</wp:posOffset>
            </wp:positionH>
            <wp:positionV relativeFrom="paragraph">
              <wp:posOffset>274320</wp:posOffset>
            </wp:positionV>
            <wp:extent cx="643255" cy="339090"/>
            <wp:effectExtent l="0" t="0" r="4445" b="3810"/>
            <wp:wrapNone/>
            <wp:docPr id="2" name="图片 3" descr="校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校对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Cs/>
          <w:sz w:val="28"/>
          <w:szCs w:val="28"/>
          <w:lang w:eastAsia="zh-CN"/>
        </w:rPr>
        <w:t xml:space="preserve">设 计 人：                                </w:t>
      </w:r>
    </w:p>
    <w:p>
      <w:pPr>
        <w:spacing w:line="360" w:lineRule="auto"/>
        <w:ind w:left="1417" w:leftChars="644"/>
        <w:jc w:val="both"/>
        <w:rPr>
          <w:rFonts w:hint="eastAsia" w:ascii="宋体" w:hAnsi="宋体"/>
          <w:bCs/>
          <w:sz w:val="28"/>
          <w:szCs w:val="28"/>
          <w:lang w:eastAsia="zh-CN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287655</wp:posOffset>
            </wp:positionV>
            <wp:extent cx="597535" cy="303530"/>
            <wp:effectExtent l="0" t="0" r="12065" b="1270"/>
            <wp:wrapNone/>
            <wp:docPr id="3" name="图片 4" descr="审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审核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30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Cs/>
          <w:sz w:val="28"/>
          <w:szCs w:val="28"/>
          <w:lang w:eastAsia="zh-CN"/>
        </w:rPr>
        <w:t xml:space="preserve">校 对 人：                                </w:t>
      </w:r>
    </w:p>
    <w:p>
      <w:pPr>
        <w:spacing w:line="360" w:lineRule="auto"/>
        <w:ind w:left="1417" w:leftChars="644"/>
        <w:jc w:val="both"/>
        <w:rPr>
          <w:rFonts w:hint="eastAsia" w:ascii="宋体" w:hAnsi="宋体"/>
          <w:bCs/>
          <w:sz w:val="28"/>
          <w:szCs w:val="28"/>
          <w:lang w:eastAsia="zh-CN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2761615</wp:posOffset>
            </wp:positionH>
            <wp:positionV relativeFrom="paragraph">
              <wp:posOffset>314325</wp:posOffset>
            </wp:positionV>
            <wp:extent cx="791210" cy="327660"/>
            <wp:effectExtent l="0" t="0" r="8890" b="15240"/>
            <wp:wrapNone/>
            <wp:docPr id="4" name="图片 5" descr="审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审批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121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Cs/>
          <w:sz w:val="28"/>
          <w:szCs w:val="28"/>
          <w:lang w:eastAsia="zh-CN"/>
        </w:rPr>
        <w:t xml:space="preserve">审 核 人：                                </w:t>
      </w:r>
    </w:p>
    <w:p>
      <w:pPr>
        <w:spacing w:line="360" w:lineRule="auto"/>
        <w:ind w:left="1417" w:leftChars="644"/>
        <w:jc w:val="both"/>
        <w:rPr>
          <w:rFonts w:hint="eastAsia" w:ascii="宋体" w:hAnsi="宋体"/>
          <w:bCs/>
          <w:sz w:val="28"/>
          <w:szCs w:val="28"/>
          <w:lang w:eastAsia="zh-CN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 xml:space="preserve">审 批 人：                                </w:t>
      </w:r>
    </w:p>
    <w:p>
      <w:pPr>
        <w:spacing w:line="360" w:lineRule="auto"/>
        <w:ind w:left="1417" w:leftChars="644"/>
        <w:jc w:val="both"/>
        <w:rPr>
          <w:rFonts w:hint="eastAsia" w:ascii="宋体" w:hAnsi="宋体"/>
          <w:bCs/>
          <w:sz w:val="28"/>
          <w:szCs w:val="28"/>
          <w:lang w:eastAsia="zh-CN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 xml:space="preserve">设计单位：  中渝名威工程技术有限公司  </w:t>
      </w:r>
    </w:p>
    <w:p>
      <w:pPr>
        <w:spacing w:line="360" w:lineRule="auto"/>
        <w:ind w:left="1417" w:leftChars="644"/>
        <w:jc w:val="both"/>
        <w:rPr>
          <w:rFonts w:hint="eastAsia" w:ascii="宋体" w:hAnsi="宋体"/>
          <w:bCs/>
          <w:sz w:val="28"/>
          <w:szCs w:val="28"/>
          <w:lang w:eastAsia="zh-CN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 xml:space="preserve">建设单位：  越西县教育体育和科学技术局  </w:t>
      </w:r>
    </w:p>
    <w:p>
      <w:pPr>
        <w:spacing w:line="360" w:lineRule="auto"/>
        <w:ind w:left="1417" w:leftChars="644"/>
        <w:jc w:val="both"/>
        <w:rPr>
          <w:rFonts w:hint="eastAsia" w:ascii="宋体" w:hAnsi="宋体"/>
          <w:bCs/>
          <w:sz w:val="28"/>
          <w:szCs w:val="28"/>
          <w:lang w:eastAsia="zh-CN"/>
        </w:rPr>
      </w:pPr>
      <w:r>
        <w:rPr>
          <w:rFonts w:hint="eastAsia" w:ascii="宋体" w:hAnsi="宋体"/>
          <w:bCs/>
          <w:sz w:val="28"/>
          <w:szCs w:val="28"/>
          <w:lang w:eastAsia="zh-CN"/>
        </w:rPr>
        <w:t>设计日期：   202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Cs/>
          <w:sz w:val="28"/>
          <w:szCs w:val="28"/>
          <w:lang w:eastAsia="zh-CN"/>
        </w:rPr>
        <w:t xml:space="preserve">年 </w:t>
      </w:r>
      <w:r>
        <w:rPr>
          <w:rFonts w:hint="eastAsia" w:ascii="宋体" w:hAnsi="宋体"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bCs/>
          <w:sz w:val="28"/>
          <w:szCs w:val="28"/>
          <w:lang w:eastAsia="zh-CN"/>
        </w:rPr>
        <w:t xml:space="preserve">月       </w:t>
      </w:r>
    </w:p>
    <w:p>
      <w:pPr>
        <w:spacing w:line="391" w:lineRule="exact"/>
        <w:ind w:left="221" w:right="215"/>
        <w:outlineLvl w:val="0"/>
        <w:rPr>
          <w:rFonts w:ascii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br w:type="page"/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一、建筑形体规则性评价标准</w:t>
      </w:r>
    </w:p>
    <w:p>
      <w:pPr>
        <w:pStyle w:val="8"/>
        <w:spacing w:line="408" w:lineRule="auto"/>
        <w:ind w:right="210" w:firstLine="643"/>
        <w:rPr>
          <w:rFonts w:hint="eastAsia"/>
          <w:lang w:eastAsia="zh-CN"/>
        </w:rPr>
      </w:pPr>
      <w:r>
        <w:rPr>
          <w:rFonts w:hint="eastAsia"/>
          <w:lang w:eastAsia="zh-CN"/>
        </w:rPr>
        <w:t>1、根据《建筑抗震设计标准》</w:t>
      </w:r>
      <w:r>
        <w:rPr>
          <w:lang w:eastAsia="zh-CN"/>
        </w:rPr>
        <w:t>GB</w:t>
      </w:r>
      <w:r>
        <w:rPr>
          <w:rFonts w:hint="eastAsia"/>
          <w:lang w:eastAsia="zh-CN"/>
        </w:rPr>
        <w:t>/T</w:t>
      </w:r>
      <w:r>
        <w:rPr>
          <w:lang w:eastAsia="zh-CN"/>
        </w:rPr>
        <w:t>50011-20</w:t>
      </w:r>
      <w:r>
        <w:rPr>
          <w:rFonts w:hint="eastAsia"/>
          <w:lang w:eastAsia="zh-CN"/>
        </w:rPr>
        <w:t>24第</w:t>
      </w:r>
      <w:r>
        <w:rPr>
          <w:lang w:eastAsia="zh-CN"/>
        </w:rPr>
        <w:t>3.4.</w:t>
      </w:r>
      <w:r>
        <w:rPr>
          <w:spacing w:val="-49"/>
          <w:lang w:eastAsia="zh-CN"/>
        </w:rPr>
        <w:t xml:space="preserve"> </w:t>
      </w:r>
      <w:r>
        <w:rPr>
          <w:lang w:eastAsia="zh-CN"/>
        </w:rPr>
        <w:t>3</w:t>
      </w:r>
      <w:r>
        <w:rPr>
          <w:rFonts w:hint="eastAsia"/>
          <w:lang w:eastAsia="zh-CN"/>
        </w:rPr>
        <w:t>条及其相应条文说明可得出建筑形体规则性的判断依据。</w:t>
      </w:r>
    </w:p>
    <w:p>
      <w:pPr>
        <w:pStyle w:val="8"/>
        <w:spacing w:line="408" w:lineRule="auto"/>
        <w:ind w:left="221" w:right="215" w:firstLine="56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1</w:t>
      </w:r>
      <w:r>
        <w:rPr>
          <w:rFonts w:hint="eastAsia"/>
          <w:lang w:eastAsia="zh-CN"/>
        </w:rPr>
        <w:t>）不规则建筑判定</w:t>
      </w:r>
      <w:r>
        <w:rPr>
          <w:lang w:eastAsia="zh-CN"/>
        </w:rPr>
        <w:t xml:space="preserve"> </w:t>
      </w:r>
    </w:p>
    <w:p>
      <w:pPr>
        <w:pStyle w:val="8"/>
        <w:spacing w:line="408" w:lineRule="auto"/>
        <w:ind w:right="216" w:firstLine="56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混凝土结构房屋存在下表</w:t>
      </w:r>
      <w:r>
        <w:rPr>
          <w:lang w:eastAsia="zh-CN"/>
        </w:rPr>
        <w:t>1</w:t>
      </w:r>
      <w:r>
        <w:rPr>
          <w:rFonts w:hint="eastAsia"/>
          <w:lang w:eastAsia="zh-CN"/>
        </w:rPr>
        <w:t>所列举的某项平面不规则类型或下表</w:t>
      </w:r>
      <w:r>
        <w:rPr>
          <w:lang w:eastAsia="zh-CN"/>
        </w:rPr>
        <w:t>2</w:t>
      </w:r>
      <w:r>
        <w:rPr>
          <w:rFonts w:hint="eastAsia"/>
          <w:spacing w:val="-4"/>
          <w:lang w:eastAsia="zh-CN"/>
        </w:rPr>
        <w:t>所列举的某项竖向不规则类型以及类似的不规则类型，应属于不规则</w:t>
      </w:r>
      <w:r>
        <w:rPr>
          <w:rFonts w:hint="eastAsia"/>
          <w:lang w:eastAsia="zh-CN"/>
        </w:rPr>
        <w:t>的建筑。</w:t>
      </w:r>
    </w:p>
    <w:p>
      <w:pPr>
        <w:tabs>
          <w:tab w:val="left" w:pos="3320"/>
        </w:tabs>
        <w:spacing w:line="351" w:lineRule="exact"/>
        <w:ind w:left="2616"/>
        <w:rPr>
          <w:rFonts w:ascii="宋体" w:cs="宋体"/>
          <w:b/>
          <w:bCs/>
          <w:w w:val="95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w w:val="95"/>
          <w:sz w:val="28"/>
          <w:szCs w:val="28"/>
          <w:lang w:eastAsia="zh-CN"/>
        </w:rPr>
        <w:t>表</w:t>
      </w:r>
      <w:r>
        <w:rPr>
          <w:rFonts w:ascii="宋体" w:hAnsi="宋体" w:cs="宋体"/>
          <w:b/>
          <w:bCs/>
          <w:w w:val="95"/>
          <w:sz w:val="28"/>
          <w:szCs w:val="28"/>
          <w:lang w:eastAsia="zh-CN"/>
        </w:rPr>
        <w:t>1</w:t>
      </w:r>
      <w:r>
        <w:rPr>
          <w:rFonts w:ascii="宋体" w:hAnsi="宋体" w:cs="宋体"/>
          <w:b/>
          <w:bCs/>
          <w:w w:val="95"/>
          <w:sz w:val="28"/>
          <w:szCs w:val="28"/>
          <w:lang w:eastAsia="zh-CN"/>
        </w:rPr>
        <w:tab/>
      </w:r>
      <w:r>
        <w:rPr>
          <w:rFonts w:hint="eastAsia" w:ascii="宋体" w:hAnsi="宋体" w:cs="宋体"/>
          <w:b/>
          <w:bCs/>
          <w:w w:val="95"/>
          <w:sz w:val="28"/>
          <w:szCs w:val="28"/>
          <w:lang w:eastAsia="zh-CN"/>
        </w:rPr>
        <w:t>平面不规则的主要类型</w:t>
      </w:r>
    </w:p>
    <w:p>
      <w:pPr>
        <w:spacing w:before="3"/>
        <w:rPr>
          <w:rFonts w:ascii="宋体" w:cs="宋体"/>
          <w:b/>
          <w:bCs/>
          <w:sz w:val="13"/>
          <w:szCs w:val="13"/>
          <w:lang w:eastAsia="zh-CN"/>
        </w:rPr>
      </w:pPr>
    </w:p>
    <w:tbl>
      <w:tblPr>
        <w:tblStyle w:val="11"/>
        <w:tblW w:w="8687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6"/>
        <w:gridCol w:w="64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2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不规则类型</w:t>
            </w:r>
          </w:p>
        </w:tc>
        <w:tc>
          <w:tcPr>
            <w:tcW w:w="6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定义和参考指标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exact"/>
        </w:trPr>
        <w:tc>
          <w:tcPr>
            <w:tcW w:w="22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/>
        </w:tc>
        <w:tc>
          <w:tcPr>
            <w:tcW w:w="64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-5"/>
                <w:sz w:val="28"/>
                <w:szCs w:val="28"/>
                <w:lang w:eastAsia="zh-CN"/>
              </w:rPr>
              <w:t>在具有偶然偏心的规定水平力作用下，楼层两端抗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223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20"/>
              <w:spacing w:before="85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扭转不规则</w:t>
            </w:r>
          </w:p>
        </w:tc>
        <w:tc>
          <w:tcPr>
            <w:tcW w:w="645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20"/>
              <w:spacing w:before="85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-5"/>
                <w:sz w:val="28"/>
                <w:szCs w:val="28"/>
                <w:lang w:eastAsia="zh-CN"/>
              </w:rPr>
              <w:t>侧力构件弹性水平位移（或层间位移）的最大值与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22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4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5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平均值的比值大于</w:t>
            </w:r>
            <w:r>
              <w:rPr>
                <w:rFonts w:ascii="宋体" w:hAnsi="宋体" w:cs="宋体"/>
                <w:sz w:val="28"/>
                <w:szCs w:val="28"/>
              </w:rPr>
              <w:t>1.2</w:t>
            </w:r>
            <w:r>
              <w:rPr>
                <w:rFonts w:hint="eastAsia" w:ascii="宋体" w:hAnsi="宋体" w:cs="宋体"/>
                <w:sz w:val="28"/>
                <w:szCs w:val="28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exact"/>
        </w:trPr>
        <w:tc>
          <w:tcPr>
            <w:tcW w:w="2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凹凸不规则</w:t>
            </w:r>
          </w:p>
        </w:tc>
        <w:tc>
          <w:tcPr>
            <w:tcW w:w="6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2" w:right="-37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-4"/>
                <w:sz w:val="28"/>
                <w:szCs w:val="28"/>
                <w:lang w:eastAsia="zh-CN"/>
              </w:rPr>
              <w:t>平面凹进的尺寸，大于相应投影方向总尺寸的</w:t>
            </w:r>
            <w:r>
              <w:rPr>
                <w:rFonts w:ascii="宋体" w:hAnsi="宋体" w:cs="宋体"/>
                <w:spacing w:val="-4"/>
                <w:sz w:val="28"/>
                <w:szCs w:val="28"/>
                <w:lang w:eastAsia="zh-CN"/>
              </w:rPr>
              <w:t>30%</w:t>
            </w:r>
            <w:r>
              <w:rPr>
                <w:rFonts w:hint="eastAsia" w:ascii="宋体" w:hAnsi="宋体" w:cs="宋体"/>
                <w:spacing w:val="-4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exact"/>
        </w:trPr>
        <w:tc>
          <w:tcPr>
            <w:tcW w:w="22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4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-5"/>
                <w:sz w:val="28"/>
                <w:szCs w:val="28"/>
                <w:lang w:eastAsia="zh-CN"/>
              </w:rPr>
              <w:t>楼板的尺寸和平面刚度急剧变化，例如，有效楼板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223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20"/>
              <w:spacing w:before="85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楼板局部不连续</w:t>
            </w:r>
          </w:p>
        </w:tc>
        <w:tc>
          <w:tcPr>
            <w:tcW w:w="6451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20"/>
              <w:spacing w:before="85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宽度小于该层楼板典型宽度的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>50%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，或开洞面积大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223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64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5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于该层楼面面积的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>30%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，或较大的楼层错层。</w:t>
            </w:r>
          </w:p>
        </w:tc>
      </w:tr>
    </w:tbl>
    <w:p>
      <w:pPr>
        <w:rPr>
          <w:rFonts w:ascii="宋体" w:cs="宋体"/>
          <w:sz w:val="28"/>
          <w:szCs w:val="28"/>
          <w:lang w:eastAsia="zh-CN"/>
        </w:rPr>
        <w:sectPr>
          <w:footerReference r:id="rId3" w:type="default"/>
          <w:pgSz w:w="11910" w:h="16840"/>
          <w:pgMar w:top="1520" w:right="1580" w:bottom="1180" w:left="1580" w:header="0" w:footer="982" w:gutter="0"/>
          <w:cols w:space="720" w:num="1"/>
        </w:sectPr>
      </w:pPr>
    </w:p>
    <w:p>
      <w:pPr>
        <w:tabs>
          <w:tab w:val="left" w:pos="3320"/>
        </w:tabs>
        <w:spacing w:line="351" w:lineRule="exact"/>
        <w:ind w:left="2616"/>
        <w:rPr>
          <w:rFonts w:asci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w w:val="95"/>
          <w:sz w:val="28"/>
          <w:szCs w:val="28"/>
          <w:lang w:eastAsia="zh-CN"/>
        </w:rPr>
        <w:t>表</w:t>
      </w:r>
      <w:r>
        <w:rPr>
          <w:rFonts w:ascii="宋体" w:hAnsi="宋体" w:cs="宋体"/>
          <w:b/>
          <w:bCs/>
          <w:w w:val="95"/>
          <w:sz w:val="28"/>
          <w:szCs w:val="28"/>
          <w:lang w:eastAsia="zh-CN"/>
        </w:rPr>
        <w:t>2</w:t>
      </w:r>
      <w:r>
        <w:rPr>
          <w:rFonts w:ascii="宋体" w:hAnsi="宋体" w:cs="宋体"/>
          <w:b/>
          <w:bCs/>
          <w:w w:val="95"/>
          <w:sz w:val="28"/>
          <w:szCs w:val="28"/>
          <w:lang w:eastAsia="zh-CN"/>
        </w:rPr>
        <w:tab/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竖向不规则的主要类型</w:t>
      </w:r>
    </w:p>
    <w:p>
      <w:pPr>
        <w:spacing w:before="3"/>
        <w:rPr>
          <w:rFonts w:ascii="宋体" w:cs="宋体"/>
          <w:b/>
          <w:bCs/>
          <w:sz w:val="13"/>
          <w:szCs w:val="13"/>
          <w:lang w:eastAsia="zh-CN"/>
        </w:rPr>
      </w:pPr>
    </w:p>
    <w:tbl>
      <w:tblPr>
        <w:tblStyle w:val="11"/>
        <w:tblW w:w="8523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6"/>
        <w:gridCol w:w="628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2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不规则类型</w:t>
            </w:r>
          </w:p>
        </w:tc>
        <w:tc>
          <w:tcPr>
            <w:tcW w:w="6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定义和参考指标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7" w:hRule="exact"/>
        </w:trPr>
        <w:tc>
          <w:tcPr>
            <w:tcW w:w="2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rPr>
                <w:rFonts w:ascii="宋体" w:cs="宋体"/>
                <w:b/>
                <w:bCs/>
                <w:sz w:val="28"/>
                <w:szCs w:val="28"/>
              </w:rPr>
            </w:pPr>
          </w:p>
          <w:p>
            <w:pPr>
              <w:pStyle w:val="20"/>
              <w:rPr>
                <w:rFonts w:ascii="宋体" w:cs="宋体"/>
                <w:b/>
                <w:bCs/>
                <w:sz w:val="28"/>
                <w:szCs w:val="28"/>
              </w:rPr>
            </w:pPr>
          </w:p>
          <w:p>
            <w:pPr>
              <w:pStyle w:val="20"/>
              <w:spacing w:before="13"/>
              <w:rPr>
                <w:rFonts w:ascii="宋体" w:cs="宋体"/>
                <w:b/>
                <w:bCs/>
                <w:sz w:val="21"/>
                <w:szCs w:val="21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侧向刚度不规则</w:t>
            </w:r>
          </w:p>
        </w:tc>
        <w:tc>
          <w:tcPr>
            <w:tcW w:w="6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 w:line="408" w:lineRule="auto"/>
              <w:ind w:left="103" w:right="99"/>
              <w:jc w:val="both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该层的侧向刚度小于相邻上一层的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>70%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，或小于其上相邻三个楼层侧向刚度平均值的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>80%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；除顶层或</w:t>
            </w:r>
            <w:r>
              <w:rPr>
                <w:rFonts w:hint="eastAsia" w:ascii="宋体" w:hAnsi="宋体" w:cs="宋体"/>
                <w:spacing w:val="-5"/>
                <w:sz w:val="28"/>
                <w:szCs w:val="28"/>
                <w:lang w:eastAsia="zh-CN"/>
              </w:rPr>
              <w:t>出屋面小建筑外，局部收进的水平向尺寸大于相邻下一层的</w:t>
            </w:r>
            <w:r>
              <w:rPr>
                <w:rFonts w:ascii="宋体" w:hAnsi="宋体" w:cs="宋体"/>
                <w:spacing w:val="-5"/>
                <w:sz w:val="28"/>
                <w:szCs w:val="28"/>
                <w:lang w:eastAsia="zh-CN"/>
              </w:rPr>
              <w:t>25%</w:t>
            </w:r>
            <w:r>
              <w:rPr>
                <w:rFonts w:hint="eastAsia" w:ascii="宋体" w:hAnsi="宋体" w:cs="宋体"/>
                <w:spacing w:val="-5"/>
                <w:sz w:val="28"/>
                <w:szCs w:val="28"/>
                <w:lang w:eastAsia="zh-CN"/>
              </w:rPr>
              <w:t>。</w:t>
            </w:r>
          </w:p>
          <w:p>
            <w:pPr>
              <w:pStyle w:val="20"/>
              <w:spacing w:before="61"/>
              <w:ind w:left="103"/>
              <w:jc w:val="both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下一层的</w:t>
            </w:r>
            <w:r>
              <w:rPr>
                <w:rFonts w:ascii="宋体" w:hAnsi="宋体" w:cs="宋体"/>
                <w:sz w:val="28"/>
                <w:szCs w:val="28"/>
              </w:rPr>
              <w:t>25%</w:t>
            </w:r>
            <w:r>
              <w:rPr>
                <w:rFonts w:hint="eastAsia" w:ascii="宋体" w:hAnsi="宋体" w:cs="宋体"/>
                <w:sz w:val="28"/>
                <w:szCs w:val="28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2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竖向抗侧力构件</w:t>
            </w:r>
          </w:p>
          <w:p>
            <w:pPr>
              <w:pStyle w:val="20"/>
              <w:spacing w:before="9"/>
              <w:rPr>
                <w:rFonts w:ascii="宋体" w:cs="宋体"/>
                <w:b/>
                <w:bCs/>
                <w:sz w:val="19"/>
                <w:szCs w:val="19"/>
                <w:lang w:eastAsia="zh-CN"/>
              </w:rPr>
            </w:pPr>
          </w:p>
          <w:p>
            <w:pPr>
              <w:pStyle w:val="20"/>
              <w:jc w:val="center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不连续</w:t>
            </w:r>
          </w:p>
        </w:tc>
        <w:tc>
          <w:tcPr>
            <w:tcW w:w="6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-5"/>
                <w:sz w:val="28"/>
                <w:szCs w:val="28"/>
                <w:lang w:eastAsia="zh-CN"/>
              </w:rPr>
              <w:t>竖向抗侧力构件（柱、抗震墙、抗震支撑）的内力</w:t>
            </w:r>
          </w:p>
          <w:p>
            <w:pPr>
              <w:pStyle w:val="20"/>
              <w:spacing w:before="9"/>
              <w:rPr>
                <w:rFonts w:ascii="宋体" w:cs="宋体"/>
                <w:b/>
                <w:bCs/>
                <w:sz w:val="19"/>
                <w:szCs w:val="19"/>
                <w:lang w:eastAsia="zh-CN"/>
              </w:rPr>
            </w:pPr>
          </w:p>
          <w:p>
            <w:pPr>
              <w:pStyle w:val="20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由水平转换构件（梁、桁架等）向下传递。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exact"/>
        </w:trPr>
        <w:tc>
          <w:tcPr>
            <w:tcW w:w="2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  <w:lang w:eastAsia="zh-CN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楼层承载力突变</w:t>
            </w:r>
          </w:p>
        </w:tc>
        <w:tc>
          <w:tcPr>
            <w:tcW w:w="6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9"/>
                <w:sz w:val="28"/>
                <w:szCs w:val="28"/>
                <w:lang w:eastAsia="zh-CN"/>
              </w:rPr>
              <w:t>抗侧力结构的层间受剪承载力小于相邻上一楼层</w:t>
            </w:r>
          </w:p>
          <w:p>
            <w:pPr>
              <w:pStyle w:val="20"/>
              <w:spacing w:before="9"/>
              <w:rPr>
                <w:rFonts w:ascii="宋体" w:cs="宋体"/>
                <w:b/>
                <w:bCs/>
                <w:sz w:val="19"/>
                <w:szCs w:val="19"/>
                <w:lang w:eastAsia="zh-CN"/>
              </w:rPr>
            </w:pPr>
          </w:p>
          <w:p>
            <w:pPr>
              <w:pStyle w:val="20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的</w:t>
            </w:r>
            <w:r>
              <w:rPr>
                <w:rFonts w:ascii="宋体" w:hAnsi="宋体" w:cs="宋体"/>
                <w:sz w:val="28"/>
                <w:szCs w:val="28"/>
              </w:rPr>
              <w:t>80%</w:t>
            </w:r>
            <w:r>
              <w:rPr>
                <w:rFonts w:hint="eastAsia" w:ascii="宋体" w:hAnsi="宋体" w:cs="宋体"/>
                <w:sz w:val="28"/>
                <w:szCs w:val="28"/>
              </w:rPr>
              <w:t>。</w:t>
            </w:r>
          </w:p>
        </w:tc>
      </w:tr>
    </w:tbl>
    <w:p>
      <w:pPr>
        <w:pStyle w:val="8"/>
        <w:spacing w:before="13" w:line="408" w:lineRule="auto"/>
        <w:ind w:left="0" w:firstLine="56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2</w:t>
      </w:r>
      <w:r>
        <w:rPr>
          <w:rFonts w:hint="eastAsia"/>
          <w:lang w:eastAsia="zh-CN"/>
        </w:rPr>
        <w:t>）特别不规则建筑</w:t>
      </w:r>
      <w:r>
        <w:rPr>
          <w:lang w:eastAsia="zh-CN"/>
        </w:rPr>
        <w:t xml:space="preserve"> </w:t>
      </w:r>
    </w:p>
    <w:p>
      <w:pPr>
        <w:pStyle w:val="8"/>
        <w:spacing w:before="13" w:line="408" w:lineRule="auto"/>
        <w:ind w:firstLine="56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特别不规则，指具有较明显的抗震薄弱部位，可能引起不良后果</w:t>
      </w:r>
    </w:p>
    <w:p>
      <w:pPr>
        <w:pStyle w:val="8"/>
        <w:spacing w:line="408" w:lineRule="auto"/>
        <w:ind w:left="219"/>
        <w:rPr>
          <w:rFonts w:hint="eastAsia"/>
          <w:lang w:eastAsia="zh-CN"/>
        </w:rPr>
      </w:pPr>
      <w:r>
        <w:rPr>
          <w:rFonts w:hint="eastAsia"/>
          <w:spacing w:val="-4"/>
          <w:lang w:eastAsia="zh-CN"/>
        </w:rPr>
        <w:t>者，其参考界限可参见《超限高层建筑工程抗震设防专项审查技术要</w:t>
      </w:r>
      <w:r>
        <w:rPr>
          <w:spacing w:val="-4"/>
          <w:lang w:eastAsia="zh-CN"/>
        </w:rPr>
        <w:t xml:space="preserve"> </w:t>
      </w:r>
      <w:r>
        <w:rPr>
          <w:rFonts w:hint="eastAsia"/>
          <w:spacing w:val="-4"/>
          <w:lang w:eastAsia="zh-CN"/>
        </w:rPr>
        <w:t>点》，通常有三类：其一，同时具有上表</w:t>
      </w:r>
      <w:r>
        <w:rPr>
          <w:spacing w:val="-4"/>
          <w:lang w:eastAsia="zh-CN"/>
        </w:rPr>
        <w:t>1</w:t>
      </w:r>
      <w:r>
        <w:rPr>
          <w:rFonts w:hint="eastAsia"/>
          <w:spacing w:val="-4"/>
          <w:lang w:eastAsia="zh-CN"/>
        </w:rPr>
        <w:t>及表</w:t>
      </w:r>
      <w:r>
        <w:rPr>
          <w:spacing w:val="-4"/>
          <w:lang w:eastAsia="zh-CN"/>
        </w:rPr>
        <w:t>2</w:t>
      </w:r>
      <w:r>
        <w:rPr>
          <w:rFonts w:hint="eastAsia"/>
          <w:spacing w:val="-4"/>
          <w:lang w:eastAsia="zh-CN"/>
        </w:rPr>
        <w:t>所列六个主要不规则</w:t>
      </w:r>
      <w:r>
        <w:rPr>
          <w:spacing w:val="-4"/>
          <w:lang w:eastAsia="zh-CN"/>
        </w:rPr>
        <w:t xml:space="preserve"> </w:t>
      </w:r>
      <w:r>
        <w:rPr>
          <w:rFonts w:hint="eastAsia"/>
          <w:spacing w:val="-4"/>
          <w:lang w:eastAsia="zh-CN"/>
        </w:rPr>
        <w:t>类型的三个或三个以上；其二，具有下表</w:t>
      </w:r>
      <w:r>
        <w:rPr>
          <w:spacing w:val="-4"/>
          <w:lang w:eastAsia="zh-CN"/>
        </w:rPr>
        <w:t>3</w:t>
      </w:r>
      <w:r>
        <w:rPr>
          <w:rFonts w:hint="eastAsia"/>
          <w:spacing w:val="-4"/>
          <w:lang w:eastAsia="zh-CN"/>
        </w:rPr>
        <w:t>所列的一项不规则；其三，</w:t>
      </w:r>
      <w:r>
        <w:rPr>
          <w:spacing w:val="-4"/>
          <w:lang w:eastAsia="zh-CN"/>
        </w:rPr>
        <w:t xml:space="preserve"> </w:t>
      </w:r>
      <w:r>
        <w:rPr>
          <w:rFonts w:hint="eastAsia"/>
          <w:lang w:eastAsia="zh-CN"/>
        </w:rPr>
        <w:t>具有上表</w:t>
      </w:r>
      <w:r>
        <w:rPr>
          <w:lang w:eastAsia="zh-CN"/>
        </w:rPr>
        <w:t>1</w:t>
      </w:r>
      <w:r>
        <w:rPr>
          <w:rFonts w:hint="eastAsia"/>
          <w:lang w:eastAsia="zh-CN"/>
        </w:rPr>
        <w:t>及表</w:t>
      </w:r>
      <w:r>
        <w:rPr>
          <w:lang w:eastAsia="zh-CN"/>
        </w:rPr>
        <w:t>2</w:t>
      </w:r>
      <w:r>
        <w:rPr>
          <w:rFonts w:hint="eastAsia"/>
          <w:lang w:eastAsia="zh-CN"/>
        </w:rPr>
        <w:t>所列两个方面的基本不规则且其中有一项接近下表</w:t>
      </w:r>
      <w:r>
        <w:rPr>
          <w:lang w:eastAsia="zh-CN"/>
        </w:rPr>
        <w:t xml:space="preserve">3 </w:t>
      </w:r>
      <w:r>
        <w:rPr>
          <w:rFonts w:hint="eastAsia"/>
          <w:lang w:eastAsia="zh-CN"/>
        </w:rPr>
        <w:t>的不规则指标。</w:t>
      </w:r>
    </w:p>
    <w:p>
      <w:pPr>
        <w:tabs>
          <w:tab w:val="left" w:pos="3320"/>
        </w:tabs>
        <w:spacing w:line="351" w:lineRule="exact"/>
        <w:ind w:left="2616"/>
        <w:rPr>
          <w:rFonts w:ascii="宋体" w:cs="宋体"/>
          <w:b/>
          <w:bCs/>
          <w:w w:val="95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w w:val="95"/>
          <w:sz w:val="28"/>
          <w:szCs w:val="28"/>
          <w:lang w:eastAsia="zh-CN"/>
        </w:rPr>
        <w:t>表</w:t>
      </w:r>
      <w:r>
        <w:rPr>
          <w:rFonts w:ascii="宋体" w:hAnsi="宋体" w:cs="宋体"/>
          <w:b/>
          <w:bCs/>
          <w:w w:val="95"/>
          <w:sz w:val="28"/>
          <w:szCs w:val="28"/>
          <w:lang w:eastAsia="zh-CN"/>
        </w:rPr>
        <w:t>3</w:t>
      </w:r>
      <w:r>
        <w:rPr>
          <w:rFonts w:ascii="宋体" w:hAnsi="宋体" w:cs="宋体"/>
          <w:b/>
          <w:bCs/>
          <w:w w:val="95"/>
          <w:sz w:val="28"/>
          <w:szCs w:val="28"/>
          <w:lang w:eastAsia="zh-CN"/>
        </w:rPr>
        <w:tab/>
      </w:r>
      <w:r>
        <w:rPr>
          <w:rFonts w:hint="eastAsia" w:ascii="宋体" w:hAnsi="宋体" w:cs="宋体"/>
          <w:b/>
          <w:bCs/>
          <w:w w:val="95"/>
          <w:sz w:val="28"/>
          <w:szCs w:val="28"/>
          <w:lang w:eastAsia="zh-CN"/>
        </w:rPr>
        <w:t>特别不规则的主要类型</w:t>
      </w:r>
    </w:p>
    <w:p>
      <w:pPr>
        <w:spacing w:before="3"/>
        <w:rPr>
          <w:rFonts w:ascii="宋体" w:cs="宋体"/>
          <w:b/>
          <w:bCs/>
          <w:sz w:val="13"/>
          <w:szCs w:val="13"/>
          <w:lang w:eastAsia="zh-CN"/>
        </w:rPr>
      </w:pPr>
    </w:p>
    <w:tbl>
      <w:tblPr>
        <w:tblStyle w:val="11"/>
        <w:tblW w:w="8523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1842"/>
        <w:gridCol w:w="557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不规则类型</w:t>
            </w:r>
          </w:p>
        </w:tc>
        <w:tc>
          <w:tcPr>
            <w:tcW w:w="5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简要涵义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exac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1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</w:rPr>
            </w:pPr>
          </w:p>
          <w:p>
            <w:pPr>
              <w:pStyle w:val="2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扭转偏大</w:t>
            </w:r>
          </w:p>
        </w:tc>
        <w:tc>
          <w:tcPr>
            <w:tcW w:w="5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裙房以上有较多楼层考虑偶然偏心的扭转位</w:t>
            </w:r>
          </w:p>
          <w:p>
            <w:pPr>
              <w:pStyle w:val="20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移比大于</w:t>
            </w:r>
            <w:r>
              <w:rPr>
                <w:rFonts w:ascii="宋体" w:hAnsi="宋体" w:cs="宋体"/>
                <w:sz w:val="28"/>
                <w:szCs w:val="28"/>
              </w:rPr>
              <w:t>1.4</w:t>
            </w:r>
            <w:r>
              <w:rPr>
                <w:rFonts w:hint="eastAsia" w:ascii="宋体" w:hAnsi="宋体" w:cs="宋体"/>
                <w:sz w:val="28"/>
                <w:szCs w:val="28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2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抗扭刚度弱</w:t>
            </w:r>
          </w:p>
        </w:tc>
        <w:tc>
          <w:tcPr>
            <w:tcW w:w="5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-5"/>
                <w:sz w:val="28"/>
                <w:szCs w:val="28"/>
                <w:lang w:eastAsia="zh-CN"/>
              </w:rPr>
              <w:t>扭转周期比大于</w:t>
            </w:r>
            <w:r>
              <w:rPr>
                <w:rFonts w:ascii="宋体" w:hAnsi="宋体" w:cs="宋体"/>
                <w:spacing w:val="-5"/>
                <w:sz w:val="28"/>
                <w:szCs w:val="28"/>
                <w:lang w:eastAsia="zh-CN"/>
              </w:rPr>
              <w:t>0.9</w:t>
            </w:r>
            <w:r>
              <w:rPr>
                <w:rFonts w:hint="eastAsia" w:ascii="宋体" w:hAnsi="宋体" w:cs="宋体"/>
                <w:spacing w:val="-5"/>
                <w:sz w:val="28"/>
                <w:szCs w:val="28"/>
                <w:lang w:eastAsia="zh-CN"/>
              </w:rPr>
              <w:t>，混合结构扭转周期比大</w:t>
            </w:r>
          </w:p>
        </w:tc>
      </w:tr>
    </w:tbl>
    <w:p>
      <w:pPr>
        <w:jc w:val="center"/>
        <w:rPr>
          <w:rFonts w:ascii="宋体" w:cs="宋体"/>
          <w:sz w:val="28"/>
          <w:szCs w:val="28"/>
          <w:lang w:eastAsia="zh-CN"/>
        </w:rPr>
        <w:sectPr>
          <w:pgSz w:w="11910" w:h="16840"/>
          <w:pgMar w:top="1540" w:right="1540" w:bottom="1180" w:left="1580" w:header="0" w:footer="982" w:gutter="0"/>
          <w:cols w:space="720" w:num="1"/>
        </w:sectPr>
      </w:pPr>
    </w:p>
    <w:tbl>
      <w:tblPr>
        <w:tblStyle w:val="11"/>
        <w:tblW w:w="8523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1842"/>
        <w:gridCol w:w="557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于</w:t>
            </w:r>
            <w:r>
              <w:rPr>
                <w:rFonts w:ascii="宋体" w:hAnsi="宋体" w:cs="宋体"/>
                <w:sz w:val="28"/>
                <w:szCs w:val="28"/>
              </w:rPr>
              <w:t>0.85</w:t>
            </w:r>
            <w:r>
              <w:rPr>
                <w:rFonts w:hint="eastAsia" w:ascii="宋体" w:hAnsi="宋体" w:cs="宋体"/>
                <w:sz w:val="28"/>
                <w:szCs w:val="28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3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层刚度偏小</w:t>
            </w:r>
          </w:p>
        </w:tc>
        <w:tc>
          <w:tcPr>
            <w:tcW w:w="5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本层侧向刚度小于相邻上层的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>50%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exac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  <w:lang w:eastAsia="zh-CN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4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</w:rPr>
            </w:pPr>
          </w:p>
          <w:p>
            <w:pPr>
              <w:pStyle w:val="2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高位转换</w:t>
            </w:r>
          </w:p>
        </w:tc>
        <w:tc>
          <w:tcPr>
            <w:tcW w:w="5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9"/>
                <w:sz w:val="28"/>
                <w:szCs w:val="28"/>
                <w:lang w:eastAsia="zh-CN"/>
              </w:rPr>
              <w:t>框支墙体的转换构件位置：</w:t>
            </w:r>
            <w:r>
              <w:rPr>
                <w:rFonts w:ascii="宋体" w:hAnsi="宋体" w:cs="宋体"/>
                <w:spacing w:val="9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宋体" w:hAnsi="宋体" w:cs="宋体"/>
                <w:spacing w:val="9"/>
                <w:sz w:val="28"/>
                <w:szCs w:val="28"/>
                <w:lang w:eastAsia="zh-CN"/>
              </w:rPr>
              <w:t>度超过</w:t>
            </w:r>
            <w:r>
              <w:rPr>
                <w:rFonts w:ascii="宋体" w:hAnsi="宋体" w:cs="宋体"/>
                <w:spacing w:val="9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宋体" w:hAnsi="宋体" w:cs="宋体"/>
                <w:spacing w:val="9"/>
                <w:sz w:val="28"/>
                <w:szCs w:val="28"/>
                <w:lang w:eastAsia="zh-CN"/>
              </w:rPr>
              <w:t>层，</w:t>
            </w:r>
            <w:r>
              <w:rPr>
                <w:rFonts w:ascii="宋体" w:hAnsi="宋体" w:cs="宋体"/>
                <w:spacing w:val="9"/>
                <w:sz w:val="28"/>
                <w:szCs w:val="28"/>
                <w:lang w:eastAsia="zh-CN"/>
              </w:rPr>
              <w:t>8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度超过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层。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5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厚板转换</w:t>
            </w:r>
          </w:p>
        </w:tc>
        <w:tc>
          <w:tcPr>
            <w:tcW w:w="5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ascii="宋体" w:hAnsi="宋体" w:cs="宋体"/>
                <w:sz w:val="28"/>
                <w:szCs w:val="28"/>
                <w:lang w:eastAsia="zh-CN"/>
              </w:rPr>
              <w:t>7~9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度设防的厚板转换结构。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exac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  <w:lang w:eastAsia="zh-CN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6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</w:rPr>
            </w:pPr>
          </w:p>
          <w:p>
            <w:pPr>
              <w:pStyle w:val="2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塔楼偏置</w:t>
            </w:r>
          </w:p>
        </w:tc>
        <w:tc>
          <w:tcPr>
            <w:tcW w:w="5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单塔或多塔合质心与大底盘的质心偏心距大</w:t>
            </w:r>
          </w:p>
          <w:p>
            <w:pPr>
              <w:pStyle w:val="20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于底盘相应边长</w:t>
            </w:r>
            <w:r>
              <w:rPr>
                <w:rFonts w:ascii="宋体" w:hAnsi="宋体" w:cs="宋体"/>
                <w:sz w:val="28"/>
                <w:szCs w:val="28"/>
              </w:rPr>
              <w:t>20%</w:t>
            </w:r>
            <w:r>
              <w:rPr>
                <w:rFonts w:hint="eastAsia" w:ascii="宋体" w:hAnsi="宋体" w:cs="宋体"/>
                <w:sz w:val="28"/>
                <w:szCs w:val="28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exac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7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</w:rPr>
            </w:pPr>
          </w:p>
          <w:p>
            <w:pPr>
              <w:pStyle w:val="2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复杂连接</w:t>
            </w:r>
          </w:p>
        </w:tc>
        <w:tc>
          <w:tcPr>
            <w:tcW w:w="5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各部分层数、刚度、布置不同的错层或连体</w:t>
            </w:r>
          </w:p>
          <w:p>
            <w:pPr>
              <w:pStyle w:val="20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两端塔楼显著不规则的结构。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exact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  <w:lang w:eastAsia="zh-CN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/>
                <w:sz w:val="28"/>
              </w:rPr>
              <w:t>8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</w:rPr>
            </w:pPr>
          </w:p>
          <w:p>
            <w:pPr>
              <w:pStyle w:val="20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多重复杂</w:t>
            </w:r>
          </w:p>
        </w:tc>
        <w:tc>
          <w:tcPr>
            <w:tcW w:w="5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同时具有转换层、加强层、错层、连体和多</w:t>
            </w:r>
          </w:p>
          <w:p>
            <w:pPr>
              <w:pStyle w:val="20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塔类型中的</w:t>
            </w:r>
            <w:r>
              <w:rPr>
                <w:rFonts w:ascii="宋体" w:hAnsi="宋体" w:cs="宋体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sz w:val="28"/>
                <w:szCs w:val="28"/>
              </w:rPr>
              <w:t>种以上。</w:t>
            </w:r>
          </w:p>
        </w:tc>
      </w:tr>
    </w:tbl>
    <w:p>
      <w:pPr>
        <w:spacing w:before="52"/>
        <w:ind w:left="221" w:right="215"/>
        <w:outlineLvl w:val="0"/>
        <w:rPr>
          <w:rFonts w:ascii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三、建筑形体规则性分析</w:t>
      </w:r>
    </w:p>
    <w:p>
      <w:pPr>
        <w:pStyle w:val="8"/>
        <w:spacing w:before="237" w:line="408" w:lineRule="auto"/>
        <w:ind w:right="216" w:firstLine="643"/>
        <w:rPr>
          <w:rFonts w:hint="eastAsia"/>
          <w:lang w:eastAsia="zh-CN"/>
        </w:rPr>
      </w:pPr>
      <w:r>
        <w:rPr>
          <w:rFonts w:cs="宋体"/>
          <w:lang w:eastAsia="zh-CN"/>
        </w:rPr>
        <w:t>1</w:t>
      </w:r>
      <w:r>
        <w:rPr>
          <w:rFonts w:hint="eastAsia" w:cs="宋体"/>
          <w:lang w:eastAsia="zh-CN"/>
        </w:rPr>
        <w:t>、根据施工图纸及各栋单体结构计算书，分别按上表</w:t>
      </w:r>
      <w:r>
        <w:rPr>
          <w:rFonts w:cs="宋体"/>
          <w:lang w:eastAsia="zh-CN"/>
        </w:rPr>
        <w:t>1~3</w:t>
      </w:r>
      <w:r>
        <w:rPr>
          <w:rFonts w:hint="eastAsia" w:cs="宋体"/>
          <w:lang w:eastAsia="zh-CN"/>
        </w:rPr>
        <w:t>所列不规则类型分析本项目建筑单体，分析结果如下表</w:t>
      </w:r>
      <w:r>
        <w:rPr>
          <w:rFonts w:cs="宋体"/>
          <w:lang w:eastAsia="zh-CN"/>
        </w:rPr>
        <w:t>4~6</w:t>
      </w:r>
      <w:r>
        <w:rPr>
          <w:rFonts w:hint="eastAsia" w:cs="宋体"/>
          <w:lang w:eastAsia="zh-CN"/>
        </w:rPr>
        <w:t>。</w:t>
      </w:r>
    </w:p>
    <w:p>
      <w:pPr>
        <w:tabs>
          <w:tab w:val="left" w:pos="3320"/>
        </w:tabs>
        <w:spacing w:line="351" w:lineRule="exact"/>
        <w:ind w:left="2616"/>
        <w:rPr>
          <w:rFonts w:ascii="宋体" w:cs="宋体"/>
          <w:b/>
          <w:bCs/>
          <w:w w:val="95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w w:val="95"/>
          <w:sz w:val="28"/>
          <w:szCs w:val="28"/>
          <w:lang w:eastAsia="zh-CN"/>
        </w:rPr>
        <w:t>表</w:t>
      </w:r>
      <w:r>
        <w:rPr>
          <w:rFonts w:ascii="宋体" w:hAnsi="宋体" w:cs="宋体"/>
          <w:b/>
          <w:bCs/>
          <w:w w:val="95"/>
          <w:sz w:val="28"/>
          <w:szCs w:val="28"/>
          <w:lang w:eastAsia="zh-CN"/>
        </w:rPr>
        <w:t>4</w:t>
      </w:r>
      <w:r>
        <w:rPr>
          <w:rFonts w:ascii="宋体" w:hAnsi="宋体" w:cs="宋体"/>
          <w:b/>
          <w:bCs/>
          <w:w w:val="95"/>
          <w:sz w:val="28"/>
          <w:szCs w:val="28"/>
          <w:lang w:eastAsia="zh-CN"/>
        </w:rPr>
        <w:tab/>
      </w:r>
      <w:r>
        <w:rPr>
          <w:rFonts w:hint="eastAsia" w:ascii="宋体" w:hAnsi="宋体" w:cs="宋体"/>
          <w:b/>
          <w:bCs/>
          <w:w w:val="95"/>
          <w:sz w:val="28"/>
          <w:szCs w:val="28"/>
          <w:lang w:eastAsia="zh-CN"/>
        </w:rPr>
        <w:t>平面不规则类型分析</w:t>
      </w:r>
    </w:p>
    <w:p>
      <w:pPr>
        <w:spacing w:before="3"/>
        <w:rPr>
          <w:rFonts w:ascii="宋体" w:cs="宋体"/>
          <w:b/>
          <w:bCs/>
          <w:sz w:val="13"/>
          <w:szCs w:val="13"/>
        </w:rPr>
      </w:pPr>
    </w:p>
    <w:tbl>
      <w:tblPr>
        <w:tblStyle w:val="11"/>
        <w:tblW w:w="8522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4"/>
        <w:gridCol w:w="4470"/>
        <w:gridCol w:w="231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不规则类型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39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项目设计情况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是否超标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扭转不规则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2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最大位移比为</w:t>
            </w:r>
            <w:r>
              <w:rPr>
                <w:rFonts w:hint="eastAsia" w:ascii="宋体" w:hAnsi="宋体" w:cs="宋体"/>
                <w:color w:val="FF0000"/>
                <w:sz w:val="28"/>
                <w:szCs w:val="28"/>
                <w:lang w:eastAsia="zh-CN"/>
              </w:rPr>
              <w:t>1.</w:t>
            </w:r>
            <w:r>
              <w:rPr>
                <w:rFonts w:hint="eastAsia" w:ascii="宋体" w:hAnsi="宋体" w:cs="宋体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  <w:lang w:eastAsia="zh-CN"/>
              </w:rPr>
              <w:t>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凹凸不规则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4"/>
                <w:sz w:val="28"/>
                <w:szCs w:val="28"/>
                <w:lang w:eastAsia="zh-CN"/>
              </w:rPr>
              <w:t>平面凹进的尺寸局部大于相应投影</w:t>
            </w:r>
          </w:p>
          <w:p>
            <w:pPr>
              <w:pStyle w:val="20"/>
              <w:spacing w:before="9"/>
              <w:rPr>
                <w:rFonts w:ascii="宋体" w:cs="宋体"/>
                <w:b/>
                <w:bCs/>
                <w:sz w:val="19"/>
                <w:szCs w:val="19"/>
                <w:lang w:eastAsia="zh-CN"/>
              </w:rPr>
            </w:pPr>
          </w:p>
          <w:p>
            <w:pPr>
              <w:pStyle w:val="20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方向总尺寸的</w:t>
            </w:r>
            <w:r>
              <w:rPr>
                <w:rFonts w:ascii="宋体" w:hAnsi="宋体" w:cs="宋体"/>
                <w:sz w:val="28"/>
                <w:szCs w:val="28"/>
              </w:rPr>
              <w:t>30%</w:t>
            </w:r>
            <w:r>
              <w:rPr>
                <w:rFonts w:hint="eastAsia" w:ascii="宋体" w:hAnsi="宋体" w:cs="宋体"/>
                <w:sz w:val="28"/>
                <w:szCs w:val="28"/>
              </w:rPr>
              <w:t>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color w:val="FF0000"/>
                <w:sz w:val="30"/>
                <w:szCs w:val="30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楼板局部不</w:t>
            </w:r>
          </w:p>
          <w:p>
            <w:pPr>
              <w:pStyle w:val="20"/>
              <w:spacing w:before="9"/>
              <w:rPr>
                <w:rFonts w:ascii="宋体" w:cs="宋体"/>
                <w:b/>
                <w:bCs/>
                <w:sz w:val="19"/>
                <w:szCs w:val="19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连续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4"/>
                <w:sz w:val="28"/>
                <w:szCs w:val="28"/>
                <w:lang w:eastAsia="zh-CN"/>
              </w:rPr>
              <w:t>楼板的尺寸和平面刚度变化不大，</w:t>
            </w:r>
          </w:p>
          <w:p>
            <w:pPr>
              <w:pStyle w:val="20"/>
              <w:spacing w:before="9"/>
              <w:rPr>
                <w:rFonts w:ascii="宋体" w:cs="宋体"/>
                <w:b/>
                <w:bCs/>
                <w:sz w:val="19"/>
                <w:szCs w:val="19"/>
                <w:lang w:eastAsia="zh-CN"/>
              </w:rPr>
            </w:pPr>
          </w:p>
          <w:p>
            <w:pPr>
              <w:pStyle w:val="20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楼板开洞面积小。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color w:val="FF0000"/>
                <w:sz w:val="30"/>
                <w:szCs w:val="30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否</w:t>
            </w:r>
          </w:p>
        </w:tc>
      </w:tr>
    </w:tbl>
    <w:p>
      <w:pPr>
        <w:jc w:val="center"/>
        <w:rPr>
          <w:rFonts w:ascii="宋体" w:cs="宋体"/>
          <w:sz w:val="28"/>
          <w:szCs w:val="28"/>
        </w:rPr>
        <w:sectPr>
          <w:pgSz w:w="11910" w:h="16840"/>
          <w:pgMar w:top="1440" w:right="1580" w:bottom="1180" w:left="1580" w:header="0" w:footer="982" w:gutter="0"/>
          <w:cols w:space="720" w:num="1"/>
        </w:sectPr>
      </w:pPr>
    </w:p>
    <w:p>
      <w:pPr>
        <w:tabs>
          <w:tab w:val="left" w:pos="3461"/>
        </w:tabs>
        <w:spacing w:line="351" w:lineRule="exact"/>
        <w:ind w:left="2756" w:right="216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w w:val="95"/>
          <w:sz w:val="28"/>
          <w:szCs w:val="28"/>
        </w:rPr>
        <w:t>表</w:t>
      </w:r>
      <w:r>
        <w:rPr>
          <w:rFonts w:ascii="宋体" w:hAnsi="宋体" w:cs="宋体"/>
          <w:b/>
          <w:bCs/>
          <w:w w:val="95"/>
          <w:sz w:val="28"/>
          <w:szCs w:val="28"/>
        </w:rPr>
        <w:t>5</w:t>
      </w:r>
      <w:r>
        <w:rPr>
          <w:rFonts w:ascii="宋体" w:hAnsi="宋体" w:cs="宋体"/>
          <w:b/>
          <w:bCs/>
          <w:w w:val="95"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t>竖向不规则类型分析</w:t>
      </w:r>
    </w:p>
    <w:p>
      <w:pPr>
        <w:spacing w:before="3"/>
        <w:rPr>
          <w:rFonts w:ascii="宋体" w:cs="宋体"/>
          <w:b/>
          <w:bCs/>
          <w:sz w:val="13"/>
          <w:szCs w:val="13"/>
        </w:rPr>
      </w:pPr>
    </w:p>
    <w:tbl>
      <w:tblPr>
        <w:tblStyle w:val="11"/>
        <w:tblW w:w="8522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4"/>
        <w:gridCol w:w="4470"/>
        <w:gridCol w:w="231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61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不规则类型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项目设计情况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是否超标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3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</w:rPr>
            </w:pPr>
          </w:p>
          <w:p>
            <w:pPr>
              <w:pStyle w:val="20"/>
              <w:spacing w:line="408" w:lineRule="auto"/>
              <w:ind w:left="581" w:right="160" w:hanging="42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侧向刚度不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</w:rPr>
              <w:t>规则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 w:line="408" w:lineRule="auto"/>
              <w:ind w:left="103" w:right="99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4"/>
                <w:w w:val="95"/>
                <w:sz w:val="28"/>
                <w:szCs w:val="28"/>
                <w:lang w:eastAsia="zh-CN"/>
              </w:rPr>
              <w:t>最不利楼层的侧向刚度大于相邻上</w:t>
            </w:r>
            <w:r>
              <w:rPr>
                <w:rFonts w:ascii="宋体" w:hAnsi="宋体" w:cs="宋体"/>
                <w:spacing w:val="4"/>
                <w:w w:val="95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spacing w:val="-6"/>
                <w:sz w:val="28"/>
                <w:szCs w:val="28"/>
                <w:lang w:eastAsia="zh-CN"/>
              </w:rPr>
              <w:t>一层的</w:t>
            </w:r>
            <w:r>
              <w:rPr>
                <w:rFonts w:ascii="宋体" w:hAnsi="宋体" w:cs="宋体"/>
                <w:spacing w:val="-6"/>
                <w:sz w:val="28"/>
                <w:szCs w:val="28"/>
                <w:lang w:eastAsia="zh-CN"/>
              </w:rPr>
              <w:t>70%</w:t>
            </w:r>
            <w:r>
              <w:rPr>
                <w:rFonts w:hint="eastAsia" w:ascii="宋体" w:hAnsi="宋体" w:cs="宋体"/>
                <w:spacing w:val="-6"/>
                <w:sz w:val="28"/>
                <w:szCs w:val="28"/>
                <w:lang w:eastAsia="zh-CN"/>
              </w:rPr>
              <w:t>，或大于其上相邻三个楼层侧向刚度平均值的</w:t>
            </w:r>
            <w:r>
              <w:rPr>
                <w:rFonts w:ascii="宋体" w:hAnsi="宋体" w:cs="宋体"/>
                <w:spacing w:val="-6"/>
                <w:sz w:val="28"/>
                <w:szCs w:val="28"/>
                <w:lang w:eastAsia="zh-CN"/>
              </w:rPr>
              <w:t>80%</w:t>
            </w:r>
            <w:r>
              <w:rPr>
                <w:rFonts w:hint="eastAsia" w:ascii="宋体" w:hAnsi="宋体" w:cs="宋体"/>
                <w:spacing w:val="-6"/>
                <w:sz w:val="28"/>
                <w:szCs w:val="28"/>
                <w:lang w:eastAsia="zh-CN"/>
              </w:rPr>
              <w:t>。</w:t>
            </w:r>
          </w:p>
          <w:p>
            <w:pPr>
              <w:pStyle w:val="20"/>
              <w:spacing w:before="61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层侧向刚度平均值的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>80%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rPr>
                <w:rFonts w:ascii="宋体" w:cs="宋体"/>
                <w:b/>
                <w:bCs/>
                <w:color w:val="FF0000"/>
                <w:sz w:val="28"/>
                <w:szCs w:val="28"/>
                <w:lang w:eastAsia="zh-CN"/>
              </w:rPr>
            </w:pPr>
          </w:p>
          <w:p>
            <w:pPr>
              <w:pStyle w:val="20"/>
              <w:spacing w:before="2"/>
              <w:rPr>
                <w:rFonts w:ascii="宋体" w:cs="宋体"/>
                <w:b/>
                <w:bCs/>
                <w:color w:val="FF0000"/>
                <w:sz w:val="26"/>
                <w:szCs w:val="26"/>
                <w:lang w:eastAsia="zh-CN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61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竖向抗侧力</w:t>
            </w:r>
          </w:p>
          <w:p>
            <w:pPr>
              <w:pStyle w:val="20"/>
              <w:spacing w:before="9"/>
              <w:rPr>
                <w:rFonts w:ascii="宋体" w:cs="宋体"/>
                <w:b/>
                <w:bCs/>
                <w:sz w:val="19"/>
                <w:szCs w:val="19"/>
                <w:lang w:eastAsia="zh-CN"/>
              </w:rPr>
            </w:pPr>
          </w:p>
          <w:p>
            <w:pPr>
              <w:pStyle w:val="20"/>
              <w:ind w:left="161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构件不连续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sz w:val="30"/>
                <w:szCs w:val="30"/>
                <w:lang w:eastAsia="zh-CN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未设计水平转换构件。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color w:val="FF0000"/>
                <w:sz w:val="30"/>
                <w:szCs w:val="30"/>
                <w:lang w:eastAsia="zh-CN"/>
              </w:rPr>
            </w:pPr>
          </w:p>
          <w:p>
            <w:pPr>
              <w:pStyle w:val="20"/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楼层承载力</w:t>
            </w:r>
          </w:p>
          <w:p>
            <w:pPr>
              <w:pStyle w:val="20"/>
              <w:spacing w:before="9"/>
              <w:rPr>
                <w:rFonts w:ascii="宋体" w:cs="宋体"/>
                <w:b/>
                <w:bCs/>
                <w:sz w:val="19"/>
                <w:szCs w:val="19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突变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3"/>
                <w:sz w:val="28"/>
                <w:szCs w:val="28"/>
                <w:lang w:eastAsia="zh-CN"/>
              </w:rPr>
              <w:t>最不利楼层的受剪承载力</w:t>
            </w:r>
          </w:p>
          <w:p>
            <w:pPr>
              <w:pStyle w:val="20"/>
              <w:spacing w:before="9"/>
              <w:rPr>
                <w:rFonts w:ascii="宋体" w:cs="宋体"/>
                <w:b/>
                <w:bCs/>
                <w:sz w:val="19"/>
                <w:szCs w:val="19"/>
                <w:lang w:eastAsia="zh-CN"/>
              </w:rPr>
            </w:pPr>
          </w:p>
          <w:p>
            <w:pPr>
              <w:pStyle w:val="20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为</w:t>
            </w:r>
            <w:r>
              <w:rPr>
                <w:rFonts w:ascii="宋体" w:hAnsi="宋体" w:cs="宋体"/>
                <w:sz w:val="28"/>
                <w:szCs w:val="28"/>
              </w:rPr>
              <w:t>0.90</w:t>
            </w:r>
            <w:r>
              <w:rPr>
                <w:rFonts w:hint="eastAsia" w:ascii="宋体" w:hAnsi="宋体" w:cs="宋体"/>
                <w:sz w:val="28"/>
                <w:szCs w:val="28"/>
              </w:rPr>
              <w:t>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4"/>
              <w:rPr>
                <w:rFonts w:ascii="宋体" w:cs="宋体"/>
                <w:b/>
                <w:bCs/>
                <w:color w:val="FF0000"/>
                <w:sz w:val="30"/>
                <w:szCs w:val="30"/>
              </w:rPr>
            </w:pPr>
          </w:p>
          <w:p>
            <w:pPr>
              <w:pStyle w:val="20"/>
              <w:ind w:right="1"/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否</w:t>
            </w:r>
          </w:p>
        </w:tc>
      </w:tr>
    </w:tbl>
    <w:p>
      <w:pPr>
        <w:spacing w:before="6"/>
        <w:rPr>
          <w:rFonts w:ascii="宋体" w:cs="宋体"/>
          <w:b/>
          <w:bCs/>
          <w:sz w:val="5"/>
          <w:szCs w:val="5"/>
        </w:rPr>
      </w:pPr>
    </w:p>
    <w:p>
      <w:pPr>
        <w:tabs>
          <w:tab w:val="left" w:pos="3461"/>
        </w:tabs>
        <w:spacing w:before="13"/>
        <w:ind w:left="2756" w:right="216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w w:val="95"/>
          <w:sz w:val="28"/>
          <w:szCs w:val="28"/>
        </w:rPr>
        <w:t>表</w:t>
      </w:r>
      <w:r>
        <w:rPr>
          <w:rFonts w:ascii="宋体" w:hAnsi="宋体" w:cs="宋体"/>
          <w:b/>
          <w:bCs/>
          <w:w w:val="95"/>
          <w:sz w:val="28"/>
          <w:szCs w:val="28"/>
        </w:rPr>
        <w:t>6</w:t>
      </w:r>
      <w:r>
        <w:rPr>
          <w:rFonts w:ascii="宋体" w:hAnsi="宋体" w:cs="宋体"/>
          <w:b/>
          <w:bCs/>
          <w:w w:val="95"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t>特别不规则类型分析</w:t>
      </w:r>
    </w:p>
    <w:p>
      <w:pPr>
        <w:spacing w:before="3"/>
        <w:rPr>
          <w:rFonts w:ascii="宋体" w:cs="宋体"/>
          <w:b/>
          <w:bCs/>
          <w:sz w:val="13"/>
          <w:szCs w:val="13"/>
        </w:rPr>
      </w:pPr>
    </w:p>
    <w:tbl>
      <w:tblPr>
        <w:tblStyle w:val="11"/>
        <w:tblW w:w="8522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4"/>
        <w:gridCol w:w="4470"/>
        <w:gridCol w:w="231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不规则类型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39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项目设计情况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是否超标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扭转偏大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2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最大位移比为</w:t>
            </w:r>
            <w:r>
              <w:rPr>
                <w:rFonts w:ascii="宋体" w:hAnsi="宋体" w:cs="宋体"/>
                <w:color w:val="FF0000"/>
                <w:sz w:val="28"/>
                <w:szCs w:val="28"/>
                <w:lang w:eastAsia="zh-CN"/>
              </w:rPr>
              <w:t>1.</w:t>
            </w:r>
            <w:r>
              <w:rPr>
                <w:rFonts w:hint="eastAsia" w:ascii="宋体" w:hAnsi="宋体" w:cs="宋体"/>
                <w:color w:val="FF0000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抗扭刚度弱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最大扭转周期比为</w:t>
            </w:r>
            <w:r>
              <w:rPr>
                <w:rFonts w:ascii="宋体" w:cs="宋体"/>
                <w:color w:val="FF0000"/>
                <w:sz w:val="28"/>
                <w:szCs w:val="28"/>
                <w:lang w:eastAsia="zh-CN"/>
              </w:rPr>
              <w:t>0.</w:t>
            </w:r>
            <w:r>
              <w:rPr>
                <w:rFonts w:hint="eastAsia" w:ascii="宋体" w:cs="宋体"/>
                <w:color w:val="FF0000"/>
                <w:sz w:val="28"/>
                <w:szCs w:val="28"/>
                <w:lang w:eastAsia="zh-CN"/>
              </w:rPr>
              <w:t>87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/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4"/>
                <w:sz w:val="28"/>
                <w:szCs w:val="28"/>
                <w:lang w:eastAsia="zh-CN"/>
              </w:rPr>
              <w:t>最不利楼层的侧向刚度大于相邻上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1734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20"/>
              <w:spacing w:before="85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层刚度偏小</w:t>
            </w:r>
          </w:p>
        </w:tc>
        <w:tc>
          <w:tcPr>
            <w:tcW w:w="447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20"/>
              <w:spacing w:before="85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-6"/>
                <w:sz w:val="28"/>
                <w:szCs w:val="28"/>
                <w:lang w:eastAsia="zh-CN"/>
              </w:rPr>
              <w:t>一层的</w:t>
            </w:r>
            <w:r>
              <w:rPr>
                <w:rFonts w:ascii="宋体" w:hAnsi="宋体" w:cs="宋体"/>
                <w:spacing w:val="-6"/>
                <w:sz w:val="28"/>
                <w:szCs w:val="28"/>
                <w:lang w:eastAsia="zh-CN"/>
              </w:rPr>
              <w:t>90%</w:t>
            </w:r>
            <w:r>
              <w:rPr>
                <w:rFonts w:hint="eastAsia" w:ascii="宋体" w:hAnsi="宋体" w:cs="宋体"/>
                <w:spacing w:val="-6"/>
                <w:sz w:val="28"/>
                <w:szCs w:val="28"/>
                <w:lang w:eastAsia="zh-CN"/>
              </w:rPr>
              <w:t>，或大于其上相邻三个楼</w:t>
            </w:r>
          </w:p>
        </w:tc>
        <w:tc>
          <w:tcPr>
            <w:tcW w:w="231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pStyle w:val="20"/>
              <w:spacing w:before="85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173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47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5"/>
              <w:ind w:left="103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层侧向刚度平均值的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>80%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23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高位转换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未设计转换构件。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厚板转换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2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未设计厚板转换结构。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塔楼偏置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塔楼偏心距小于</w:t>
            </w:r>
            <w:r>
              <w:rPr>
                <w:rFonts w:ascii="宋体" w:hAnsi="宋体" w:cs="宋体"/>
                <w:sz w:val="28"/>
                <w:szCs w:val="28"/>
              </w:rPr>
              <w:t>20%</w:t>
            </w:r>
            <w:r>
              <w:rPr>
                <w:rFonts w:hint="eastAsia" w:ascii="宋体" w:hAnsi="宋体" w:cs="宋体"/>
                <w:sz w:val="28"/>
                <w:szCs w:val="28"/>
              </w:rPr>
              <w:t>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right="1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复杂连接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2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未设计错层及连体结构。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exact"/>
        </w:trPr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多重复杂</w:t>
            </w:r>
          </w:p>
        </w:tc>
        <w:tc>
          <w:tcPr>
            <w:tcW w:w="4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2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未设计转换层、错层及连体结构。</w:t>
            </w:r>
          </w:p>
        </w:tc>
        <w:tc>
          <w:tcPr>
            <w:tcW w:w="2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否</w:t>
            </w:r>
          </w:p>
        </w:tc>
      </w:tr>
    </w:tbl>
    <w:p>
      <w:pPr>
        <w:jc w:val="center"/>
        <w:rPr>
          <w:rFonts w:ascii="宋体" w:cs="宋体"/>
          <w:sz w:val="28"/>
          <w:szCs w:val="28"/>
        </w:rPr>
        <w:sectPr>
          <w:pgSz w:w="11910" w:h="16840"/>
          <w:pgMar w:top="1540" w:right="1580" w:bottom="1180" w:left="1580" w:header="0" w:footer="982" w:gutter="0"/>
          <w:cols w:space="720" w:num="1"/>
        </w:sectPr>
      </w:pPr>
    </w:p>
    <w:p>
      <w:pPr>
        <w:pStyle w:val="8"/>
        <w:spacing w:before="237" w:line="408" w:lineRule="auto"/>
        <w:ind w:right="216" w:firstLine="643"/>
        <w:rPr>
          <w:rFonts w:hint="eastAsia" w:cs="宋体"/>
          <w:lang w:eastAsia="zh-CN"/>
        </w:rPr>
      </w:pPr>
      <w:r>
        <w:rPr>
          <w:rFonts w:cs="宋体"/>
          <w:lang w:eastAsia="zh-CN"/>
        </w:rPr>
        <w:t>2</w:t>
      </w:r>
      <w:r>
        <w:rPr>
          <w:rFonts w:hint="eastAsia" w:cs="宋体"/>
          <w:lang w:eastAsia="zh-CN"/>
        </w:rPr>
        <w:t>、由以上分析知，本项目未出现特别不规则类型，出现的一种平面不规则类型达不到建筑特别不规则类型的条件，故本项目的建筑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属于形体不规则类型。建筑形体规则性判定汇总如下表</w:t>
      </w:r>
      <w:r>
        <w:rPr>
          <w:rFonts w:cs="宋体"/>
          <w:lang w:eastAsia="zh-CN"/>
        </w:rPr>
        <w:t>7</w:t>
      </w:r>
      <w:r>
        <w:rPr>
          <w:rFonts w:hint="eastAsia" w:cs="宋体"/>
          <w:lang w:eastAsia="zh-CN"/>
        </w:rPr>
        <w:t>所示。</w:t>
      </w:r>
    </w:p>
    <w:p>
      <w:pPr>
        <w:tabs>
          <w:tab w:val="left" w:pos="3320"/>
        </w:tabs>
        <w:spacing w:line="351" w:lineRule="exact"/>
        <w:ind w:left="2616"/>
        <w:rPr>
          <w:rFonts w:ascii="宋体" w:cs="宋体"/>
          <w:b/>
          <w:bCs/>
          <w:w w:val="95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w w:val="95"/>
          <w:sz w:val="28"/>
          <w:szCs w:val="28"/>
          <w:lang w:eastAsia="zh-CN"/>
        </w:rPr>
        <w:t>表</w:t>
      </w:r>
      <w:r>
        <w:rPr>
          <w:rFonts w:ascii="宋体" w:hAnsi="宋体" w:cs="宋体"/>
          <w:b/>
          <w:bCs/>
          <w:w w:val="95"/>
          <w:sz w:val="28"/>
          <w:szCs w:val="28"/>
          <w:lang w:eastAsia="zh-CN"/>
        </w:rPr>
        <w:t>7</w:t>
      </w:r>
      <w:r>
        <w:rPr>
          <w:rFonts w:ascii="宋体" w:hAnsi="宋体" w:cs="宋体"/>
          <w:b/>
          <w:bCs/>
          <w:w w:val="95"/>
          <w:sz w:val="28"/>
          <w:szCs w:val="28"/>
          <w:lang w:eastAsia="zh-CN"/>
        </w:rPr>
        <w:tab/>
      </w:r>
      <w:r>
        <w:rPr>
          <w:rFonts w:hint="eastAsia" w:ascii="宋体" w:hAnsi="宋体" w:cs="宋体"/>
          <w:b/>
          <w:bCs/>
          <w:w w:val="95"/>
          <w:sz w:val="28"/>
          <w:szCs w:val="28"/>
          <w:lang w:eastAsia="zh-CN"/>
        </w:rPr>
        <w:t>建筑形体规则性判定</w:t>
      </w:r>
    </w:p>
    <w:p>
      <w:pPr>
        <w:spacing w:before="3"/>
        <w:rPr>
          <w:rFonts w:ascii="宋体" w:cs="宋体"/>
          <w:b/>
          <w:bCs/>
          <w:sz w:val="13"/>
          <w:szCs w:val="13"/>
          <w:lang w:eastAsia="zh-CN"/>
        </w:rPr>
      </w:pPr>
    </w:p>
    <w:tbl>
      <w:tblPr>
        <w:tblStyle w:val="11"/>
        <w:tblW w:w="8613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8"/>
        <w:gridCol w:w="1742"/>
        <w:gridCol w:w="2131"/>
        <w:gridCol w:w="222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不规则类型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103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超标条款数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500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指标说明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406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规则性判定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exact"/>
        </w:trPr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77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平面不规则（表</w:t>
            </w:r>
            <w:r>
              <w:rPr>
                <w:rFonts w:ascii="宋体" w:hAnsi="宋体" w:cs="宋体"/>
                <w:sz w:val="28"/>
                <w:szCs w:val="28"/>
              </w:rPr>
              <w:t>4</w:t>
            </w:r>
            <w:r>
              <w:rPr>
                <w:rFonts w:hint="eastAsia" w:ascii="宋体" w:hAnsi="宋体" w:cs="宋体"/>
                <w:sz w:val="28"/>
                <w:szCs w:val="28"/>
              </w:rPr>
              <w:t>）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>条</w:t>
            </w:r>
          </w:p>
        </w:tc>
        <w:tc>
          <w:tcPr>
            <w:tcW w:w="21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line="360" w:lineRule="exact"/>
              <w:ind w:left="103" w:right="197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两项合计超标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数为</w:t>
            </w:r>
            <w:r>
              <w:rPr>
                <w:rFonts w:hint="eastAsia" w:ascii="宋体" w:hAnsi="宋体" w:cs="宋体"/>
                <w:color w:val="FF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条，未达到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条及以上。</w:t>
            </w:r>
          </w:p>
        </w:tc>
        <w:tc>
          <w:tcPr>
            <w:tcW w:w="22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20"/>
              <w:rPr>
                <w:rFonts w:ascii="宋体" w:cs="宋体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20"/>
              <w:spacing w:before="2"/>
              <w:rPr>
                <w:rFonts w:ascii="宋体" w:cs="宋体"/>
                <w:b/>
                <w:bCs/>
                <w:sz w:val="30"/>
                <w:szCs w:val="30"/>
                <w:lang w:eastAsia="zh-CN"/>
              </w:rPr>
            </w:pPr>
          </w:p>
          <w:p>
            <w:pPr>
              <w:pStyle w:val="20"/>
              <w:ind w:left="122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建筑形体不规则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exact"/>
        </w:trPr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77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竖向不规则（表</w:t>
            </w:r>
            <w:r>
              <w:rPr>
                <w:rFonts w:ascii="宋体" w:hAnsi="宋体" w:cs="宋体"/>
                <w:sz w:val="28"/>
                <w:szCs w:val="28"/>
              </w:rPr>
              <w:t>5</w:t>
            </w:r>
            <w:r>
              <w:rPr>
                <w:rFonts w:hint="eastAsia" w:ascii="宋体" w:hAnsi="宋体" w:cs="宋体"/>
                <w:sz w:val="28"/>
                <w:szCs w:val="28"/>
              </w:rPr>
              <w:t>）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sz w:val="28"/>
                <w:szCs w:val="28"/>
              </w:rPr>
              <w:t>条</w:t>
            </w:r>
          </w:p>
        </w:tc>
        <w:tc>
          <w:tcPr>
            <w:tcW w:w="21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22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exact"/>
        </w:trPr>
        <w:tc>
          <w:tcPr>
            <w:tcW w:w="2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84"/>
              <w:ind w:left="77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特别不规则（表</w:t>
            </w:r>
            <w:r>
              <w:rPr>
                <w:rFonts w:ascii="宋体" w:hAnsi="宋体" w:cs="宋体"/>
                <w:sz w:val="28"/>
                <w:szCs w:val="28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</w:rPr>
              <w:t>）</w:t>
            </w:r>
          </w:p>
        </w:tc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before="132"/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cs="宋体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sz w:val="28"/>
                <w:szCs w:val="28"/>
              </w:rPr>
              <w:t>条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0"/>
              <w:spacing w:line="360" w:lineRule="exact"/>
              <w:ind w:left="103" w:right="102"/>
              <w:rPr>
                <w:rFonts w:ascii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pacing w:val="-6"/>
                <w:sz w:val="28"/>
                <w:szCs w:val="28"/>
                <w:lang w:eastAsia="zh-CN"/>
              </w:rPr>
              <w:t>表</w:t>
            </w:r>
            <w:r>
              <w:rPr>
                <w:rFonts w:ascii="宋体" w:hAnsi="宋体" w:cs="宋体"/>
                <w:spacing w:val="-6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宋体" w:hAnsi="宋体" w:cs="宋体"/>
                <w:spacing w:val="-6"/>
                <w:sz w:val="28"/>
                <w:szCs w:val="28"/>
                <w:lang w:eastAsia="zh-CN"/>
              </w:rPr>
              <w:t>、表</w:t>
            </w:r>
            <w:r>
              <w:rPr>
                <w:rFonts w:ascii="宋体" w:hAnsi="宋体" w:cs="宋体"/>
                <w:spacing w:val="-6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宋体" w:hAnsi="宋体" w:cs="宋体"/>
                <w:spacing w:val="-6"/>
                <w:sz w:val="28"/>
                <w:szCs w:val="28"/>
                <w:lang w:eastAsia="zh-CN"/>
              </w:rPr>
              <w:t>项未有</w:t>
            </w:r>
            <w:r>
              <w:rPr>
                <w:rFonts w:ascii="宋体" w:hAnsi="宋体" w:cs="宋体"/>
                <w:spacing w:val="-6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指标接近表</w:t>
            </w:r>
            <w:r>
              <w:rPr>
                <w:rFonts w:ascii="宋体" w:hAnsi="宋体" w:cs="宋体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项</w:t>
            </w:r>
          </w:p>
        </w:tc>
        <w:tc>
          <w:tcPr>
            <w:tcW w:w="22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pStyle w:val="8"/>
        <w:spacing w:before="237" w:line="408" w:lineRule="auto"/>
        <w:ind w:right="315" w:firstLine="560"/>
        <w:rPr>
          <w:rFonts w:hint="eastAsia"/>
          <w:lang w:eastAsia="zh-CN"/>
        </w:rPr>
      </w:pPr>
    </w:p>
    <w:sectPr>
      <w:pgSz w:w="11910" w:h="16840"/>
      <w:pgMar w:top="1540" w:right="1480" w:bottom="1180" w:left="1580" w:header="0" w:footer="98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3726180</wp:posOffset>
              </wp:positionH>
              <wp:positionV relativeFrom="page">
                <wp:posOffset>9930130</wp:posOffset>
              </wp:positionV>
              <wp:extent cx="107950" cy="139700"/>
              <wp:effectExtent l="0" t="0" r="0" b="0"/>
              <wp:wrapNone/>
              <wp:docPr id="5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9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04" w:lineRule="exact"/>
                            <w:ind w:left="40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93.4pt;margin-top:781.9pt;height:11pt;width:8.5pt;mso-position-horizontal-relative:page;mso-position-vertical-relative:page;z-index:-251657216;mso-width-relative:page;mso-height-relative:page;" filled="f" stroked="f" coordsize="21600,21600" o:gfxdata="UEsDBAoAAAAAAIdO4kAAAAAAAAAAAAAAAAAEAAAAZHJzL1BLAwQUAAAACACHTuJANAX6MtgAAAAN&#10;AQAADwAAAGRycy9kb3ducmV2LnhtbE2PzU7DMBCE70i8g7VI3KhdUKwQ4lQIwQkJkYYDRyd2E6vx&#10;OsTuD2/P5kRvszuj2W/LzdmP7Gjn6AIqWK8EMItdMA57BV/N210OLCaNRo8BrYJfG2FTXV+VujDh&#10;hLU9blPPqARjoRUMKU0F57EbrNdxFSaL5O3C7HWice65mfWJyv3I74WQ3GuHdGHQk30ZbLffHryC&#10;52+sX93PR/tZ72rXNI8C3+VeqdubtXgCluw5/YdhwSd0qIipDQc0kY0KslwSeiIjkw+kKCLFItpl&#10;lWc58Krkl19Uf1BLAwQUAAAACACHTuJA9swEJ6ABAAAmAwAADgAAAGRycy9lMm9Eb2MueG1srVLB&#10;bhshEL1Hyj8g7jVrV27ildeRqihRpSqtlOQDMAteJGAQEO/6B9o/yKmX3vtd/o4OxOs0yS3qBYaZ&#10;4fHeG5YXgzVkK0PU4Bo6nVSUSCeg1W7T0Pu7qw/nlMTEXcsNONnQnYz0YnV6sux9LWfQgWllIAji&#10;Yt37hnYp+ZqxKDppeZyAlw6LCoLlCY9hw9rAe0S3hs2q6hPrIbQ+gJAxYvbyqUhXBV8pKdI3paJM&#10;xDQUuaWyhrKu88pWS15vAvedFgca/B0sLNcOHz1CXfLEyUPQb6CsFgEiqDQRYBkopYUsGlDNtHql&#10;5rbjXhYtaE70R5vi/4MVN9vvgei2oXNKHLc4ov3jz/2vP/vfP8i0ms2zQ72PNTbeemxNw2cYcNJj&#10;PmIyCx9UsHlHSQTr6PXu6K8cEhH5UnW2mGNFYGn6cXFWFf/Z82UfYrqWYEkOGhpwfMVVvv0aExLB&#10;1rElv+XgShtTRmjciwQ25gzLzJ8Y5igN6+EgZw3tDtWYLw7NzB9jDMIYrMfgwQe96ZBO0VwgcRiF&#10;zOHj5Gn/ey4PP3/v1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0Bfoy2AAAAA0BAAAPAAAAAAAA&#10;AAEAIAAAACIAAABkcnMvZG93bnJldi54bWxQSwECFAAUAAAACACHTuJA9swEJ6ABAAAmAwAADgAA&#10;AAAAAAABACAAAAAnAQAAZHJzL2Uyb0RvYy54bWxQSwUGAAAAAAYABgBZAQAAO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4" w:lineRule="exact"/>
                      <w:ind w:left="40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/>
                        <w:sz w:val="18"/>
                      </w:rPr>
                      <w:t>8</w:t>
                    </w:r>
                    <w:r>
                      <w:rPr>
                        <w:rFonts w:ascii="Times New Roman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1,3"/>
    </o:shapelayout>
  </w:hdrShapeDefaults>
  <w:compat>
    <w:ulTrailSpac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0NmZkZGE0MWZkYmI4NTBmNzMwYzA2ZGFlMGFhMWYifQ=="/>
  </w:docVars>
  <w:rsids>
    <w:rsidRoot w:val="00247933"/>
    <w:rsid w:val="00015400"/>
    <w:rsid w:val="000A5DB9"/>
    <w:rsid w:val="000E42F9"/>
    <w:rsid w:val="00110132"/>
    <w:rsid w:val="001377D7"/>
    <w:rsid w:val="001502F8"/>
    <w:rsid w:val="001C754F"/>
    <w:rsid w:val="001D473D"/>
    <w:rsid w:val="001F3145"/>
    <w:rsid w:val="001F523B"/>
    <w:rsid w:val="002030FF"/>
    <w:rsid w:val="00247933"/>
    <w:rsid w:val="002B414F"/>
    <w:rsid w:val="002C598A"/>
    <w:rsid w:val="0035742C"/>
    <w:rsid w:val="00364D34"/>
    <w:rsid w:val="00375A5A"/>
    <w:rsid w:val="003A7710"/>
    <w:rsid w:val="00402D90"/>
    <w:rsid w:val="00410AD1"/>
    <w:rsid w:val="004A4DDB"/>
    <w:rsid w:val="004B120F"/>
    <w:rsid w:val="005F4587"/>
    <w:rsid w:val="005F45E8"/>
    <w:rsid w:val="006450A5"/>
    <w:rsid w:val="00667E3D"/>
    <w:rsid w:val="007008A8"/>
    <w:rsid w:val="0070680F"/>
    <w:rsid w:val="007B2D2B"/>
    <w:rsid w:val="007C181A"/>
    <w:rsid w:val="008544D7"/>
    <w:rsid w:val="008F560C"/>
    <w:rsid w:val="009539CB"/>
    <w:rsid w:val="009555B3"/>
    <w:rsid w:val="009562C2"/>
    <w:rsid w:val="00986B87"/>
    <w:rsid w:val="009B1057"/>
    <w:rsid w:val="009D71F4"/>
    <w:rsid w:val="009E4BBD"/>
    <w:rsid w:val="00A255E2"/>
    <w:rsid w:val="00A41F12"/>
    <w:rsid w:val="00A6327C"/>
    <w:rsid w:val="00AA7E3A"/>
    <w:rsid w:val="00AF6F68"/>
    <w:rsid w:val="00B34412"/>
    <w:rsid w:val="00BF4BE6"/>
    <w:rsid w:val="00C174DE"/>
    <w:rsid w:val="00C230B8"/>
    <w:rsid w:val="00C2426E"/>
    <w:rsid w:val="00C7577C"/>
    <w:rsid w:val="00CA39F0"/>
    <w:rsid w:val="00CB7763"/>
    <w:rsid w:val="00CC71D8"/>
    <w:rsid w:val="00D07A5C"/>
    <w:rsid w:val="00D1315A"/>
    <w:rsid w:val="00D40830"/>
    <w:rsid w:val="00D5598F"/>
    <w:rsid w:val="00D55D97"/>
    <w:rsid w:val="00D6793B"/>
    <w:rsid w:val="00F07ABD"/>
    <w:rsid w:val="00F100D2"/>
    <w:rsid w:val="00F25545"/>
    <w:rsid w:val="00F462B5"/>
    <w:rsid w:val="00F8349C"/>
    <w:rsid w:val="09AE5B91"/>
    <w:rsid w:val="0BC60FBD"/>
    <w:rsid w:val="1E035804"/>
    <w:rsid w:val="397248A9"/>
    <w:rsid w:val="46D7402D"/>
    <w:rsid w:val="492E2A4F"/>
    <w:rsid w:val="4D1D2CA1"/>
    <w:rsid w:val="4F54083F"/>
    <w:rsid w:val="563952DB"/>
    <w:rsid w:val="58503BF1"/>
    <w:rsid w:val="5E634D22"/>
    <w:rsid w:val="681F14C4"/>
    <w:rsid w:val="7BF7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"/>
    <w:qFormat/>
    <w:uiPriority w:val="99"/>
    <w:pPr>
      <w:ind w:left="1732"/>
      <w:outlineLvl w:val="0"/>
    </w:pPr>
    <w:rPr>
      <w:rFonts w:ascii="宋体" w:hAnsi="宋体"/>
      <w:b/>
      <w:bCs/>
      <w:sz w:val="48"/>
      <w:szCs w:val="48"/>
    </w:rPr>
  </w:style>
  <w:style w:type="paragraph" w:styleId="4">
    <w:name w:val="heading 2"/>
    <w:basedOn w:val="1"/>
    <w:next w:val="1"/>
    <w:link w:val="14"/>
    <w:qFormat/>
    <w:uiPriority w:val="99"/>
    <w:pPr>
      <w:ind w:left="99"/>
      <w:outlineLvl w:val="1"/>
    </w:pPr>
    <w:rPr>
      <w:rFonts w:ascii="宋体" w:hAnsi="宋体"/>
      <w:b/>
      <w:bCs/>
      <w:sz w:val="36"/>
      <w:szCs w:val="36"/>
    </w:rPr>
  </w:style>
  <w:style w:type="paragraph" w:styleId="5">
    <w:name w:val="heading 3"/>
    <w:basedOn w:val="1"/>
    <w:next w:val="1"/>
    <w:link w:val="15"/>
    <w:qFormat/>
    <w:uiPriority w:val="99"/>
    <w:pPr>
      <w:ind w:left="220"/>
      <w:outlineLvl w:val="2"/>
    </w:pPr>
    <w:rPr>
      <w:rFonts w:ascii="宋体" w:hAnsi="宋体"/>
      <w:b/>
      <w:bCs/>
      <w:sz w:val="32"/>
      <w:szCs w:val="32"/>
    </w:rPr>
  </w:style>
  <w:style w:type="paragraph" w:styleId="6">
    <w:name w:val="heading 4"/>
    <w:basedOn w:val="1"/>
    <w:next w:val="1"/>
    <w:link w:val="16"/>
    <w:qFormat/>
    <w:uiPriority w:val="99"/>
    <w:pPr>
      <w:spacing w:before="61"/>
      <w:ind w:left="2756"/>
      <w:outlineLvl w:val="3"/>
    </w:pPr>
    <w:rPr>
      <w:rFonts w:ascii="宋体" w:hAnsi="宋体"/>
      <w:b/>
      <w:bCs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7">
    <w:name w:val="Document Map"/>
    <w:basedOn w:val="1"/>
    <w:link w:val="23"/>
    <w:semiHidden/>
    <w:qFormat/>
    <w:uiPriority w:val="99"/>
    <w:pPr>
      <w:shd w:val="clear" w:color="auto" w:fill="000080"/>
    </w:pPr>
  </w:style>
  <w:style w:type="paragraph" w:styleId="8">
    <w:name w:val="Body Text"/>
    <w:basedOn w:val="1"/>
    <w:link w:val="18"/>
    <w:qFormat/>
    <w:uiPriority w:val="99"/>
    <w:pPr>
      <w:spacing w:before="61"/>
      <w:ind w:left="220"/>
    </w:pPr>
    <w:rPr>
      <w:rFonts w:ascii="宋体" w:hAnsi="宋体"/>
      <w:sz w:val="28"/>
      <w:szCs w:val="28"/>
    </w:rPr>
  </w:style>
  <w:style w:type="paragraph" w:styleId="9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标题 1 字符"/>
    <w:link w:val="3"/>
    <w:qFormat/>
    <w:uiPriority w:val="9"/>
    <w:rPr>
      <w:b/>
      <w:bCs/>
      <w:kern w:val="44"/>
      <w:sz w:val="44"/>
      <w:szCs w:val="44"/>
      <w:lang w:eastAsia="en-US"/>
    </w:rPr>
  </w:style>
  <w:style w:type="character" w:customStyle="1" w:styleId="14">
    <w:name w:val="标题 2 字符"/>
    <w:link w:val="4"/>
    <w:semiHidden/>
    <w:qFormat/>
    <w:uiPriority w:val="9"/>
    <w:rPr>
      <w:rFonts w:ascii="Cambria" w:hAnsi="Cambria" w:eastAsia="宋体" w:cs="Times New Roman"/>
      <w:b/>
      <w:bCs/>
      <w:kern w:val="0"/>
      <w:sz w:val="32"/>
      <w:szCs w:val="32"/>
      <w:lang w:eastAsia="en-US"/>
    </w:rPr>
  </w:style>
  <w:style w:type="character" w:customStyle="1" w:styleId="15">
    <w:name w:val="标题 3 字符"/>
    <w:link w:val="5"/>
    <w:semiHidden/>
    <w:qFormat/>
    <w:uiPriority w:val="9"/>
    <w:rPr>
      <w:b/>
      <w:bCs/>
      <w:kern w:val="0"/>
      <w:sz w:val="32"/>
      <w:szCs w:val="32"/>
      <w:lang w:eastAsia="en-US"/>
    </w:rPr>
  </w:style>
  <w:style w:type="character" w:customStyle="1" w:styleId="16">
    <w:name w:val="标题 4 字符"/>
    <w:link w:val="6"/>
    <w:semiHidden/>
    <w:qFormat/>
    <w:uiPriority w:val="9"/>
    <w:rPr>
      <w:rFonts w:ascii="Cambria" w:hAnsi="Cambria" w:eastAsia="宋体" w:cs="Times New Roman"/>
      <w:b/>
      <w:bCs/>
      <w:kern w:val="0"/>
      <w:sz w:val="28"/>
      <w:szCs w:val="28"/>
      <w:lang w:eastAsia="en-US"/>
    </w:rPr>
  </w:style>
  <w:style w:type="table" w:customStyle="1" w:styleId="17">
    <w:name w:val="Table Normal1"/>
    <w:semiHidden/>
    <w:qFormat/>
    <w:uiPriority w:val="99"/>
    <w:pPr>
      <w:widowControl w:val="0"/>
    </w:pPr>
    <w:rPr>
      <w:sz w:val="22"/>
      <w:szCs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正文文本 字符"/>
    <w:link w:val="8"/>
    <w:semiHidden/>
    <w:qFormat/>
    <w:uiPriority w:val="99"/>
    <w:rPr>
      <w:kern w:val="0"/>
      <w:sz w:val="22"/>
      <w:lang w:eastAsia="en-US"/>
    </w:rPr>
  </w:style>
  <w:style w:type="paragraph" w:styleId="19">
    <w:name w:val="List Paragraph"/>
    <w:basedOn w:val="1"/>
    <w:qFormat/>
    <w:uiPriority w:val="99"/>
  </w:style>
  <w:style w:type="paragraph" w:customStyle="1" w:styleId="20">
    <w:name w:val="Table Paragraph"/>
    <w:basedOn w:val="1"/>
    <w:qFormat/>
    <w:uiPriority w:val="99"/>
  </w:style>
  <w:style w:type="character" w:customStyle="1" w:styleId="21">
    <w:name w:val="页眉 字符"/>
    <w:link w:val="10"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页脚 字符"/>
    <w:link w:val="9"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文档结构图 字符"/>
    <w:link w:val="7"/>
    <w:semiHidden/>
    <w:qFormat/>
    <w:uiPriority w:val="99"/>
    <w:rPr>
      <w:rFonts w:ascii="Times New Roman" w:hAnsi="Times New Roman"/>
      <w:kern w:val="0"/>
      <w:sz w:val="0"/>
      <w:szCs w:val="0"/>
      <w:lang w:eastAsia="en-US"/>
    </w:rPr>
  </w:style>
  <w:style w:type="character" w:customStyle="1" w:styleId="24">
    <w:name w:val="宏文本 字符"/>
    <w:link w:val="2"/>
    <w:qFormat/>
    <w:uiPriority w:val="0"/>
    <w:rPr>
      <w:rFonts w:ascii="Courier New" w:hAnsi="Courier New" w:cs="Courier New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1688</Words>
  <Characters>1769</Characters>
  <Lines>15</Lines>
  <Paragraphs>4</Paragraphs>
  <TotalTime>1</TotalTime>
  <ScaleCrop>false</ScaleCrop>
  <LinksUpToDate>false</LinksUpToDate>
  <CharactersWithSpaces>1977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2020-04-27T14:51:00Z</dcterms:created>
  <dc:creator>Administrator</dc:creator>
  <cp:lastModifiedBy>Administrator</cp:lastModifiedBy>
  <dcterms:modified xsi:type="dcterms:W3CDTF">2025-11-18T11:17:35Z</dcterms:modified>
  <dc:title>&lt;4D6963726F736F667420576F7264202D20A3A8D7EED6D5A3A9BDA8D6FED0CECCE5B9E6D4F2D0D4C5D0B6A8B1A8B8E62E646F63&gt;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5.2.2</vt:lpwstr>
  </property>
  <property fmtid="{D5CDD505-2E9C-101B-9397-08002B2CF9AE}" pid="3" name="KSOProductBuildVer">
    <vt:lpwstr>2052-11.8.2.8411</vt:lpwstr>
  </property>
  <property fmtid="{D5CDD505-2E9C-101B-9397-08002B2CF9AE}" pid="4" name="ICV">
    <vt:lpwstr>401404AC603E432D86B1C790BBEEBFCA_12</vt:lpwstr>
  </property>
  <property fmtid="{D5CDD505-2E9C-101B-9397-08002B2CF9AE}" pid="5" name="KSOTemplateDocerSaveRecord">
    <vt:lpwstr>eyJoZGlkIjoiNzM0NmZkZGE0MWZkYmI4NTBmNzMwYzA2ZGFlMGFhMWYiLCJ1c2VySWQiOiIxMjkwMDE3MTk0In0=</vt:lpwstr>
  </property>
</Properties>
</file>