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Theme="minorEastAsia" w:hAnsiTheme="minorEastAsia" w:eastAsiaTheme="minorEastAsia" w:cstheme="minorEastAsia"/>
          <w:b/>
          <w:sz w:val="32"/>
          <w:szCs w:val="32"/>
        </w:rPr>
      </w:pPr>
    </w:p>
    <w:p>
      <w:pPr>
        <w:jc w:val="center"/>
        <w:rPr>
          <w:rFonts w:hint="eastAsia" w:asciiTheme="minorEastAsia" w:hAnsiTheme="minorEastAsia" w:eastAsiaTheme="minorEastAsia" w:cstheme="minorEastAsia"/>
          <w:b/>
          <w:sz w:val="32"/>
          <w:szCs w:val="32"/>
        </w:rPr>
      </w:pPr>
    </w:p>
    <w:p>
      <w:pPr>
        <w:jc w:val="center"/>
        <w:rPr>
          <w:rFonts w:hint="eastAsia" w:asciiTheme="minorEastAsia" w:hAnsiTheme="minorEastAsia" w:eastAsiaTheme="minorEastAsia" w:cstheme="minorEastAsia"/>
          <w:b/>
          <w:sz w:val="52"/>
          <w:szCs w:val="52"/>
        </w:rPr>
      </w:pPr>
      <w:r>
        <w:rPr>
          <w:rFonts w:hint="eastAsia" w:asciiTheme="minorEastAsia" w:hAnsiTheme="minorEastAsia" w:eastAsiaTheme="minorEastAsia" w:cstheme="minorEastAsia"/>
          <w:b/>
          <w:sz w:val="52"/>
          <w:szCs w:val="52"/>
        </w:rPr>
        <w:t>标识系统设计与设置说明</w:t>
      </w:r>
    </w:p>
    <w:p>
      <w:pPr>
        <w:jc w:val="center"/>
        <w:rPr>
          <w:rFonts w:hint="eastAsia" w:asciiTheme="minorEastAsia" w:hAnsiTheme="minorEastAsia" w:eastAsiaTheme="minorEastAsia" w:cstheme="minorEastAsia"/>
          <w:b/>
          <w:sz w:val="32"/>
          <w:szCs w:val="32"/>
        </w:rPr>
      </w:pPr>
    </w:p>
    <w:p>
      <w:pPr>
        <w:jc w:val="center"/>
        <w:rPr>
          <w:rFonts w:hint="eastAsia" w:asciiTheme="minorEastAsia" w:hAnsiTheme="minorEastAsia" w:eastAsiaTheme="minorEastAsia" w:cstheme="minorEastAsia"/>
          <w:b/>
          <w:sz w:val="32"/>
          <w:szCs w:val="32"/>
        </w:rPr>
      </w:pPr>
    </w:p>
    <w:p>
      <w:pPr>
        <w:jc w:val="center"/>
        <w:rPr>
          <w:rFonts w:hint="eastAsia" w:asciiTheme="minorEastAsia" w:hAnsiTheme="minorEastAsia" w:eastAsiaTheme="minorEastAsia" w:cstheme="minorEastAsia"/>
          <w:b/>
          <w:sz w:val="32"/>
          <w:szCs w:val="32"/>
        </w:rPr>
      </w:pPr>
    </w:p>
    <w:p>
      <w:pPr>
        <w:jc w:val="center"/>
        <w:rPr>
          <w:rFonts w:hint="eastAsia" w:asciiTheme="minorEastAsia" w:hAnsiTheme="minorEastAsia" w:eastAsiaTheme="minorEastAsia" w:cstheme="minorEastAsia"/>
          <w:b/>
          <w:sz w:val="32"/>
          <w:szCs w:val="32"/>
        </w:rPr>
      </w:pPr>
      <w:bookmarkStart w:id="0" w:name="_GoBack"/>
      <w:bookmarkEnd w:id="0"/>
    </w:p>
    <w:p>
      <w:pPr>
        <w:jc w:val="center"/>
        <w:rPr>
          <w:rFonts w:hint="eastAsia" w:asciiTheme="minorEastAsia" w:hAnsiTheme="minorEastAsia" w:eastAsiaTheme="minorEastAsia" w:cstheme="minorEastAsia"/>
          <w:b/>
          <w:sz w:val="32"/>
          <w:szCs w:val="32"/>
        </w:rPr>
      </w:pPr>
    </w:p>
    <w:p>
      <w:pPr>
        <w:autoSpaceDE w:val="0"/>
        <w:autoSpaceDN w:val="0"/>
        <w:adjustRightInd w:val="0"/>
        <w:spacing w:beforeLines="0" w:after="100" w:afterLines="0" w:line="240" w:lineRule="auto"/>
        <w:ind w:firstLine="1120" w:firstLineChars="400"/>
        <w:rPr>
          <w:rFonts w:hint="default" w:ascii="宋体" w:hAnsi="Times New Roman" w:eastAsia="宋体"/>
          <w:color w:val="000000"/>
          <w:kern w:val="0"/>
          <w:position w:val="20"/>
          <w:sz w:val="28"/>
          <w:u w:val="single"/>
        </w:rPr>
      </w:pPr>
      <w:r>
        <w:rPr>
          <w:rFonts w:hint="eastAsia" w:ascii="Times New Roman" w:hAnsi="Times New Roman" w:eastAsia="宋体"/>
          <w:color w:val="000000"/>
          <w:kern w:val="0"/>
          <w:position w:val="20"/>
          <w:sz w:val="28"/>
        </w:rPr>
        <w:t>项目名称：</w:t>
      </w:r>
      <w:r>
        <w:rPr>
          <w:rFonts w:hint="default" w:ascii="Times New Roman" w:hAnsi="Times New Roman" w:eastAsia="宋体"/>
          <w:color w:val="000000"/>
          <w:kern w:val="0"/>
          <w:position w:val="20"/>
          <w:sz w:val="28"/>
          <w:u w:val="single"/>
        </w:rPr>
        <w:t xml:space="preserve">     </w:t>
      </w:r>
      <w:r>
        <w:rPr>
          <w:rFonts w:hint="eastAsia" w:ascii="Times New Roman" w:hAnsi="Times New Roman" w:eastAsia="宋体"/>
          <w:color w:val="000000"/>
          <w:kern w:val="0"/>
          <w:position w:val="20"/>
          <w:sz w:val="28"/>
          <w:u w:val="single"/>
        </w:rPr>
        <w:t>越西县文昌中学扩建工程项目</w:t>
      </w:r>
      <w:r>
        <w:rPr>
          <w:rFonts w:hint="default" w:ascii="Times New Roman" w:hAnsi="Times New Roman" w:eastAsia="宋体"/>
          <w:color w:val="000000"/>
          <w:kern w:val="0"/>
          <w:position w:val="20"/>
          <w:sz w:val="28"/>
          <w:u w:val="single"/>
        </w:rPr>
        <w:t xml:space="preserve">     </w:t>
      </w:r>
    </w:p>
    <w:p>
      <w:pPr>
        <w:autoSpaceDE w:val="0"/>
        <w:autoSpaceDN w:val="0"/>
        <w:adjustRightInd w:val="0"/>
        <w:spacing w:beforeLines="0" w:after="100" w:afterLines="0" w:line="240" w:lineRule="auto"/>
        <w:rPr>
          <w:rFonts w:hint="default" w:ascii="宋体" w:hAnsi="Times New Roman" w:eastAsia="宋体"/>
          <w:color w:val="000000"/>
          <w:kern w:val="0"/>
          <w:position w:val="20"/>
          <w:sz w:val="28"/>
          <w:u w:val="single"/>
        </w:rPr>
      </w:pPr>
      <w:r>
        <w:rPr>
          <w:rFonts w:hint="eastAsia" w:ascii="Times New Roman" w:hAnsi="Times New Roman" w:eastAsia="宋体"/>
          <w:color w:val="000000"/>
          <w:kern w:val="0"/>
          <w:position w:val="20"/>
          <w:sz w:val="44"/>
        </w:rPr>
        <w:drawing>
          <wp:anchor distT="0" distB="0" distL="114300" distR="114300" simplePos="0" relativeHeight="251682816" behindDoc="1" locked="0" layoutInCell="1" allowOverlap="1">
            <wp:simplePos x="0" y="0"/>
            <wp:positionH relativeFrom="column">
              <wp:posOffset>2512060</wp:posOffset>
            </wp:positionH>
            <wp:positionV relativeFrom="paragraph">
              <wp:posOffset>192405</wp:posOffset>
            </wp:positionV>
            <wp:extent cx="861695" cy="418465"/>
            <wp:effectExtent l="0" t="0" r="14605" b="635"/>
            <wp:wrapNone/>
            <wp:docPr id="4" name="图片 2" descr="设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设计"/>
                    <pic:cNvPicPr>
                      <a:picLocks noChangeAspect="1"/>
                    </pic:cNvPicPr>
                  </pic:nvPicPr>
                  <pic:blipFill>
                    <a:blip r:embed="rId4"/>
                    <a:stretch>
                      <a:fillRect/>
                    </a:stretch>
                  </pic:blipFill>
                  <pic:spPr>
                    <a:xfrm>
                      <a:off x="0" y="0"/>
                      <a:ext cx="861695" cy="418465"/>
                    </a:xfrm>
                    <a:prstGeom prst="rect">
                      <a:avLst/>
                    </a:prstGeom>
                    <a:noFill/>
                    <a:ln>
                      <a:noFill/>
                    </a:ln>
                  </pic:spPr>
                </pic:pic>
              </a:graphicData>
            </a:graphic>
          </wp:anchor>
        </w:drawing>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项目地点：</w:t>
      </w:r>
      <w:r>
        <w:rPr>
          <w:rFonts w:hint="default" w:ascii="Times New Roman" w:hAnsi="Times New Roman" w:eastAsia="宋体"/>
          <w:color w:val="000000"/>
          <w:kern w:val="0"/>
          <w:position w:val="20"/>
          <w:sz w:val="28"/>
          <w:u w:val="single"/>
        </w:rPr>
        <w:t xml:space="preserve">     </w:t>
      </w:r>
      <w:r>
        <w:rPr>
          <w:rFonts w:hint="eastAsia" w:ascii="Times New Roman" w:hAnsi="Times New Roman" w:eastAsia="宋体"/>
          <w:color w:val="000000"/>
          <w:kern w:val="0"/>
          <w:position w:val="20"/>
          <w:sz w:val="28"/>
          <w:u w:val="single"/>
        </w:rPr>
        <w:t>四川省凉山州越西县文昌中学</w:t>
      </w:r>
      <w:r>
        <w:rPr>
          <w:rFonts w:hint="default" w:ascii="Times New Roman" w:hAnsi="Times New Roman" w:eastAsia="宋体"/>
          <w:color w:val="000000"/>
          <w:kern w:val="0"/>
          <w:position w:val="20"/>
          <w:sz w:val="28"/>
          <w:u w:val="single"/>
        </w:rPr>
        <w:t xml:space="preserve">     </w:t>
      </w:r>
    </w:p>
    <w:p>
      <w:pPr>
        <w:autoSpaceDE w:val="0"/>
        <w:autoSpaceDN w:val="0"/>
        <w:adjustRightInd w:val="0"/>
        <w:spacing w:beforeLines="0" w:after="100" w:afterLines="0" w:line="240" w:lineRule="auto"/>
        <w:rPr>
          <w:rFonts w:hint="eastAsia" w:ascii="宋体" w:hAnsi="Times New Roman" w:eastAsia="宋体"/>
          <w:color w:val="000000"/>
          <w:kern w:val="0"/>
          <w:position w:val="20"/>
          <w:sz w:val="28"/>
          <w:u w:val="single"/>
          <w:lang w:eastAsia="zh-CN"/>
        </w:rPr>
      </w:pPr>
      <w:r>
        <w:rPr>
          <w:rFonts w:hint="eastAsia" w:ascii="宋体" w:hAnsi="Times New Roman" w:eastAsia="宋体"/>
          <w:color w:val="000000"/>
          <w:kern w:val="0"/>
          <w:position w:val="20"/>
          <w:sz w:val="28"/>
          <w:u w:val="single"/>
          <w:lang w:eastAsia="zh-CN"/>
        </w:rPr>
        <w:drawing>
          <wp:anchor distT="0" distB="0" distL="114300" distR="114300" simplePos="0" relativeHeight="251683840" behindDoc="1" locked="0" layoutInCell="1" allowOverlap="1">
            <wp:simplePos x="0" y="0"/>
            <wp:positionH relativeFrom="column">
              <wp:posOffset>2614295</wp:posOffset>
            </wp:positionH>
            <wp:positionV relativeFrom="paragraph">
              <wp:posOffset>205105</wp:posOffset>
            </wp:positionV>
            <wp:extent cx="755650" cy="398145"/>
            <wp:effectExtent l="0" t="0" r="6350" b="1905"/>
            <wp:wrapNone/>
            <wp:docPr id="30" name="图片 3" descr="校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descr="校对"/>
                    <pic:cNvPicPr>
                      <a:picLocks noChangeAspect="1"/>
                    </pic:cNvPicPr>
                  </pic:nvPicPr>
                  <pic:blipFill>
                    <a:blip r:embed="rId5"/>
                    <a:stretch>
                      <a:fillRect/>
                    </a:stretch>
                  </pic:blipFill>
                  <pic:spPr>
                    <a:xfrm>
                      <a:off x="0" y="0"/>
                      <a:ext cx="755650" cy="398145"/>
                    </a:xfrm>
                    <a:prstGeom prst="rect">
                      <a:avLst/>
                    </a:prstGeom>
                    <a:noFill/>
                    <a:ln>
                      <a:noFill/>
                    </a:ln>
                  </pic:spPr>
                </pic:pic>
              </a:graphicData>
            </a:graphic>
          </wp:anchor>
        </w:drawing>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设</w:t>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计</w:t>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人：</w:t>
      </w:r>
      <w:r>
        <w:rPr>
          <w:rFonts w:hint="default" w:ascii="Times New Roman" w:hAnsi="Times New Roman" w:eastAsia="宋体"/>
          <w:color w:val="000000"/>
          <w:kern w:val="0"/>
          <w:position w:val="20"/>
          <w:sz w:val="28"/>
          <w:u w:val="single"/>
        </w:rPr>
        <w:t xml:space="preserve">                                    </w:t>
      </w:r>
    </w:p>
    <w:p>
      <w:pPr>
        <w:autoSpaceDE w:val="0"/>
        <w:autoSpaceDN w:val="0"/>
        <w:adjustRightInd w:val="0"/>
        <w:spacing w:beforeLines="0" w:after="100" w:afterLines="0" w:line="240" w:lineRule="auto"/>
        <w:rPr>
          <w:rFonts w:hint="default" w:ascii="宋体" w:hAnsi="Times New Roman" w:eastAsia="宋体"/>
          <w:color w:val="000000"/>
          <w:kern w:val="0"/>
          <w:position w:val="20"/>
          <w:sz w:val="28"/>
          <w:u w:val="single"/>
        </w:rPr>
      </w:pPr>
      <w:r>
        <w:rPr>
          <w:rFonts w:hint="eastAsia" w:ascii="宋体" w:hAnsi="Times New Roman" w:eastAsia="宋体"/>
          <w:color w:val="000000"/>
          <w:kern w:val="0"/>
          <w:position w:val="20"/>
          <w:sz w:val="28"/>
          <w:u w:val="single"/>
          <w:lang w:eastAsia="zh-CN"/>
        </w:rPr>
        <w:drawing>
          <wp:anchor distT="0" distB="0" distL="114300" distR="114300" simplePos="0" relativeHeight="251684864" behindDoc="1" locked="0" layoutInCell="1" allowOverlap="1">
            <wp:simplePos x="0" y="0"/>
            <wp:positionH relativeFrom="column">
              <wp:posOffset>2684780</wp:posOffset>
            </wp:positionH>
            <wp:positionV relativeFrom="paragraph">
              <wp:posOffset>240030</wp:posOffset>
            </wp:positionV>
            <wp:extent cx="718820" cy="365125"/>
            <wp:effectExtent l="0" t="0" r="5080" b="15875"/>
            <wp:wrapNone/>
            <wp:docPr id="29" name="图片 4" descr="审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审核"/>
                    <pic:cNvPicPr>
                      <a:picLocks noChangeAspect="1"/>
                    </pic:cNvPicPr>
                  </pic:nvPicPr>
                  <pic:blipFill>
                    <a:blip r:embed="rId6"/>
                    <a:stretch>
                      <a:fillRect/>
                    </a:stretch>
                  </pic:blipFill>
                  <pic:spPr>
                    <a:xfrm>
                      <a:off x="0" y="0"/>
                      <a:ext cx="718820" cy="365125"/>
                    </a:xfrm>
                    <a:prstGeom prst="rect">
                      <a:avLst/>
                    </a:prstGeom>
                    <a:noFill/>
                    <a:ln>
                      <a:noFill/>
                    </a:ln>
                  </pic:spPr>
                </pic:pic>
              </a:graphicData>
            </a:graphic>
          </wp:anchor>
        </w:drawing>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校</w:t>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对</w:t>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人：</w:t>
      </w:r>
      <w:r>
        <w:rPr>
          <w:rFonts w:hint="default" w:ascii="Times New Roman" w:hAnsi="Times New Roman" w:eastAsia="宋体"/>
          <w:color w:val="000000"/>
          <w:kern w:val="0"/>
          <w:position w:val="20"/>
          <w:sz w:val="28"/>
          <w:u w:val="single"/>
        </w:rPr>
        <w:t xml:space="preserve">                                    </w:t>
      </w:r>
    </w:p>
    <w:p>
      <w:pPr>
        <w:autoSpaceDE w:val="0"/>
        <w:autoSpaceDN w:val="0"/>
        <w:adjustRightInd w:val="0"/>
        <w:spacing w:beforeLines="0" w:after="100" w:afterLines="0" w:line="240" w:lineRule="auto"/>
        <w:rPr>
          <w:rFonts w:hint="eastAsia" w:ascii="宋体" w:hAnsi="Times New Roman" w:eastAsia="宋体"/>
          <w:color w:val="000000"/>
          <w:kern w:val="0"/>
          <w:position w:val="20"/>
          <w:sz w:val="28"/>
          <w:u w:val="single"/>
          <w:lang w:eastAsia="zh-CN"/>
        </w:rPr>
      </w:pPr>
      <w:r>
        <w:rPr>
          <w:rFonts w:hint="default" w:ascii="Times New Roman" w:hAnsi="Times New Roman" w:eastAsia="宋体"/>
          <w:color w:val="000000"/>
          <w:kern w:val="0"/>
          <w:position w:val="20"/>
          <w:sz w:val="28"/>
          <w:u w:val="single"/>
        </w:rPr>
        <w:drawing>
          <wp:anchor distT="0" distB="0" distL="114300" distR="114300" simplePos="0" relativeHeight="251685888" behindDoc="1" locked="0" layoutInCell="1" allowOverlap="1">
            <wp:simplePos x="0" y="0"/>
            <wp:positionH relativeFrom="column">
              <wp:posOffset>2606675</wp:posOffset>
            </wp:positionH>
            <wp:positionV relativeFrom="paragraph">
              <wp:posOffset>241300</wp:posOffset>
            </wp:positionV>
            <wp:extent cx="887095" cy="367030"/>
            <wp:effectExtent l="0" t="0" r="8255" b="13970"/>
            <wp:wrapNone/>
            <wp:docPr id="31" name="图片 5" descr="审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descr="审批"/>
                    <pic:cNvPicPr>
                      <a:picLocks noChangeAspect="1"/>
                    </pic:cNvPicPr>
                  </pic:nvPicPr>
                  <pic:blipFill>
                    <a:blip r:embed="rId7"/>
                    <a:stretch>
                      <a:fillRect/>
                    </a:stretch>
                  </pic:blipFill>
                  <pic:spPr>
                    <a:xfrm>
                      <a:off x="0" y="0"/>
                      <a:ext cx="887095" cy="367030"/>
                    </a:xfrm>
                    <a:prstGeom prst="rect">
                      <a:avLst/>
                    </a:prstGeom>
                    <a:noFill/>
                    <a:ln>
                      <a:noFill/>
                    </a:ln>
                  </pic:spPr>
                </pic:pic>
              </a:graphicData>
            </a:graphic>
          </wp:anchor>
        </w:drawing>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审</w:t>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核</w:t>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人：</w:t>
      </w:r>
      <w:r>
        <w:rPr>
          <w:rFonts w:hint="default" w:ascii="Times New Roman" w:hAnsi="Times New Roman" w:eastAsia="宋体"/>
          <w:color w:val="000000"/>
          <w:kern w:val="0"/>
          <w:position w:val="20"/>
          <w:sz w:val="28"/>
          <w:u w:val="single"/>
        </w:rPr>
        <w:t xml:space="preserve">                                    </w:t>
      </w:r>
    </w:p>
    <w:p>
      <w:pPr>
        <w:autoSpaceDE w:val="0"/>
        <w:autoSpaceDN w:val="0"/>
        <w:adjustRightInd w:val="0"/>
        <w:spacing w:beforeLines="0" w:after="100" w:afterLines="0" w:line="240" w:lineRule="auto"/>
        <w:rPr>
          <w:rFonts w:hint="default" w:ascii="宋体" w:hAnsi="Times New Roman" w:eastAsia="宋体"/>
          <w:color w:val="000000"/>
          <w:kern w:val="0"/>
          <w:position w:val="20"/>
          <w:sz w:val="28"/>
          <w:u w:val="single"/>
        </w:rPr>
      </w:pP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审</w:t>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批</w:t>
      </w: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人：</w:t>
      </w:r>
      <w:r>
        <w:rPr>
          <w:rFonts w:hint="default" w:ascii="Times New Roman" w:hAnsi="Times New Roman" w:eastAsia="宋体"/>
          <w:color w:val="000000"/>
          <w:kern w:val="0"/>
          <w:position w:val="20"/>
          <w:sz w:val="28"/>
          <w:u w:val="single"/>
        </w:rPr>
        <w:t xml:space="preserve">                                    </w:t>
      </w:r>
    </w:p>
    <w:p>
      <w:pPr>
        <w:autoSpaceDE w:val="0"/>
        <w:autoSpaceDN w:val="0"/>
        <w:adjustRightInd w:val="0"/>
        <w:spacing w:beforeLines="0" w:after="100" w:afterLines="0" w:line="240" w:lineRule="auto"/>
        <w:rPr>
          <w:rFonts w:hint="default" w:ascii="宋体" w:hAnsi="Times New Roman" w:eastAsia="宋体"/>
          <w:color w:val="000000"/>
          <w:kern w:val="0"/>
          <w:position w:val="20"/>
          <w:sz w:val="28"/>
          <w:u w:val="single"/>
        </w:rPr>
      </w:pP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设计单位：</w:t>
      </w:r>
      <w:r>
        <w:rPr>
          <w:rFonts w:hint="default" w:ascii="Times New Roman" w:hAnsi="Times New Roman" w:eastAsia="宋体"/>
          <w:color w:val="000000"/>
          <w:kern w:val="0"/>
          <w:position w:val="20"/>
          <w:sz w:val="28"/>
          <w:u w:val="single"/>
        </w:rPr>
        <w:t xml:space="preserve">      </w:t>
      </w:r>
      <w:r>
        <w:rPr>
          <w:rFonts w:hint="eastAsia" w:ascii="Times New Roman" w:hAnsi="Times New Roman" w:eastAsia="宋体"/>
          <w:color w:val="000000"/>
          <w:kern w:val="0"/>
          <w:position w:val="20"/>
          <w:sz w:val="28"/>
          <w:u w:val="single"/>
        </w:rPr>
        <w:t>中渝名威工程技术有限公司</w:t>
      </w:r>
      <w:r>
        <w:rPr>
          <w:rFonts w:hint="default" w:ascii="Times New Roman" w:hAnsi="Times New Roman" w:eastAsia="宋体"/>
          <w:color w:val="000000"/>
          <w:kern w:val="0"/>
          <w:position w:val="20"/>
          <w:sz w:val="28"/>
          <w:u w:val="single"/>
        </w:rPr>
        <w:t xml:space="preserve">      </w:t>
      </w:r>
    </w:p>
    <w:p>
      <w:pPr>
        <w:autoSpaceDE w:val="0"/>
        <w:autoSpaceDN w:val="0"/>
        <w:adjustRightInd w:val="0"/>
        <w:spacing w:beforeLines="0" w:after="100" w:afterLines="0" w:line="240" w:lineRule="auto"/>
        <w:rPr>
          <w:rFonts w:hint="default" w:ascii="宋体" w:hAnsi="Times New Roman" w:eastAsia="宋体"/>
          <w:color w:val="000000"/>
          <w:kern w:val="0"/>
          <w:position w:val="20"/>
          <w:sz w:val="28"/>
          <w:u w:val="single"/>
        </w:rPr>
      </w:pP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建设单位：</w:t>
      </w:r>
      <w:r>
        <w:rPr>
          <w:rFonts w:hint="default" w:ascii="Times New Roman" w:hAnsi="Times New Roman" w:eastAsia="宋体"/>
          <w:color w:val="000000"/>
          <w:kern w:val="0"/>
          <w:position w:val="20"/>
          <w:sz w:val="28"/>
          <w:u w:val="single"/>
        </w:rPr>
        <w:t xml:space="preserve">     </w:t>
      </w:r>
      <w:r>
        <w:rPr>
          <w:rFonts w:hint="eastAsia" w:ascii="Times New Roman" w:hAnsi="Times New Roman" w:eastAsia="宋体"/>
          <w:color w:val="000000"/>
          <w:kern w:val="0"/>
          <w:position w:val="20"/>
          <w:sz w:val="28"/>
          <w:u w:val="single"/>
        </w:rPr>
        <w:t>越西县教育体育和科学技术局</w:t>
      </w:r>
      <w:r>
        <w:rPr>
          <w:rFonts w:hint="default" w:ascii="Times New Roman" w:hAnsi="Times New Roman" w:eastAsia="宋体"/>
          <w:color w:val="000000"/>
          <w:kern w:val="0"/>
          <w:position w:val="20"/>
          <w:sz w:val="28"/>
          <w:u w:val="single"/>
        </w:rPr>
        <w:t xml:space="preserve">     </w:t>
      </w:r>
    </w:p>
    <w:p>
      <w:pPr>
        <w:autoSpaceDE w:val="0"/>
        <w:autoSpaceDN w:val="0"/>
        <w:adjustRightInd w:val="0"/>
        <w:spacing w:beforeLines="0" w:after="100" w:afterLines="0" w:line="240" w:lineRule="auto"/>
        <w:rPr>
          <w:rFonts w:hint="default" w:ascii="宋体" w:hAnsi="Times New Roman" w:eastAsia="宋体"/>
          <w:color w:val="000000"/>
          <w:kern w:val="0"/>
          <w:position w:val="20"/>
          <w:sz w:val="28"/>
          <w:u w:val="single"/>
        </w:rPr>
      </w:pPr>
      <w:r>
        <w:rPr>
          <w:rFonts w:hint="default" w:ascii="Times New Roman" w:hAnsi="Times New Roman" w:eastAsia="宋体"/>
          <w:color w:val="000000"/>
          <w:kern w:val="0"/>
          <w:position w:val="20"/>
          <w:sz w:val="28"/>
        </w:rPr>
        <w:t xml:space="preserve">        </w:t>
      </w:r>
      <w:r>
        <w:rPr>
          <w:rFonts w:hint="eastAsia" w:ascii="Times New Roman" w:hAnsi="Times New Roman" w:eastAsia="宋体"/>
          <w:color w:val="000000"/>
          <w:kern w:val="0"/>
          <w:position w:val="20"/>
          <w:sz w:val="28"/>
        </w:rPr>
        <w:t>设计日期：</w:t>
      </w:r>
      <w:r>
        <w:rPr>
          <w:rFonts w:hint="default" w:ascii="Times New Roman" w:hAnsi="Times New Roman" w:eastAsia="宋体"/>
          <w:color w:val="000000"/>
          <w:kern w:val="0"/>
          <w:position w:val="20"/>
          <w:sz w:val="28"/>
          <w:u w:val="single"/>
        </w:rPr>
        <w:t xml:space="preserve">            2025.10                 </w:t>
      </w:r>
    </w:p>
    <w:p>
      <w:pPr>
        <w:jc w:val="left"/>
        <w:rPr>
          <w:rFonts w:hint="eastAsia" w:asciiTheme="minorEastAsia" w:hAnsiTheme="minorEastAsia" w:eastAsiaTheme="minorEastAsia" w:cstheme="minorEastAsia"/>
          <w:color w:val="000000"/>
          <w:kern w:val="0"/>
          <w:position w:val="20"/>
          <w:sz w:val="28"/>
          <w:szCs w:val="28"/>
          <w:u w:val="single"/>
        </w:rPr>
      </w:pPr>
    </w:p>
    <w:p>
      <w:pPr>
        <w:jc w:val="left"/>
        <w:rPr>
          <w:rFonts w:hint="eastAsia" w:asciiTheme="minorEastAsia" w:hAnsiTheme="minorEastAsia" w:eastAsiaTheme="minorEastAsia" w:cstheme="minorEastAsia"/>
          <w:color w:val="000000"/>
          <w:kern w:val="0"/>
          <w:position w:val="20"/>
          <w:sz w:val="28"/>
          <w:szCs w:val="28"/>
          <w:u w:val="single"/>
        </w:rPr>
      </w:pPr>
    </w:p>
    <w:p>
      <w:pPr>
        <w:jc w:val="left"/>
        <w:rPr>
          <w:rFonts w:hint="eastAsia" w:asciiTheme="minorEastAsia" w:hAnsiTheme="minorEastAsia" w:eastAsiaTheme="minorEastAsia" w:cstheme="minorEastAsia"/>
          <w:color w:val="000000"/>
          <w:kern w:val="0"/>
          <w:position w:val="20"/>
          <w:sz w:val="28"/>
          <w:szCs w:val="28"/>
          <w:u w:val="single"/>
        </w:rPr>
      </w:pPr>
    </w:p>
    <w:p>
      <w:pPr>
        <w:pStyle w:val="5"/>
        <w:numPr>
          <w:ilvl w:val="0"/>
          <w:numId w:val="1"/>
        </w:numPr>
        <w:ind w:firstLineChars="0"/>
        <w:jc w:val="left"/>
        <w:rPr>
          <w:rFonts w:hint="eastAsia" w:asciiTheme="minorEastAsia" w:hAnsiTheme="minorEastAsia" w:eastAsiaTheme="minorEastAsia" w:cstheme="minorEastAsia"/>
          <w:color w:val="000000"/>
          <w:kern w:val="0"/>
          <w:position w:val="20"/>
          <w:sz w:val="28"/>
          <w:szCs w:val="28"/>
        </w:rPr>
      </w:pPr>
      <w:r>
        <w:rPr>
          <w:rFonts w:hint="eastAsia" w:asciiTheme="minorEastAsia" w:hAnsiTheme="minorEastAsia" w:eastAsiaTheme="minorEastAsia" w:cstheme="minorEastAsia"/>
          <w:color w:val="000000"/>
          <w:kern w:val="0"/>
          <w:position w:val="20"/>
          <w:sz w:val="28"/>
          <w:szCs w:val="28"/>
        </w:rPr>
        <w:t>项目概况</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本工程为越西县文昌中学扩建工程项目，项目位于凉山州越西县城区，位于文昌路南侧。总规划用地面积54687.96平方米（约82.03亩）。设计总建筑面积为：12854.08㎡，其中地上建筑面积：12854.08㎡，地下建筑面积：0㎡，计容建筑面积：10641.41㎡，基底面积：1829.93㎡。</w:t>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1"/>
        </w:numPr>
        <w:ind w:firstLineChars="0"/>
        <w:jc w:val="left"/>
        <w:rPr>
          <w:rFonts w:hint="eastAsia" w:asciiTheme="minorEastAsia" w:hAnsiTheme="minorEastAsia" w:eastAsiaTheme="minorEastAsia" w:cstheme="minorEastAsia"/>
          <w:color w:val="000000"/>
          <w:kern w:val="0"/>
          <w:position w:val="20"/>
          <w:sz w:val="28"/>
          <w:szCs w:val="28"/>
        </w:rPr>
      </w:pPr>
      <w:r>
        <w:rPr>
          <w:rFonts w:hint="eastAsia" w:asciiTheme="minorEastAsia" w:hAnsiTheme="minorEastAsia" w:eastAsiaTheme="minorEastAsia" w:cstheme="minorEastAsia"/>
          <w:color w:val="000000"/>
          <w:kern w:val="0"/>
          <w:position w:val="20"/>
          <w:sz w:val="28"/>
          <w:szCs w:val="28"/>
        </w:rPr>
        <w:t>评价条文要求</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《绿色建筑评价标准》GB/T50378-2019第4.1.8条:</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color w:val="000000"/>
          <w:kern w:val="0"/>
          <w:position w:val="20"/>
          <w:sz w:val="24"/>
          <w:szCs w:val="24"/>
        </w:rPr>
        <w:t>应具有安全防护的警示和引导标识系统。</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《绿色建筑评价标准》GB/T50378-2019第8.1.5条:建筑内外均应是指便于识别和使用的标识系统。</w:t>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1"/>
        </w:numPr>
        <w:ind w:firstLineChars="0"/>
        <w:jc w:val="left"/>
        <w:rPr>
          <w:rFonts w:hint="eastAsia" w:asciiTheme="minorEastAsia" w:hAnsiTheme="minorEastAsia" w:eastAsiaTheme="minorEastAsia" w:cstheme="minorEastAsia"/>
          <w:color w:val="000000"/>
          <w:kern w:val="0"/>
          <w:position w:val="20"/>
          <w:sz w:val="28"/>
          <w:szCs w:val="28"/>
        </w:rPr>
      </w:pPr>
      <w:r>
        <w:rPr>
          <w:rFonts w:hint="eastAsia" w:asciiTheme="minorEastAsia" w:hAnsiTheme="minorEastAsia" w:eastAsiaTheme="minorEastAsia" w:cstheme="minorEastAsia"/>
          <w:color w:val="000000"/>
          <w:kern w:val="0"/>
          <w:position w:val="20"/>
          <w:sz w:val="28"/>
          <w:szCs w:val="28"/>
        </w:rPr>
        <w:t>设计依据</w:t>
      </w:r>
    </w:p>
    <w:p>
      <w:pPr>
        <w:numPr>
          <w:ilvl w:val="0"/>
          <w:numId w:val="2"/>
        </w:numPr>
        <w:ind w:firstLine="360" w:firstLineChars="15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《绿色建筑评价标准》GB/T50378-2019</w:t>
      </w:r>
    </w:p>
    <w:p>
      <w:pPr>
        <w:numPr>
          <w:ilvl w:val="0"/>
          <w:numId w:val="2"/>
        </w:numPr>
        <w:ind w:firstLine="360" w:firstLineChars="15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《四川省绿色建筑评价标准》DBJ51／T 009-2021</w:t>
      </w:r>
    </w:p>
    <w:p>
      <w:pPr>
        <w:ind w:firstLine="360" w:firstLineChars="15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3.《安全标识及其使用导则》GB2894-2008</w:t>
      </w:r>
    </w:p>
    <w:p>
      <w:pPr>
        <w:ind w:firstLine="360" w:firstLineChars="15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4.《公共建筑标识系统技术规范》GB/T51223-2017</w:t>
      </w:r>
    </w:p>
    <w:p>
      <w:pPr>
        <w:ind w:firstLine="360" w:firstLineChars="15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5.《标志用公共信息图形符号》GB/T10001</w:t>
      </w:r>
    </w:p>
    <w:p>
      <w:pPr>
        <w:ind w:firstLine="360" w:firstLineChars="15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6.《公共信息导向系统导向要素的设计原则与要求》GB/T20501</w:t>
      </w:r>
    </w:p>
    <w:p>
      <w:pPr>
        <w:ind w:firstLine="360" w:firstLineChars="15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7.《印刷品用公共信息图形标志》GB/T17695</w:t>
      </w:r>
    </w:p>
    <w:p>
      <w:pPr>
        <w:ind w:firstLine="360" w:firstLineChars="150"/>
        <w:jc w:val="left"/>
        <w:rPr>
          <w:rFonts w:hint="eastAsia" w:asciiTheme="minorEastAsia" w:hAnsiTheme="minorEastAsia" w:eastAsiaTheme="minorEastAsia" w:cstheme="minorEastAsia"/>
          <w:color w:val="000000"/>
          <w:kern w:val="0"/>
          <w:position w:val="20"/>
          <w:sz w:val="24"/>
          <w:szCs w:val="24"/>
        </w:rPr>
      </w:pPr>
    </w:p>
    <w:p>
      <w:pPr>
        <w:ind w:firstLine="360" w:firstLineChars="150"/>
        <w:jc w:val="left"/>
        <w:rPr>
          <w:rFonts w:hint="eastAsia" w:asciiTheme="minorEastAsia" w:hAnsiTheme="minorEastAsia" w:eastAsiaTheme="minorEastAsia" w:cstheme="minorEastAsia"/>
          <w:color w:val="000000"/>
          <w:kern w:val="0"/>
          <w:position w:val="20"/>
          <w:sz w:val="24"/>
          <w:szCs w:val="24"/>
        </w:rPr>
      </w:pPr>
    </w:p>
    <w:p>
      <w:pPr>
        <w:pStyle w:val="5"/>
        <w:numPr>
          <w:ilvl w:val="0"/>
          <w:numId w:val="1"/>
        </w:numPr>
        <w:ind w:firstLineChars="0"/>
        <w:jc w:val="left"/>
        <w:rPr>
          <w:rFonts w:hint="eastAsia" w:asciiTheme="minorEastAsia" w:hAnsiTheme="minorEastAsia" w:eastAsiaTheme="minorEastAsia" w:cstheme="minorEastAsia"/>
          <w:color w:val="000000"/>
          <w:kern w:val="0"/>
          <w:position w:val="20"/>
          <w:sz w:val="28"/>
          <w:szCs w:val="28"/>
        </w:rPr>
      </w:pPr>
      <w:r>
        <w:rPr>
          <w:rFonts w:hint="eastAsia" w:asciiTheme="minorEastAsia" w:hAnsiTheme="minorEastAsia" w:eastAsiaTheme="minorEastAsia" w:cstheme="minorEastAsia"/>
          <w:color w:val="000000"/>
          <w:kern w:val="0"/>
          <w:position w:val="20"/>
          <w:sz w:val="28"/>
          <w:szCs w:val="28"/>
        </w:rPr>
        <w:t>标识系统概述</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本项目的标识系统是一个完整的体系，主要包含如下内容:</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建筑物类标识:指建筑物墙体处(外墙、内墙)的标识，如:楼牌、单元牌、门牌等等。</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公共服务类标识指为项目居住居民或外访人员在公共服务类区域的指示标识，如:洗手间标识牌。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提示、警示类标识 具有提示或警示功能的标识，如避难场所、小心落水等等类似的标识牌。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安全设施类标识:是指为了不可知的安全隐患而做的准备性标识:如消防中心处和配电处标识牌、安全出口标识牌等等。</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道路交通标识牌：包括项目内部道路交通指示牌，停车场及停车场内容。</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临时性标识:指项目内临时性设立展示的标识牌，如:正在维修等等标识牌的设立。</w:t>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1"/>
        </w:numPr>
        <w:ind w:firstLineChars="0"/>
        <w:jc w:val="left"/>
        <w:rPr>
          <w:rFonts w:hint="eastAsia" w:asciiTheme="minorEastAsia" w:hAnsiTheme="minorEastAsia" w:eastAsiaTheme="minorEastAsia" w:cstheme="minorEastAsia"/>
          <w:color w:val="000000"/>
          <w:kern w:val="0"/>
          <w:position w:val="20"/>
          <w:sz w:val="28"/>
          <w:szCs w:val="28"/>
        </w:rPr>
      </w:pPr>
      <w:r>
        <w:rPr>
          <w:rFonts w:hint="eastAsia" w:asciiTheme="minorEastAsia" w:hAnsiTheme="minorEastAsia" w:eastAsiaTheme="minorEastAsia" w:cstheme="minorEastAsia"/>
          <w:color w:val="000000"/>
          <w:kern w:val="0"/>
          <w:position w:val="20"/>
          <w:sz w:val="28"/>
          <w:szCs w:val="28"/>
        </w:rPr>
        <w:t>本项目环境指示标识</w:t>
      </w:r>
    </w:p>
    <w:p>
      <w:pPr>
        <w:pStyle w:val="5"/>
        <w:numPr>
          <w:ilvl w:val="0"/>
          <w:numId w:val="3"/>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项目总平面图</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在项目的主要出入口处设置总平面图,主要标明各楼宇及服务实施的位置及园区内人行和车行路线，方便用户准确找到目的地方位和通行路线。</w:t>
      </w:r>
    </w:p>
    <w:p>
      <w:pPr>
        <w:pStyle w:val="5"/>
        <w:numPr>
          <w:ilvl w:val="0"/>
          <w:numId w:val="3"/>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多项指示牌（楼栋指示、社区功能指示等）</w:t>
      </w:r>
    </w:p>
    <w:p>
      <w:pPr>
        <w:ind w:firstLine="42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59264" behindDoc="0" locked="0" layoutInCell="1" allowOverlap="1">
            <wp:simplePos x="0" y="0"/>
            <wp:positionH relativeFrom="column">
              <wp:posOffset>3038475</wp:posOffset>
            </wp:positionH>
            <wp:positionV relativeFrom="paragraph">
              <wp:posOffset>102870</wp:posOffset>
            </wp:positionV>
            <wp:extent cx="2184400" cy="1866900"/>
            <wp:effectExtent l="0" t="0" r="635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84400" cy="1866900"/>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多项指示牌主要设置于项目内分叉路口处。指示内容包括综合健身场地、城市客厅、幼儿园、社区文化活动室、物业管理处、篮球场等社区公共服务设施。指示牌显示设施名称、英文名称及步行距离。</w:t>
      </w:r>
    </w:p>
    <w:p>
      <w:pPr>
        <w:pStyle w:val="5"/>
        <w:numPr>
          <w:ilvl w:val="0"/>
          <w:numId w:val="3"/>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项目各公共服务用房处标识</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本项目各公共服务用房如：社区文化活动室、物业管理用房、公厕、垃圾分类收集房等等，为使业主明确各公共服务用房的位置，在各个公共服务用房相应的外墙墙面上设置清晰明确的功能标识牌。</w:t>
      </w:r>
    </w:p>
    <w:p>
      <w:pPr>
        <w:pStyle w:val="5"/>
        <w:numPr>
          <w:ilvl w:val="0"/>
          <w:numId w:val="3"/>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60288" behindDoc="0" locked="0" layoutInCell="1" allowOverlap="1">
            <wp:simplePos x="0" y="0"/>
            <wp:positionH relativeFrom="column">
              <wp:posOffset>2857500</wp:posOffset>
            </wp:positionH>
            <wp:positionV relativeFrom="paragraph">
              <wp:posOffset>186690</wp:posOffset>
            </wp:positionV>
            <wp:extent cx="2562860" cy="1781175"/>
            <wp:effectExtent l="0" t="0" r="8890" b="9525"/>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562860" cy="1781175"/>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公告栏、物业宣传栏</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在项目内的主要出入口处设置公告栏及物业宣传栏。用于展示项目内的相关公告及物业活动等信息。置于项目出入口处，当业主出入项目时可更方便更频繁地获取相关内容。</w:t>
      </w:r>
    </w:p>
    <w:p>
      <w:pPr>
        <w:pStyle w:val="5"/>
        <w:numPr>
          <w:ilvl w:val="0"/>
          <w:numId w:val="3"/>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61312" behindDoc="0" locked="0" layoutInCell="1" allowOverlap="1">
            <wp:simplePos x="0" y="0"/>
            <wp:positionH relativeFrom="column">
              <wp:posOffset>4219575</wp:posOffset>
            </wp:positionH>
            <wp:positionV relativeFrom="paragraph">
              <wp:posOffset>113665</wp:posOffset>
            </wp:positionV>
            <wp:extent cx="1155700" cy="1546860"/>
            <wp:effectExtent l="0" t="0" r="6350"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55700" cy="1546860"/>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禁烟处标识</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在本项目的建筑主出入口、公共建筑室内、电梯内部等所有禁烟区域设置禁烟标志。标志包括图标、中英文双语信息及举报投诉电话号码。</w:t>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1"/>
        </w:numPr>
        <w:ind w:firstLineChars="0"/>
        <w:jc w:val="left"/>
        <w:rPr>
          <w:rFonts w:hint="eastAsia" w:asciiTheme="minorEastAsia" w:hAnsiTheme="minorEastAsia" w:eastAsiaTheme="minorEastAsia" w:cstheme="minorEastAsia"/>
          <w:color w:val="000000"/>
          <w:kern w:val="0"/>
          <w:position w:val="20"/>
          <w:sz w:val="28"/>
          <w:szCs w:val="28"/>
        </w:rPr>
      </w:pPr>
      <w:r>
        <w:rPr>
          <w:rFonts w:hint="eastAsia" w:asciiTheme="minorEastAsia" w:hAnsiTheme="minorEastAsia" w:eastAsiaTheme="minorEastAsia" w:cstheme="minorEastAsia"/>
          <w:color w:val="000000"/>
          <w:kern w:val="0"/>
          <w:position w:val="20"/>
          <w:sz w:val="28"/>
          <w:szCs w:val="28"/>
        </w:rPr>
        <w:t>建筑楼宇标识类</w:t>
      </w:r>
    </w:p>
    <w:p>
      <w:pPr>
        <w:pStyle w:val="5"/>
        <w:numPr>
          <w:ilvl w:val="0"/>
          <w:numId w:val="4"/>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楼栋标识牌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在各个楼栋靠近小区内部道路一侧外墙上设置醒目清晰的楼号标识牌。</w:t>
      </w:r>
    </w:p>
    <w:p>
      <w:pPr>
        <w:pStyle w:val="5"/>
        <w:numPr>
          <w:ilvl w:val="0"/>
          <w:numId w:val="4"/>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62336" behindDoc="0" locked="0" layoutInCell="1" allowOverlap="1">
            <wp:simplePos x="0" y="0"/>
            <wp:positionH relativeFrom="column">
              <wp:posOffset>3667125</wp:posOffset>
            </wp:positionH>
            <wp:positionV relativeFrom="paragraph">
              <wp:posOffset>68580</wp:posOffset>
            </wp:positionV>
            <wp:extent cx="1704975" cy="1362075"/>
            <wp:effectExtent l="0" t="0" r="9525" b="9525"/>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704975" cy="1362075"/>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设备间门牌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项目内每栋楼的设备间均设置规格为20cmx10cm的设备门牌，主要包括弱电间、水管井等。标牌包括中英文双语文字及图标。</w:t>
      </w:r>
    </w:p>
    <w:p>
      <w:pPr>
        <w:pStyle w:val="5"/>
        <w:numPr>
          <w:ilvl w:val="0"/>
          <w:numId w:val="4"/>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63360" behindDoc="0" locked="0" layoutInCell="1" allowOverlap="1">
            <wp:simplePos x="0" y="0"/>
            <wp:positionH relativeFrom="column">
              <wp:posOffset>4010025</wp:posOffset>
            </wp:positionH>
            <wp:positionV relativeFrom="paragraph">
              <wp:posOffset>120015</wp:posOffset>
            </wp:positionV>
            <wp:extent cx="1228725" cy="1489075"/>
            <wp:effectExtent l="0" t="0" r="9525" b="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228725" cy="1489075"/>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设备间安全标志</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宇内的设备间均设置安全标识。如电井间设置注意安全和当心触电等标识,并配置在设备间门上的醒目处。为使用者在看见后提供足够的时间来注意它所表示的内容。</w:t>
      </w:r>
    </w:p>
    <w:p>
      <w:pPr>
        <w:pStyle w:val="5"/>
        <w:numPr>
          <w:ilvl w:val="0"/>
          <w:numId w:val="4"/>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消防疏散标识</w:t>
      </w:r>
    </w:p>
    <w:p>
      <w:pPr>
        <w:ind w:firstLine="42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64384" behindDoc="0" locked="0" layoutInCell="1" allowOverlap="1">
            <wp:simplePos x="0" y="0"/>
            <wp:positionH relativeFrom="column">
              <wp:posOffset>3638550</wp:posOffset>
            </wp:positionH>
            <wp:positionV relativeFrom="paragraph">
              <wp:posOffset>200660</wp:posOffset>
            </wp:positionV>
            <wp:extent cx="1819275" cy="1151255"/>
            <wp:effectExtent l="0" t="0" r="9525"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819275" cy="1151255"/>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楼内安全出口和疏散出口指示标志设置在靠近出口一侧的门上方或门洞两侧的墙面上,标志的下边缘距门的上边缘不大于30cm在远离安全出口的地方应将“安全出口”和“疏散通道方向”标志联合设置，箭头必须指向最近的安全出口。</w:t>
      </w:r>
    </w:p>
    <w:p>
      <w:pPr>
        <w:pStyle w:val="5"/>
        <w:numPr>
          <w:ilvl w:val="0"/>
          <w:numId w:val="4"/>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电梯安全标志</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项目楼宇内的电梯均设置相关安全标识和安全使用须知,可有效防范因电梯故障引发的安全事故，最大限度保障业主安全、减少人员伤亡和财产损失。禁止标识分散张贴在内侧两扇电梯门上的醒目位置。当心夹手标识张贴在电梯门的内外两侧，两扇门闭合的中间位置，与人视线平行。</w:t>
      </w:r>
    </w:p>
    <w:p>
      <w:pPr>
        <w:ind w:firstLine="42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inline distT="0" distB="0" distL="0" distR="0">
            <wp:extent cx="4761865" cy="2276475"/>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4760434" cy="2275530"/>
                    </a:xfrm>
                    <a:prstGeom prst="rect">
                      <a:avLst/>
                    </a:prstGeom>
                  </pic:spPr>
                </pic:pic>
              </a:graphicData>
            </a:graphic>
          </wp:inline>
        </w:drawing>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4"/>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65408" behindDoc="0" locked="0" layoutInCell="1" allowOverlap="1">
            <wp:simplePos x="0" y="0"/>
            <wp:positionH relativeFrom="column">
              <wp:posOffset>4300220</wp:posOffset>
            </wp:positionH>
            <wp:positionV relativeFrom="paragraph">
              <wp:posOffset>196215</wp:posOffset>
            </wp:positionV>
            <wp:extent cx="938530" cy="1314450"/>
            <wp:effectExtent l="0" t="0" r="0" b="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938530" cy="1314450"/>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楼梯口及疏散通道</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楼梯间作为公共人行及消防主要通道,私人物品占用楼梯间，即妨碍了消防安全，也侵占了他人的利益。项目楼宇的楼梯间均设置禁止堆放标识，起到警作用。</w:t>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1"/>
        </w:numPr>
        <w:ind w:firstLineChars="0"/>
        <w:jc w:val="left"/>
        <w:rPr>
          <w:rFonts w:hint="eastAsia" w:asciiTheme="minorEastAsia" w:hAnsiTheme="minorEastAsia" w:eastAsiaTheme="minorEastAsia" w:cstheme="minorEastAsia"/>
          <w:color w:val="000000"/>
          <w:kern w:val="0"/>
          <w:position w:val="20"/>
          <w:sz w:val="28"/>
          <w:szCs w:val="28"/>
        </w:rPr>
      </w:pPr>
      <w:r>
        <w:rPr>
          <w:rFonts w:hint="eastAsia" w:asciiTheme="minorEastAsia" w:hAnsiTheme="minorEastAsia" w:eastAsiaTheme="minorEastAsia" w:cstheme="minorEastAsia"/>
          <w:color w:val="000000"/>
          <w:kern w:val="0"/>
          <w:position w:val="20"/>
          <w:sz w:val="28"/>
          <w:szCs w:val="28"/>
        </w:rPr>
        <w:t>项目交通警示标识类</w:t>
      </w:r>
    </w:p>
    <w:p>
      <w:pPr>
        <w:pStyle w:val="5"/>
        <w:numPr>
          <w:ilvl w:val="0"/>
          <w:numId w:val="5"/>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66432" behindDoc="0" locked="0" layoutInCell="1" allowOverlap="1">
            <wp:simplePos x="0" y="0"/>
            <wp:positionH relativeFrom="column">
              <wp:posOffset>2947670</wp:posOffset>
            </wp:positionH>
            <wp:positionV relativeFrom="paragraph">
              <wp:posOffset>356235</wp:posOffset>
            </wp:positionV>
            <wp:extent cx="2238375" cy="1145540"/>
            <wp:effectExtent l="0" t="0" r="9525"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238375" cy="1145540"/>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禁止鸣笛和限速牌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在项目内行驶速度不得超过5公里/小时，且项目内禁止鸣笛。禁止鸣笛标牌和限速牌设置在项目行车口的入口侧电动道闸上。</w:t>
      </w:r>
    </w:p>
    <w:p>
      <w:pPr>
        <w:pStyle w:val="5"/>
        <w:numPr>
          <w:ilvl w:val="0"/>
          <w:numId w:val="5"/>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67456" behindDoc="0" locked="0" layoutInCell="1" allowOverlap="1">
            <wp:simplePos x="0" y="0"/>
            <wp:positionH relativeFrom="column">
              <wp:posOffset>3981450</wp:posOffset>
            </wp:positionH>
            <wp:positionV relativeFrom="paragraph">
              <wp:posOffset>241300</wp:posOffset>
            </wp:positionV>
            <wp:extent cx="1203960" cy="1190625"/>
            <wp:effectExtent l="0" t="0" r="0" b="9525"/>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203960" cy="1190625"/>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人行道及健身慢行道指示牌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项目内的人行道及健身慢行道只供业主步行使用。在人行流线的起点、终点、转折点、分叉点、交汇点等容易引起行人对人行路线疑惑的位置设置导向标识点位。</w:t>
      </w:r>
    </w:p>
    <w:p>
      <w:pPr>
        <w:pStyle w:val="5"/>
        <w:numPr>
          <w:ilvl w:val="0"/>
          <w:numId w:val="5"/>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内部道路交通指示牌</w:t>
      </w:r>
    </w:p>
    <w:p>
      <w:pPr>
        <w:ind w:firstLine="42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68480" behindDoc="0" locked="0" layoutInCell="1" allowOverlap="1">
            <wp:simplePos x="0" y="0"/>
            <wp:positionH relativeFrom="column">
              <wp:posOffset>2257425</wp:posOffset>
            </wp:positionH>
            <wp:positionV relativeFrom="paragraph">
              <wp:posOffset>5080</wp:posOffset>
            </wp:positionV>
            <wp:extent cx="2985770" cy="1038225"/>
            <wp:effectExtent l="0" t="0" r="5080" b="9525"/>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985770" cy="1038225"/>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在园区内难以确定位置和方向的流线节点上,增加标识点位以便明示和指引机动车的行驶方向。</w:t>
      </w:r>
    </w:p>
    <w:p>
      <w:pPr>
        <w:pStyle w:val="5"/>
        <w:numPr>
          <w:ilvl w:val="0"/>
          <w:numId w:val="5"/>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地下停车场标识</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在地下停车场出入口上方设置综合性标志牌内容包括出口入口导向标识、限速限高标识、禁止鸣笛标志及禁止烟火标志。</w:t>
      </w:r>
    </w:p>
    <w:p>
      <w:pPr>
        <w:ind w:firstLine="42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inline distT="0" distB="0" distL="0" distR="0">
            <wp:extent cx="2133600" cy="13239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2133600" cy="1323975"/>
                    </a:xfrm>
                    <a:prstGeom prst="rect">
                      <a:avLst/>
                    </a:prstGeom>
                  </pic:spPr>
                </pic:pic>
              </a:graphicData>
            </a:graphic>
          </wp:inline>
        </w:drawing>
      </w:r>
    </w:p>
    <w:p>
      <w:pPr>
        <w:pStyle w:val="5"/>
        <w:numPr>
          <w:ilvl w:val="0"/>
          <w:numId w:val="5"/>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地下停车场导向标识</w:t>
      </w:r>
    </w:p>
    <w:p>
      <w:pPr>
        <w:ind w:firstLine="42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70528" behindDoc="0" locked="0" layoutInCell="1" allowOverlap="1">
            <wp:simplePos x="0" y="0"/>
            <wp:positionH relativeFrom="column">
              <wp:posOffset>3238500</wp:posOffset>
            </wp:positionH>
            <wp:positionV relativeFrom="paragraph">
              <wp:posOffset>1661795</wp:posOffset>
            </wp:positionV>
            <wp:extent cx="2152650" cy="1645285"/>
            <wp:effectExtent l="0" t="0" r="0" b="0"/>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152650" cy="1645285"/>
                    </a:xfrm>
                    <a:prstGeom prst="rect">
                      <a:avLst/>
                    </a:prstGeom>
                  </pic:spPr>
                </pic:pic>
              </a:graphicData>
            </a:graphic>
          </wp:anchor>
        </w:drawing>
      </w:r>
      <w:r>
        <w:rPr>
          <w:rFonts w:hint="eastAsia" w:asciiTheme="minorEastAsia" w:hAnsiTheme="minorEastAsia" w:eastAsiaTheme="minorEastAsia" w:cstheme="minorEastAsia"/>
        </w:rPr>
        <w:drawing>
          <wp:anchor distT="0" distB="0" distL="114300" distR="114300" simplePos="0" relativeHeight="251669504" behindDoc="0" locked="0" layoutInCell="1" allowOverlap="1">
            <wp:simplePos x="0" y="0"/>
            <wp:positionH relativeFrom="column">
              <wp:posOffset>3152775</wp:posOffset>
            </wp:positionH>
            <wp:positionV relativeFrom="paragraph">
              <wp:posOffset>78105</wp:posOffset>
            </wp:positionV>
            <wp:extent cx="2400300" cy="1333500"/>
            <wp:effectExtent l="0" t="0" r="0" b="0"/>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400300" cy="1333500"/>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在地下车库内设置悬挂式导视指示牌。吊装于距离地面高度2400mm处。信息指示内容包括地下停车场出口、各楼宇方向、人行出口及电梯指示方向、直行转弯标识、禁止行驶等内容引导司机泊车位置及驶出方向。</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并且在出入口通道及坡道两侧墙壁设反光诱导标志及反光轮廓标志，起引导车辆及警示作用。</w:t>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1"/>
        </w:numPr>
        <w:ind w:firstLineChars="0"/>
        <w:jc w:val="left"/>
        <w:rPr>
          <w:rFonts w:hint="eastAsia" w:asciiTheme="minorEastAsia" w:hAnsiTheme="minorEastAsia" w:eastAsiaTheme="minorEastAsia" w:cstheme="minorEastAsia"/>
          <w:color w:val="000000"/>
          <w:kern w:val="0"/>
          <w:position w:val="20"/>
          <w:sz w:val="28"/>
          <w:szCs w:val="28"/>
        </w:rPr>
      </w:pPr>
      <w:r>
        <w:rPr>
          <w:rFonts w:hint="eastAsia" w:asciiTheme="minorEastAsia" w:hAnsiTheme="minorEastAsia" w:eastAsiaTheme="minorEastAsia" w:cstheme="minorEastAsia"/>
          <w:color w:val="000000"/>
          <w:kern w:val="0"/>
          <w:position w:val="20"/>
          <w:sz w:val="28"/>
          <w:szCs w:val="28"/>
        </w:rPr>
        <w:t>项目环境景观类</w:t>
      </w:r>
    </w:p>
    <w:p>
      <w:pPr>
        <w:pStyle w:val="5"/>
        <w:numPr>
          <w:ilvl w:val="0"/>
          <w:numId w:val="6"/>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71552" behindDoc="0" locked="0" layoutInCell="1" allowOverlap="1">
            <wp:simplePos x="0" y="0"/>
            <wp:positionH relativeFrom="column">
              <wp:posOffset>3028950</wp:posOffset>
            </wp:positionH>
            <wp:positionV relativeFrom="paragraph">
              <wp:posOffset>325755</wp:posOffset>
            </wp:positionV>
            <wp:extent cx="2409825" cy="1952625"/>
            <wp:effectExtent l="0" t="0" r="9525" b="9525"/>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409825" cy="1952625"/>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项目公共设施使用须知牌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为使业主正确使用项目公共设施,保障业主的使用安全和设备设施免受损坏，对项目内的公共设施设置使用须知，包括健身器材、篮球场、儿童游乐设施等使用须知设置在相应的设施附近。</w:t>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6"/>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72576" behindDoc="0" locked="0" layoutInCell="1" allowOverlap="1">
            <wp:simplePos x="0" y="0"/>
            <wp:positionH relativeFrom="column">
              <wp:posOffset>3600450</wp:posOffset>
            </wp:positionH>
            <wp:positionV relativeFrom="paragraph">
              <wp:posOffset>342900</wp:posOffset>
            </wp:positionV>
            <wp:extent cx="1664335" cy="1171575"/>
            <wp:effectExtent l="0" t="0" r="0" b="9525"/>
            <wp:wrapSquare wrapText="bothSides"/>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664335" cy="1171575"/>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安全标识</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在项目内的公共活动区域设置提醒业主活动安全的警示标识,根据所处环境的特定情况设置相关安全标识，如请勿嬉水、禁止攀爬、禁止高空抛物等。</w:t>
      </w:r>
    </w:p>
    <w:p>
      <w:pPr>
        <w:pStyle w:val="5"/>
        <w:numPr>
          <w:ilvl w:val="0"/>
          <w:numId w:val="6"/>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避难场所标志</w:t>
      </w:r>
    </w:p>
    <w:p>
      <w:pPr>
        <w:ind w:firstLine="42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74624" behindDoc="0" locked="0" layoutInCell="1" allowOverlap="1">
            <wp:simplePos x="0" y="0"/>
            <wp:positionH relativeFrom="column">
              <wp:posOffset>4305300</wp:posOffset>
            </wp:positionH>
            <wp:positionV relativeFrom="paragraph">
              <wp:posOffset>1518920</wp:posOffset>
            </wp:positionV>
            <wp:extent cx="965835" cy="1152525"/>
            <wp:effectExtent l="0" t="0" r="5715" b="9525"/>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965835" cy="1152525"/>
                    </a:xfrm>
                    <a:prstGeom prst="rect">
                      <a:avLst/>
                    </a:prstGeom>
                  </pic:spPr>
                </pic:pic>
              </a:graphicData>
            </a:graphic>
          </wp:anchor>
        </w:drawing>
      </w:r>
      <w:r>
        <w:rPr>
          <w:rFonts w:hint="eastAsia" w:asciiTheme="minorEastAsia" w:hAnsiTheme="minorEastAsia" w:eastAsiaTheme="minorEastAsia" w:cstheme="minorEastAsia"/>
        </w:rPr>
        <w:drawing>
          <wp:anchor distT="0" distB="0" distL="114300" distR="114300" simplePos="0" relativeHeight="251673600" behindDoc="0" locked="0" layoutInCell="1" allowOverlap="1">
            <wp:simplePos x="0" y="0"/>
            <wp:positionH relativeFrom="column">
              <wp:posOffset>2981325</wp:posOffset>
            </wp:positionH>
            <wp:positionV relativeFrom="paragraph">
              <wp:posOffset>61595</wp:posOffset>
            </wp:positionV>
            <wp:extent cx="2295525" cy="1023620"/>
            <wp:effectExtent l="0" t="0" r="9525" b="508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295525" cy="1023620"/>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项目内的综合活动场地和集中绿地等场所均属于避难场所在避难场所处设置提示标识，并且从建筑主出入口至避难场所设置完整导向标志。</w:t>
      </w:r>
    </w:p>
    <w:p>
      <w:pPr>
        <w:pStyle w:val="5"/>
        <w:numPr>
          <w:ilvl w:val="0"/>
          <w:numId w:val="6"/>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草地温馨提示牌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为使园区内草地保持良好生长，提醒业主不要随意践踏草坪。项目在绿地处设置草地温馨提示牌。</w:t>
      </w:r>
    </w:p>
    <w:p>
      <w:pPr>
        <w:pStyle w:val="5"/>
        <w:numPr>
          <w:ilvl w:val="0"/>
          <w:numId w:val="6"/>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75648" behindDoc="0" locked="0" layoutInCell="1" allowOverlap="1">
            <wp:simplePos x="0" y="0"/>
            <wp:positionH relativeFrom="column">
              <wp:posOffset>4086225</wp:posOffset>
            </wp:positionH>
            <wp:positionV relativeFrom="paragraph">
              <wp:posOffset>17145</wp:posOffset>
            </wp:positionV>
            <wp:extent cx="1184910" cy="952500"/>
            <wp:effectExtent l="0" t="0" r="0" b="0"/>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184910" cy="952500"/>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树木名称牌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项目内的树木均在树干处配备与之相应的树木名称牌。</w:t>
      </w:r>
    </w:p>
    <w:p>
      <w:pPr>
        <w:pStyle w:val="5"/>
        <w:numPr>
          <w:ilvl w:val="0"/>
          <w:numId w:val="6"/>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文明公约提示牌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为业主创造一个文明、舒适的生活环境，促进项目文明建设，进一步加强项目的物业、绿化、环境卫生和各种设施的管理工作。在公共活动场所设置文明公约提示牌，包括不损坏公物、不乱丢垃圾等内容。</w:t>
      </w:r>
    </w:p>
    <w:p>
      <w:pPr>
        <w:pStyle w:val="5"/>
        <w:numPr>
          <w:ilvl w:val="0"/>
          <w:numId w:val="6"/>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配电室安全标识</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为警示业主，项目内的配电室必须设置安全标示。标示包括配电重地闲人免进、禁止烟火、高压危险、当心电离辐射，安全标示设置在配电室大门的明显位噔。</w:t>
      </w:r>
      <w:r>
        <w:rPr>
          <w:rFonts w:hint="eastAsia" w:asciiTheme="minorEastAsia" w:hAnsiTheme="minorEastAsia" w:eastAsiaTheme="minorEastAsia" w:cstheme="minorEastAsia"/>
        </w:rPr>
        <w:drawing>
          <wp:inline distT="0" distB="0" distL="0" distR="0">
            <wp:extent cx="5274310" cy="1847215"/>
            <wp:effectExtent l="0" t="0" r="254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7"/>
                    <a:stretch>
                      <a:fillRect/>
                    </a:stretch>
                  </pic:blipFill>
                  <pic:spPr>
                    <a:xfrm>
                      <a:off x="0" y="0"/>
                      <a:ext cx="5274310" cy="1847840"/>
                    </a:xfrm>
                    <a:prstGeom prst="rect">
                      <a:avLst/>
                    </a:prstGeom>
                  </pic:spPr>
                </pic:pic>
              </a:graphicData>
            </a:graphic>
          </wp:inline>
        </w:drawing>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1"/>
        </w:numPr>
        <w:ind w:firstLineChars="0"/>
        <w:jc w:val="left"/>
        <w:rPr>
          <w:rFonts w:hint="eastAsia" w:asciiTheme="minorEastAsia" w:hAnsiTheme="minorEastAsia" w:eastAsiaTheme="minorEastAsia" w:cstheme="minorEastAsia"/>
          <w:color w:val="000000"/>
          <w:kern w:val="0"/>
          <w:position w:val="20"/>
          <w:sz w:val="28"/>
          <w:szCs w:val="28"/>
        </w:rPr>
      </w:pPr>
      <w:r>
        <w:rPr>
          <w:rFonts w:hint="eastAsia" w:asciiTheme="minorEastAsia" w:hAnsiTheme="minorEastAsia" w:eastAsiaTheme="minorEastAsia" w:cstheme="minorEastAsia"/>
          <w:color w:val="000000"/>
          <w:kern w:val="0"/>
          <w:position w:val="20"/>
          <w:sz w:val="28"/>
          <w:szCs w:val="28"/>
        </w:rPr>
        <w:t>项目环境景观类</w:t>
      </w:r>
    </w:p>
    <w:p>
      <w:pPr>
        <w:pStyle w:val="5"/>
        <w:numPr>
          <w:ilvl w:val="0"/>
          <w:numId w:val="7"/>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建筑名称标识牌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为向业主清晰明了的展示建筑功能，在每栋公共建筑的正门上方设施明确、显著的名称标示牌。</w:t>
      </w:r>
    </w:p>
    <w:p>
      <w:pPr>
        <w:pStyle w:val="5"/>
        <w:numPr>
          <w:ilvl w:val="0"/>
          <w:numId w:val="7"/>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76672" behindDoc="0" locked="0" layoutInCell="1" allowOverlap="1">
            <wp:simplePos x="0" y="0"/>
            <wp:positionH relativeFrom="column">
              <wp:posOffset>3457575</wp:posOffset>
            </wp:positionH>
            <wp:positionV relativeFrom="paragraph">
              <wp:posOffset>142875</wp:posOffset>
            </wp:positionV>
            <wp:extent cx="1819275" cy="1390650"/>
            <wp:effectExtent l="0" t="0" r="9525" b="0"/>
            <wp:wrapSquare wrapText="bothSides"/>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1819275" cy="1390650"/>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开放时间</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为避免业主在非营业时间光临项目内公共建筑,在建筑主要出入口处设置开放时间标识牌，表明该建筑每日的营业时间段。</w:t>
      </w:r>
    </w:p>
    <w:p>
      <w:pPr>
        <w:pStyle w:val="5"/>
        <w:numPr>
          <w:ilvl w:val="0"/>
          <w:numId w:val="7"/>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平面图</w:t>
      </w:r>
    </w:p>
    <w:p>
      <w:pPr>
        <w:ind w:firstLine="42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77696" behindDoc="0" locked="0" layoutInCell="1" allowOverlap="1">
            <wp:simplePos x="0" y="0"/>
            <wp:positionH relativeFrom="column">
              <wp:posOffset>3362325</wp:posOffset>
            </wp:positionH>
            <wp:positionV relativeFrom="paragraph">
              <wp:posOffset>66040</wp:posOffset>
            </wp:positionV>
            <wp:extent cx="2163445" cy="1095375"/>
            <wp:effectExtent l="0" t="0" r="8255" b="9525"/>
            <wp:wrapSquare wrapText="bothSides"/>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163445" cy="1095375"/>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在公共建筑内各层的入口处设置对应楼层的平面分布图。标明相应楼层的主要功能空间分布和卫生间分布，将环境的整体结构展示给使用者，并对各主要功能空间的大体方向做出指引。</w:t>
      </w:r>
    </w:p>
    <w:p>
      <w:pPr>
        <w:pStyle w:val="5"/>
        <w:numPr>
          <w:ilvl w:val="0"/>
          <w:numId w:val="7"/>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78720" behindDoc="0" locked="0" layoutInCell="1" allowOverlap="1">
            <wp:simplePos x="0" y="0"/>
            <wp:positionH relativeFrom="column">
              <wp:posOffset>4200525</wp:posOffset>
            </wp:positionH>
            <wp:positionV relativeFrom="paragraph">
              <wp:posOffset>147955</wp:posOffset>
            </wp:positionV>
            <wp:extent cx="952500" cy="1188720"/>
            <wp:effectExtent l="0" t="0" r="0" b="0"/>
            <wp:wrapSquare wrapText="bothSides"/>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952500" cy="1188720"/>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楼层索引标识牌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在公共建筑内的主要入口进门处,在明显位置设置楼层索引标识牌，标识牌固定于与使用者视线平行处。楼层索引标识牌标明各楼层的主要功能内容，为使用者提供明确的指引。</w:t>
      </w:r>
    </w:p>
    <w:p>
      <w:pPr>
        <w:pStyle w:val="5"/>
        <w:numPr>
          <w:ilvl w:val="0"/>
          <w:numId w:val="7"/>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多功能指示牌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在公共建筑中，设置多功能指示牌可准确的引导使用者找到并使用公共建筑服务功能。使用悬挂式设计，并配合导向型标识和标示型的标识，使业主能够准确地到达目的地。标识内容包括各楼层的主要服务功能和洗手间。</w:t>
      </w:r>
    </w:p>
    <w:p>
      <w:pPr>
        <w:ind w:firstLine="42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inline distT="0" distB="0" distL="0" distR="0">
            <wp:extent cx="4552950" cy="149479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1"/>
                    <a:stretch>
                      <a:fillRect/>
                    </a:stretch>
                  </pic:blipFill>
                  <pic:spPr>
                    <a:xfrm>
                      <a:off x="0" y="0"/>
                      <a:ext cx="4550758" cy="1494270"/>
                    </a:xfrm>
                    <a:prstGeom prst="rect">
                      <a:avLst/>
                    </a:prstGeom>
                  </pic:spPr>
                </pic:pic>
              </a:graphicData>
            </a:graphic>
          </wp:inline>
        </w:drawing>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7"/>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79744" behindDoc="0" locked="0" layoutInCell="1" allowOverlap="1">
            <wp:simplePos x="0" y="0"/>
            <wp:positionH relativeFrom="column">
              <wp:posOffset>4114800</wp:posOffset>
            </wp:positionH>
            <wp:positionV relativeFrom="paragraph">
              <wp:posOffset>62230</wp:posOffset>
            </wp:positionV>
            <wp:extent cx="982345" cy="1141095"/>
            <wp:effectExtent l="0" t="0" r="8255" b="1905"/>
            <wp:wrapSquare wrapText="bothSides"/>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982345" cy="1141095"/>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洗手间指示牌及男女洗手间门牌</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公共建筑内的公用洗手间均设置明显的标识门牌，标识内容包含图示和中英双语文字。并且在建筑内的多功能指示牌上标明洗手间的导向方位。</w:t>
      </w:r>
    </w:p>
    <w:p>
      <w:pPr>
        <w:pStyle w:val="5"/>
        <w:numPr>
          <w:ilvl w:val="0"/>
          <w:numId w:val="7"/>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机房设备门牌及安全标识</w:t>
      </w:r>
    </w:p>
    <w:p>
      <w:pPr>
        <w:ind w:firstLine="42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rPr>
        <w:drawing>
          <wp:anchor distT="0" distB="0" distL="114300" distR="114300" simplePos="0" relativeHeight="251680768" behindDoc="0" locked="0" layoutInCell="1" allowOverlap="1">
            <wp:simplePos x="0" y="0"/>
            <wp:positionH relativeFrom="column">
              <wp:posOffset>3457575</wp:posOffset>
            </wp:positionH>
            <wp:positionV relativeFrom="paragraph">
              <wp:posOffset>0</wp:posOffset>
            </wp:positionV>
            <wp:extent cx="1828800" cy="927735"/>
            <wp:effectExtent l="0" t="0" r="0" b="5715"/>
            <wp:wrapSquare wrapText="bothSides"/>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1828800" cy="927735"/>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4"/>
          <w:szCs w:val="24"/>
        </w:rPr>
        <w:t>机房是建筑内重要的数据和服务中心，未经许可，任何人员不得出入。在项目公共建筑的机房设置门牌及安全标识提示业主不得随意进入。</w:t>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1"/>
        </w:numPr>
        <w:ind w:firstLineChars="0"/>
        <w:jc w:val="left"/>
        <w:rPr>
          <w:rFonts w:hint="eastAsia" w:asciiTheme="minorEastAsia" w:hAnsiTheme="minorEastAsia" w:eastAsiaTheme="minorEastAsia" w:cstheme="minorEastAsia"/>
          <w:color w:val="000000"/>
          <w:kern w:val="0"/>
          <w:position w:val="20"/>
          <w:sz w:val="28"/>
          <w:szCs w:val="28"/>
        </w:rPr>
      </w:pPr>
      <w:r>
        <w:rPr>
          <w:rFonts w:hint="eastAsia" w:asciiTheme="minorEastAsia" w:hAnsiTheme="minorEastAsia" w:eastAsiaTheme="minorEastAsia" w:cstheme="minorEastAsia"/>
        </w:rPr>
        <w:drawing>
          <wp:anchor distT="0" distB="0" distL="114300" distR="114300" simplePos="0" relativeHeight="251681792" behindDoc="0" locked="0" layoutInCell="1" allowOverlap="1">
            <wp:simplePos x="0" y="0"/>
            <wp:positionH relativeFrom="column">
              <wp:posOffset>4219575</wp:posOffset>
            </wp:positionH>
            <wp:positionV relativeFrom="paragraph">
              <wp:posOffset>198120</wp:posOffset>
            </wp:positionV>
            <wp:extent cx="923925" cy="1443990"/>
            <wp:effectExtent l="0" t="0" r="9525" b="3810"/>
            <wp:wrapSquare wrapText="bothSides"/>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923925" cy="1443990"/>
                    </a:xfrm>
                    <a:prstGeom prst="rect">
                      <a:avLst/>
                    </a:prstGeom>
                  </pic:spPr>
                </pic:pic>
              </a:graphicData>
            </a:graphic>
          </wp:anchor>
        </w:drawing>
      </w:r>
      <w:r>
        <w:rPr>
          <w:rFonts w:hint="eastAsia" w:asciiTheme="minorEastAsia" w:hAnsiTheme="minorEastAsia" w:eastAsiaTheme="minorEastAsia" w:cstheme="minorEastAsia"/>
          <w:color w:val="000000"/>
          <w:kern w:val="0"/>
          <w:position w:val="20"/>
          <w:sz w:val="28"/>
          <w:szCs w:val="28"/>
        </w:rPr>
        <w:t>临时性标志</w:t>
      </w:r>
    </w:p>
    <w:p>
      <w:pPr>
        <w:pStyle w:val="5"/>
        <w:numPr>
          <w:ilvl w:val="0"/>
          <w:numId w:val="8"/>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小心地滑</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楼层地面拖拭时，须放置“小心地滑”标识牌，直至地面干燥。或放置在其他容易滑倒的地方，使行人避开。</w:t>
      </w:r>
    </w:p>
    <w:p>
      <w:pPr>
        <w:pStyle w:val="5"/>
        <w:numPr>
          <w:ilvl w:val="0"/>
          <w:numId w:val="8"/>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维修中</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项目内道路、公共设施或其他设备维修时,在通道入口或维修临近处放置“维修中”标识，防止业主勿入发生危险。</w:t>
      </w:r>
    </w:p>
    <w:p>
      <w:pPr>
        <w:pStyle w:val="5"/>
        <w:numPr>
          <w:ilvl w:val="0"/>
          <w:numId w:val="8"/>
        </w:numPr>
        <w:ind w:firstLineChars="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当心落物</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当进行高处作业或进行高处维修时，在作业下方放置“当心落物”标识牌，防止业主途径作业区下方有被落物击中的危险。</w:t>
      </w:r>
    </w:p>
    <w:p>
      <w:pPr>
        <w:ind w:firstLine="480" w:firstLineChars="200"/>
        <w:jc w:val="left"/>
        <w:rPr>
          <w:rFonts w:hint="eastAsia" w:asciiTheme="minorEastAsia" w:hAnsiTheme="minorEastAsia" w:eastAsiaTheme="minorEastAsia" w:cstheme="minorEastAsia"/>
          <w:color w:val="000000"/>
          <w:kern w:val="0"/>
          <w:position w:val="20"/>
          <w:sz w:val="24"/>
          <w:szCs w:val="24"/>
        </w:rPr>
      </w:pPr>
    </w:p>
    <w:p>
      <w:pPr>
        <w:pStyle w:val="5"/>
        <w:numPr>
          <w:ilvl w:val="0"/>
          <w:numId w:val="1"/>
        </w:numPr>
        <w:ind w:firstLineChars="0"/>
        <w:jc w:val="left"/>
        <w:rPr>
          <w:rFonts w:hint="eastAsia" w:asciiTheme="minorEastAsia" w:hAnsiTheme="minorEastAsia" w:eastAsiaTheme="minorEastAsia" w:cstheme="minorEastAsia"/>
          <w:color w:val="000000"/>
          <w:kern w:val="0"/>
          <w:position w:val="20"/>
          <w:sz w:val="28"/>
          <w:szCs w:val="28"/>
        </w:rPr>
      </w:pPr>
      <w:r>
        <w:rPr>
          <w:rFonts w:hint="eastAsia" w:asciiTheme="minorEastAsia" w:hAnsiTheme="minorEastAsia" w:eastAsiaTheme="minorEastAsia" w:cstheme="minorEastAsia"/>
          <w:color w:val="000000"/>
          <w:kern w:val="0"/>
          <w:position w:val="20"/>
          <w:sz w:val="28"/>
          <w:szCs w:val="28"/>
        </w:rPr>
        <w:t>标识牌规划准则</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标志牌设置的高度，尽量与人眼的视线高度相一致。悬挂式和柱式的环境信息标识牌的下缘距地面的高度不超过2m;局部信息标志的设置高度视具体情况确定。</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标志牌设在与安全有关的醒目地方，并使大家看见后，有足够的时间来注意它所表示的内容。环境信息标志设在有关场所的入口处和醒目处局部信息标志设在所涉及的相应危险地点或设备附件的醒目处。</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标志牌设置在明亮的环境中，部设在门、窗、架等可移动的物体上。标志牌前不得放置妨碍认读的障碍物。</w:t>
      </w:r>
    </w:p>
    <w:p>
      <w:pPr>
        <w:ind w:firstLine="480" w:firstLineChars="200"/>
        <w:jc w:val="left"/>
        <w:rPr>
          <w:rFonts w:hint="eastAsia" w:asciiTheme="minorEastAsia" w:hAnsiTheme="minorEastAsia" w:eastAsiaTheme="minorEastAsia" w:cstheme="minorEastAsia"/>
          <w:color w:val="000000"/>
          <w:kern w:val="0"/>
          <w:position w:val="20"/>
          <w:sz w:val="24"/>
          <w:szCs w:val="24"/>
        </w:rPr>
      </w:pPr>
      <w:r>
        <w:rPr>
          <w:rFonts w:hint="eastAsia" w:asciiTheme="minorEastAsia" w:hAnsiTheme="minorEastAsia" w:eastAsiaTheme="minorEastAsia" w:cstheme="minorEastAsia"/>
          <w:color w:val="000000"/>
          <w:kern w:val="0"/>
          <w:position w:val="20"/>
          <w:sz w:val="24"/>
          <w:szCs w:val="24"/>
        </w:rPr>
        <w:t>多个标志牌在一起设置时，应按警告、禁止、指令、提示类型的顺序，先左后右。</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AD98BDF"/>
    <w:multiLevelType w:val="singleLevel"/>
    <w:tmpl w:val="8AD98BDF"/>
    <w:lvl w:ilvl="0" w:tentative="0">
      <w:start w:val="1"/>
      <w:numFmt w:val="decimal"/>
      <w:suff w:val="space"/>
      <w:lvlText w:val="%1."/>
      <w:lvlJc w:val="left"/>
    </w:lvl>
  </w:abstractNum>
  <w:abstractNum w:abstractNumId="1">
    <w:nsid w:val="0AED49F2"/>
    <w:multiLevelType w:val="multilevel"/>
    <w:tmpl w:val="0AED49F2"/>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0E8C3E33"/>
    <w:multiLevelType w:val="multilevel"/>
    <w:tmpl w:val="0E8C3E33"/>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
    <w:nsid w:val="11867A3D"/>
    <w:multiLevelType w:val="multilevel"/>
    <w:tmpl w:val="11867A3D"/>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170A1EED"/>
    <w:multiLevelType w:val="multilevel"/>
    <w:tmpl w:val="170A1EED"/>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
    <w:nsid w:val="1F192E69"/>
    <w:multiLevelType w:val="multilevel"/>
    <w:tmpl w:val="1F192E69"/>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
    <w:nsid w:val="36D3740C"/>
    <w:multiLevelType w:val="multilevel"/>
    <w:tmpl w:val="36D3740C"/>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7CCF5F9B"/>
    <w:multiLevelType w:val="multilevel"/>
    <w:tmpl w:val="7CCF5F9B"/>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7"/>
  </w:num>
  <w:num w:numId="2">
    <w:abstractNumId w:val="0"/>
  </w:num>
  <w:num w:numId="3">
    <w:abstractNumId w:val="1"/>
  </w:num>
  <w:num w:numId="4">
    <w:abstractNumId w:val="5"/>
  </w:num>
  <w:num w:numId="5">
    <w:abstractNumId w:val="2"/>
  </w:num>
  <w:num w:numId="6">
    <w:abstractNumId w:val="6"/>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ZjNWVmZDIwNTJjNGNjMjUzMTMzNDBhZjA4OGY4YjMifQ=="/>
  </w:docVars>
  <w:rsids>
    <w:rsidRoot w:val="004A47F7"/>
    <w:rsid w:val="00084FF1"/>
    <w:rsid w:val="000D3F95"/>
    <w:rsid w:val="000F5D6B"/>
    <w:rsid w:val="002C3D8B"/>
    <w:rsid w:val="003D2C55"/>
    <w:rsid w:val="003E4206"/>
    <w:rsid w:val="004236D9"/>
    <w:rsid w:val="004A47F7"/>
    <w:rsid w:val="004D06EB"/>
    <w:rsid w:val="00562BF7"/>
    <w:rsid w:val="005B1C33"/>
    <w:rsid w:val="005D455B"/>
    <w:rsid w:val="005F5B3B"/>
    <w:rsid w:val="00611689"/>
    <w:rsid w:val="006718E3"/>
    <w:rsid w:val="00680356"/>
    <w:rsid w:val="006C4CA6"/>
    <w:rsid w:val="00725C9E"/>
    <w:rsid w:val="0072692C"/>
    <w:rsid w:val="007369D0"/>
    <w:rsid w:val="0077022C"/>
    <w:rsid w:val="007D7ADF"/>
    <w:rsid w:val="008F250E"/>
    <w:rsid w:val="00A731D9"/>
    <w:rsid w:val="00A9365F"/>
    <w:rsid w:val="00AA3DCB"/>
    <w:rsid w:val="00AC31CD"/>
    <w:rsid w:val="00B853AF"/>
    <w:rsid w:val="00D80386"/>
    <w:rsid w:val="00DC7925"/>
    <w:rsid w:val="00E04B81"/>
    <w:rsid w:val="00EA4968"/>
    <w:rsid w:val="00EB3A43"/>
    <w:rsid w:val="00EE2876"/>
    <w:rsid w:val="00F3522D"/>
    <w:rsid w:val="00F46F3C"/>
    <w:rsid w:val="015F762C"/>
    <w:rsid w:val="26A61FB0"/>
    <w:rsid w:val="308B1980"/>
    <w:rsid w:val="33001CC4"/>
    <w:rsid w:val="37960BAE"/>
    <w:rsid w:val="51B826AF"/>
    <w:rsid w:val="67C83D60"/>
    <w:rsid w:val="7D3923AB"/>
    <w:rsid w:val="7DCD63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4">
    <w:name w:val="Default Paragraph Font"/>
    <w:semiHidden/>
    <w:unhideWhenUsed/>
    <w:uiPriority w:val="1"/>
  </w:style>
  <w:style w:type="table" w:default="1" w:styleId="3">
    <w:name w:val="Normal Table"/>
    <w:semiHidden/>
    <w:unhideWhenUsed/>
    <w:uiPriority w:val="99"/>
    <w:tblPr>
      <w:tblLayout w:type="fixed"/>
      <w:tblCellMar>
        <w:top w:w="0" w:type="dxa"/>
        <w:left w:w="108" w:type="dxa"/>
        <w:bottom w:w="0" w:type="dxa"/>
        <w:right w:w="108" w:type="dxa"/>
      </w:tblCellMar>
    </w:tblPr>
  </w:style>
  <w:style w:type="paragraph" w:styleId="2">
    <w:name w:val="Balloon Text"/>
    <w:basedOn w:val="1"/>
    <w:link w:val="6"/>
    <w:semiHidden/>
    <w:unhideWhenUsed/>
    <w:uiPriority w:val="99"/>
    <w:rPr>
      <w:sz w:val="18"/>
      <w:szCs w:val="18"/>
    </w:rPr>
  </w:style>
  <w:style w:type="paragraph" w:styleId="5">
    <w:name w:val="List Paragraph"/>
    <w:basedOn w:val="1"/>
    <w:qFormat/>
    <w:uiPriority w:val="34"/>
    <w:pPr>
      <w:ind w:firstLine="420" w:firstLineChars="200"/>
    </w:pPr>
  </w:style>
  <w:style w:type="character" w:customStyle="1" w:styleId="6">
    <w:name w:val="批注框文本 字符"/>
    <w:basedOn w:val="4"/>
    <w:link w:val="2"/>
    <w:semiHidden/>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12</Pages>
  <Words>596</Words>
  <Characters>3398</Characters>
  <Lines>28</Lines>
  <Paragraphs>7</Paragraphs>
  <TotalTime>0</TotalTime>
  <ScaleCrop>false</ScaleCrop>
  <LinksUpToDate>false</LinksUpToDate>
  <CharactersWithSpaces>3987</CharactersWithSpaces>
  <Application>WPS Office_11.8.2.8411_F1E327BC-269C-435d-A152-05C5408002CA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2024-03-20T06:13:00Z</dcterms:created>
  <dc:creator>Windows 用户</dc:creator>
  <cp:lastModifiedBy>Administrator</cp:lastModifiedBy>
  <dcterms:modified xsi:type="dcterms:W3CDTF">2025-11-18T10:10:43Z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2052-11.8.2.8411</vt:lpwstr>
  </property>
  <property fmtid="{D5CDD505-2E9C-101B-9397-08002B2CF9AE}" pid="3" name="ICV">
    <vt:lpwstr>48E6FBDBD040452DA4F727EE303166A2_12</vt:lpwstr>
  </property>
</Properties>
</file>