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F20F8F">
      <w:pPr>
        <w:snapToGrid w:val="0"/>
        <w:spacing w:line="500" w:lineRule="exact"/>
        <w:jc w:val="center"/>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凉山州现代房屋建筑集成制造有限公司</w:t>
      </w:r>
    </w:p>
    <w:p w14:paraId="16684A4E">
      <w:pPr>
        <w:snapToGrid w:val="0"/>
        <w:spacing w:line="500" w:lineRule="exact"/>
        <w:jc w:val="center"/>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lang w:val="en-US" w:eastAsia="zh-CN"/>
        </w:rPr>
        <w:t>石材，电气等材料</w:t>
      </w:r>
      <w:r>
        <w:rPr>
          <w:rFonts w:hint="eastAsia" w:ascii="仿宋" w:hAnsi="仿宋" w:eastAsia="仿宋" w:cs="仿宋"/>
          <w:b/>
          <w:bCs/>
          <w:color w:val="000000" w:themeColor="text1"/>
          <w:sz w:val="28"/>
          <w:szCs w:val="28"/>
        </w:rPr>
        <w:t>采购合同</w:t>
      </w:r>
    </w:p>
    <w:p w14:paraId="47E1531F">
      <w:pPr>
        <w:snapToGrid w:val="0"/>
        <w:spacing w:line="500" w:lineRule="exact"/>
        <w:ind w:firstLine="3360" w:firstLineChars="1200"/>
        <w:rPr>
          <w:rFonts w:ascii="仿宋" w:hAnsi="仿宋" w:eastAsia="仿宋" w:cs="仿宋"/>
          <w:color w:val="000000" w:themeColor="text1"/>
          <w:sz w:val="28"/>
          <w:szCs w:val="28"/>
        </w:rPr>
      </w:pPr>
    </w:p>
    <w:p w14:paraId="5F5C10E7">
      <w:pPr>
        <w:snapToGrid w:val="0"/>
        <w:spacing w:line="500" w:lineRule="exact"/>
        <w:jc w:val="center"/>
        <w:rPr>
          <w:rFonts w:ascii="仿宋" w:hAnsi="仿宋" w:eastAsia="仿宋" w:cs="仿宋"/>
          <w:color w:val="000000" w:themeColor="text1"/>
          <w:sz w:val="28"/>
          <w:szCs w:val="28"/>
        </w:rPr>
      </w:pPr>
    </w:p>
    <w:p w14:paraId="78CAB74F">
      <w:pPr>
        <w:snapToGrid w:val="0"/>
        <w:spacing w:line="500" w:lineRule="exact"/>
        <w:jc w:val="center"/>
        <w:rPr>
          <w:rFonts w:ascii="仿宋" w:hAnsi="仿宋" w:eastAsia="仿宋" w:cs="仿宋"/>
          <w:color w:val="000000" w:themeColor="text1"/>
          <w:sz w:val="28"/>
          <w:szCs w:val="28"/>
        </w:rPr>
      </w:pPr>
    </w:p>
    <w:p w14:paraId="2559BBA9">
      <w:pPr>
        <w:snapToGrid w:val="0"/>
        <w:spacing w:line="500" w:lineRule="exact"/>
        <w:jc w:val="center"/>
        <w:rPr>
          <w:rFonts w:ascii="仿宋" w:hAnsi="仿宋" w:eastAsia="仿宋" w:cs="仿宋"/>
          <w:color w:val="000000" w:themeColor="text1"/>
          <w:sz w:val="28"/>
          <w:szCs w:val="28"/>
        </w:rPr>
      </w:pPr>
    </w:p>
    <w:p w14:paraId="546C134A">
      <w:pPr>
        <w:snapToGrid w:val="0"/>
        <w:spacing w:line="500" w:lineRule="exact"/>
        <w:jc w:val="center"/>
        <w:rPr>
          <w:rFonts w:ascii="仿宋" w:hAnsi="仿宋" w:eastAsia="仿宋" w:cs="仿宋"/>
          <w:color w:val="000000" w:themeColor="text1"/>
          <w:sz w:val="28"/>
          <w:szCs w:val="28"/>
          <w:u w:val="single"/>
        </w:rPr>
      </w:pPr>
    </w:p>
    <w:p w14:paraId="30737932">
      <w:pPr>
        <w:tabs>
          <w:tab w:val="left" w:pos="840"/>
        </w:tabs>
        <w:snapToGrid w:val="0"/>
        <w:spacing w:line="500" w:lineRule="exact"/>
        <w:jc w:val="center"/>
        <w:rPr>
          <w:rFonts w:hint="eastAsia" w:ascii="仿宋" w:hAnsi="仿宋" w:eastAsia="仿宋" w:cs="仿宋"/>
          <w:color w:val="000000" w:themeColor="text1"/>
          <w:sz w:val="32"/>
          <w:szCs w:val="32"/>
        </w:rPr>
      </w:pPr>
      <w:r>
        <w:rPr>
          <w:rFonts w:hint="eastAsia" w:ascii="仿宋" w:hAnsi="仿宋" w:eastAsia="仿宋" w:cs="仿宋"/>
          <w:color w:val="000000" w:themeColor="text1"/>
          <w:sz w:val="32"/>
          <w:szCs w:val="32"/>
        </w:rPr>
        <w:t>工程名称：凉山州科教园区暨医学类教育服务项目二期A标段室外体育场项目</w:t>
      </w:r>
    </w:p>
    <w:p w14:paraId="47B88C5C">
      <w:pPr>
        <w:tabs>
          <w:tab w:val="left" w:pos="840"/>
        </w:tabs>
        <w:snapToGrid w:val="0"/>
        <w:spacing w:line="500" w:lineRule="exact"/>
        <w:rPr>
          <w:rFonts w:ascii="仿宋" w:hAnsi="仿宋" w:eastAsia="仿宋" w:cs="仿宋"/>
          <w:color w:val="000000" w:themeColor="text1"/>
          <w:sz w:val="28"/>
          <w:szCs w:val="28"/>
        </w:rPr>
      </w:pPr>
    </w:p>
    <w:p w14:paraId="33712100">
      <w:pPr>
        <w:tabs>
          <w:tab w:val="left" w:pos="840"/>
        </w:tabs>
        <w:snapToGrid w:val="0"/>
        <w:spacing w:line="500" w:lineRule="exact"/>
        <w:ind w:left="1050" w:leftChars="500" w:firstLine="560" w:firstLineChars="200"/>
        <w:rPr>
          <w:rFonts w:ascii="仿宋" w:hAnsi="仿宋" w:eastAsia="仿宋" w:cs="仿宋"/>
          <w:color w:val="000000" w:themeColor="text1"/>
          <w:sz w:val="28"/>
          <w:szCs w:val="28"/>
        </w:rPr>
      </w:pPr>
    </w:p>
    <w:p w14:paraId="031A8F90">
      <w:pPr>
        <w:tabs>
          <w:tab w:val="left" w:pos="840"/>
        </w:tabs>
        <w:snapToGrid w:val="0"/>
        <w:spacing w:line="500" w:lineRule="exact"/>
        <w:ind w:left="1050" w:leftChars="500" w:firstLine="560" w:firstLineChars="200"/>
        <w:rPr>
          <w:rFonts w:ascii="仿宋" w:hAnsi="仿宋" w:eastAsia="仿宋" w:cs="仿宋"/>
          <w:color w:val="000000" w:themeColor="text1"/>
          <w:sz w:val="28"/>
          <w:szCs w:val="28"/>
        </w:rPr>
      </w:pPr>
    </w:p>
    <w:p w14:paraId="4E08C84D">
      <w:pPr>
        <w:tabs>
          <w:tab w:val="left" w:pos="840"/>
        </w:tabs>
        <w:snapToGrid w:val="0"/>
        <w:spacing w:line="500" w:lineRule="exact"/>
        <w:rPr>
          <w:rFonts w:ascii="仿宋" w:hAnsi="仿宋" w:eastAsia="仿宋" w:cs="仿宋"/>
          <w:color w:val="000000" w:themeColor="text1"/>
          <w:sz w:val="28"/>
          <w:szCs w:val="28"/>
        </w:rPr>
      </w:pPr>
    </w:p>
    <w:p w14:paraId="7B00CA3E">
      <w:pPr>
        <w:tabs>
          <w:tab w:val="left" w:pos="840"/>
        </w:tabs>
        <w:snapToGrid w:val="0"/>
        <w:spacing w:line="500" w:lineRule="exact"/>
        <w:ind w:left="1050" w:leftChars="500" w:firstLine="560" w:firstLineChars="200"/>
        <w:rPr>
          <w:rFonts w:ascii="仿宋" w:hAnsi="仿宋" w:eastAsia="仿宋" w:cs="仿宋"/>
          <w:color w:val="000000" w:themeColor="text1"/>
          <w:sz w:val="28"/>
          <w:szCs w:val="28"/>
        </w:rPr>
      </w:pPr>
    </w:p>
    <w:p w14:paraId="5BF79DDE">
      <w:pPr>
        <w:tabs>
          <w:tab w:val="left" w:pos="840"/>
        </w:tabs>
        <w:snapToGrid w:val="0"/>
        <w:spacing w:line="500" w:lineRule="exact"/>
        <w:ind w:left="1050" w:leftChars="500" w:firstLine="560" w:firstLineChars="200"/>
        <w:rPr>
          <w:rFonts w:ascii="仿宋" w:hAnsi="仿宋" w:eastAsia="仿宋" w:cs="仿宋"/>
          <w:color w:val="000000" w:themeColor="text1"/>
          <w:sz w:val="28"/>
          <w:szCs w:val="28"/>
        </w:rPr>
      </w:pPr>
    </w:p>
    <w:p w14:paraId="39748C79">
      <w:pPr>
        <w:spacing w:line="500" w:lineRule="exact"/>
        <w:ind w:left="1890" w:leftChars="900"/>
        <w:rPr>
          <w:rFonts w:ascii="仿宋" w:hAnsi="仿宋" w:eastAsia="仿宋" w:cs="仿宋"/>
          <w:color w:val="000000" w:themeColor="text1"/>
          <w:sz w:val="28"/>
          <w:szCs w:val="28"/>
          <w:u w:val="single"/>
        </w:rPr>
      </w:pPr>
      <w:r>
        <w:rPr>
          <w:rFonts w:hint="eastAsia" w:ascii="仿宋" w:hAnsi="仿宋" w:eastAsia="仿宋" w:cs="仿宋"/>
          <w:color w:val="000000" w:themeColor="text1"/>
          <w:sz w:val="28"/>
          <w:szCs w:val="28"/>
        </w:rPr>
        <w:t>甲方（买方）：</w:t>
      </w:r>
      <w:r>
        <w:rPr>
          <w:rFonts w:hint="eastAsia" w:ascii="仿宋" w:hAnsi="仿宋" w:eastAsia="仿宋" w:cs="仿宋"/>
          <w:color w:val="000000" w:themeColor="text1"/>
          <w:sz w:val="28"/>
          <w:szCs w:val="28"/>
          <w:u w:val="single"/>
        </w:rPr>
        <w:t>凉山州现代房屋建筑集成制造有限公司</w:t>
      </w:r>
    </w:p>
    <w:p w14:paraId="12B52EE8">
      <w:pPr>
        <w:spacing w:line="500" w:lineRule="exact"/>
        <w:ind w:left="1890" w:leftChars="900"/>
        <w:rPr>
          <w:rFonts w:ascii="仿宋" w:hAnsi="仿宋" w:eastAsia="仿宋" w:cs="仿宋"/>
          <w:b/>
          <w:bCs/>
          <w:color w:val="000000" w:themeColor="text1"/>
          <w:sz w:val="28"/>
          <w:szCs w:val="28"/>
        </w:rPr>
      </w:pPr>
    </w:p>
    <w:p w14:paraId="33FD6643">
      <w:pPr>
        <w:spacing w:line="500" w:lineRule="exact"/>
        <w:ind w:left="1890" w:leftChars="900"/>
        <w:rPr>
          <w:rFonts w:ascii="仿宋" w:hAnsi="仿宋" w:eastAsia="仿宋" w:cs="仿宋"/>
          <w:bCs/>
          <w:color w:val="000000" w:themeColor="text1"/>
          <w:w w:val="99"/>
          <w:sz w:val="28"/>
          <w:szCs w:val="28"/>
          <w:u w:val="single"/>
        </w:rPr>
      </w:pPr>
      <w:r>
        <w:rPr>
          <w:rFonts w:hint="eastAsia" w:ascii="仿宋" w:hAnsi="仿宋" w:eastAsia="仿宋" w:cs="仿宋"/>
          <w:color w:val="000000" w:themeColor="text1"/>
          <w:sz w:val="28"/>
          <w:szCs w:val="28"/>
        </w:rPr>
        <w:t>乙方（卖方）：</w:t>
      </w:r>
      <w:r>
        <w:rPr>
          <w:rFonts w:hint="eastAsia" w:ascii="仿宋" w:hAnsi="仿宋" w:eastAsia="仿宋" w:cs="仿宋"/>
          <w:color w:val="000000" w:themeColor="text1"/>
          <w:sz w:val="28"/>
          <w:szCs w:val="28"/>
          <w:u w:val="single"/>
          <w:lang w:val="en-US" w:eastAsia="zh-CN"/>
        </w:rPr>
        <w:t xml:space="preserve">                              </w:t>
      </w:r>
      <w:r>
        <w:rPr>
          <w:rFonts w:hint="eastAsia" w:ascii="仿宋" w:hAnsi="仿宋" w:eastAsia="仿宋" w:cs="仿宋"/>
          <w:color w:val="000000" w:themeColor="text1"/>
          <w:sz w:val="28"/>
          <w:szCs w:val="28"/>
          <w:u w:val="single"/>
        </w:rPr>
        <w:t xml:space="preserve">   </w:t>
      </w:r>
    </w:p>
    <w:p w14:paraId="3ECEBC92">
      <w:pPr>
        <w:spacing w:line="500" w:lineRule="exact"/>
        <w:ind w:left="1890" w:leftChars="900" w:firstLine="1400" w:firstLineChars="500"/>
        <w:rPr>
          <w:rFonts w:ascii="仿宋" w:hAnsi="仿宋" w:eastAsia="仿宋" w:cs="仿宋"/>
          <w:color w:val="000000" w:themeColor="text1"/>
          <w:sz w:val="28"/>
          <w:szCs w:val="28"/>
          <w:u w:val="single"/>
        </w:rPr>
      </w:pPr>
    </w:p>
    <w:p w14:paraId="3FD1F7B6">
      <w:pPr>
        <w:tabs>
          <w:tab w:val="left" w:pos="840"/>
        </w:tabs>
        <w:snapToGrid w:val="0"/>
        <w:spacing w:line="500" w:lineRule="exact"/>
        <w:ind w:left="1890" w:leftChars="900"/>
        <w:rPr>
          <w:rFonts w:ascii="仿宋" w:hAnsi="仿宋" w:eastAsia="仿宋" w:cs="仿宋"/>
          <w:color w:val="000000" w:themeColor="text1"/>
          <w:sz w:val="28"/>
          <w:szCs w:val="28"/>
          <w:u w:val="single"/>
        </w:rPr>
      </w:pPr>
      <w:r>
        <w:rPr>
          <w:rFonts w:hint="eastAsia" w:ascii="仿宋" w:hAnsi="仿宋" w:eastAsia="仿宋" w:cs="仿宋"/>
          <w:color w:val="000000" w:themeColor="text1"/>
          <w:sz w:val="28"/>
          <w:szCs w:val="28"/>
        </w:rPr>
        <w:t>签 订 时 间：</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u w:val="single"/>
          <w:lang w:val="en-US" w:eastAsia="zh-CN"/>
        </w:rPr>
        <w:t xml:space="preserve">   </w:t>
      </w:r>
      <w:r>
        <w:rPr>
          <w:rFonts w:hint="eastAsia" w:ascii="仿宋" w:hAnsi="仿宋" w:eastAsia="仿宋" w:cs="仿宋"/>
          <w:color w:val="000000" w:themeColor="text1"/>
          <w:sz w:val="28"/>
          <w:szCs w:val="28"/>
          <w:u w:val="single"/>
        </w:rPr>
        <w:t xml:space="preserve"> 年    月    日  </w:t>
      </w:r>
    </w:p>
    <w:p w14:paraId="4F955046">
      <w:pPr>
        <w:tabs>
          <w:tab w:val="left" w:pos="840"/>
        </w:tabs>
        <w:snapToGrid w:val="0"/>
        <w:spacing w:line="500" w:lineRule="exact"/>
        <w:ind w:left="1890" w:leftChars="900"/>
        <w:rPr>
          <w:rFonts w:ascii="仿宋" w:hAnsi="仿宋" w:eastAsia="仿宋" w:cs="仿宋"/>
          <w:color w:val="000000" w:themeColor="text1"/>
          <w:sz w:val="28"/>
          <w:szCs w:val="28"/>
          <w:u w:val="single"/>
        </w:rPr>
      </w:pPr>
    </w:p>
    <w:p w14:paraId="494D7AF6">
      <w:pPr>
        <w:tabs>
          <w:tab w:val="left" w:pos="840"/>
        </w:tabs>
        <w:snapToGrid w:val="0"/>
        <w:spacing w:line="500" w:lineRule="exact"/>
        <w:jc w:val="left"/>
        <w:rPr>
          <w:rFonts w:ascii="仿宋" w:hAnsi="仿宋" w:eastAsia="仿宋" w:cs="仿宋"/>
          <w:color w:val="000000" w:themeColor="text1"/>
          <w:sz w:val="28"/>
          <w:szCs w:val="28"/>
          <w:u w:val="single"/>
        </w:rPr>
      </w:pPr>
    </w:p>
    <w:p w14:paraId="4E384382">
      <w:pPr>
        <w:tabs>
          <w:tab w:val="left" w:pos="840"/>
        </w:tabs>
        <w:snapToGrid w:val="0"/>
        <w:spacing w:line="500" w:lineRule="exact"/>
        <w:jc w:val="center"/>
        <w:rPr>
          <w:rFonts w:ascii="仿宋" w:hAnsi="仿宋" w:eastAsia="仿宋" w:cs="仿宋"/>
          <w:color w:val="000000" w:themeColor="text1"/>
          <w:sz w:val="28"/>
          <w:szCs w:val="28"/>
          <w:u w:val="single"/>
        </w:rPr>
      </w:pPr>
    </w:p>
    <w:p w14:paraId="13314F04">
      <w:pPr>
        <w:tabs>
          <w:tab w:val="left" w:pos="840"/>
        </w:tabs>
        <w:snapToGrid w:val="0"/>
        <w:spacing w:line="500" w:lineRule="exact"/>
        <w:jc w:val="center"/>
        <w:rPr>
          <w:rFonts w:ascii="仿宋" w:hAnsi="仿宋" w:eastAsia="仿宋" w:cs="仿宋"/>
          <w:color w:val="000000" w:themeColor="text1"/>
          <w:sz w:val="28"/>
          <w:szCs w:val="28"/>
          <w:u w:val="single"/>
        </w:rPr>
      </w:pPr>
    </w:p>
    <w:p w14:paraId="01C8118A">
      <w:pPr>
        <w:tabs>
          <w:tab w:val="left" w:pos="840"/>
        </w:tabs>
        <w:snapToGrid w:val="0"/>
        <w:spacing w:line="500" w:lineRule="exact"/>
        <w:jc w:val="center"/>
        <w:rPr>
          <w:rFonts w:ascii="仿宋" w:hAnsi="仿宋" w:eastAsia="仿宋" w:cs="仿宋"/>
          <w:color w:val="000000" w:themeColor="text1"/>
          <w:sz w:val="28"/>
          <w:szCs w:val="28"/>
          <w:u w:val="single"/>
        </w:rPr>
      </w:pPr>
    </w:p>
    <w:p w14:paraId="43D984AD">
      <w:pPr>
        <w:tabs>
          <w:tab w:val="left" w:pos="840"/>
        </w:tabs>
        <w:snapToGrid w:val="0"/>
        <w:spacing w:line="500" w:lineRule="exact"/>
        <w:jc w:val="center"/>
        <w:rPr>
          <w:rFonts w:ascii="仿宋" w:hAnsi="仿宋" w:eastAsia="仿宋" w:cs="仿宋"/>
          <w:color w:val="000000" w:themeColor="text1"/>
          <w:sz w:val="28"/>
          <w:szCs w:val="28"/>
          <w:u w:val="single"/>
        </w:rPr>
      </w:pPr>
    </w:p>
    <w:p w14:paraId="356B770C">
      <w:pPr>
        <w:tabs>
          <w:tab w:val="left" w:pos="840"/>
        </w:tabs>
        <w:snapToGrid w:val="0"/>
        <w:spacing w:line="500" w:lineRule="exact"/>
        <w:rPr>
          <w:rFonts w:ascii="仿宋" w:hAnsi="仿宋" w:eastAsia="仿宋" w:cs="仿宋"/>
          <w:color w:val="000000" w:themeColor="text1"/>
          <w:sz w:val="28"/>
          <w:szCs w:val="28"/>
          <w:u w:val="single"/>
        </w:rPr>
      </w:pPr>
    </w:p>
    <w:p w14:paraId="08D07E23">
      <w:pPr>
        <w:pStyle w:val="2"/>
        <w:rPr>
          <w:rFonts w:ascii="仿宋" w:hAnsi="仿宋" w:eastAsia="仿宋" w:cs="仿宋"/>
          <w:color w:val="000000" w:themeColor="text1"/>
          <w:sz w:val="28"/>
          <w:szCs w:val="28"/>
          <w:u w:val="single"/>
        </w:rPr>
      </w:pPr>
    </w:p>
    <w:p w14:paraId="373AA6CB">
      <w:pPr/>
    </w:p>
    <w:p w14:paraId="7DE6A983">
      <w:pPr>
        <w:snapToGrid w:val="0"/>
        <w:spacing w:line="500" w:lineRule="exact"/>
        <w:jc w:val="center"/>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lang w:val="en-US" w:eastAsia="zh-CN"/>
        </w:rPr>
        <w:t>石材、电气等</w:t>
      </w:r>
      <w:r>
        <w:rPr>
          <w:rFonts w:hint="eastAsia" w:ascii="仿宋" w:hAnsi="仿宋" w:eastAsia="仿宋" w:cs="仿宋"/>
          <w:b/>
          <w:bCs/>
          <w:color w:val="000000" w:themeColor="text1"/>
          <w:sz w:val="28"/>
          <w:szCs w:val="28"/>
        </w:rPr>
        <w:t>材料采购合同</w:t>
      </w:r>
    </w:p>
    <w:p w14:paraId="4711D94A">
      <w:pPr>
        <w:snapToGrid w:val="0"/>
        <w:spacing w:line="500" w:lineRule="exact"/>
        <w:rPr>
          <w:rFonts w:ascii="仿宋" w:hAnsi="仿宋" w:eastAsia="仿宋" w:cs="仿宋"/>
          <w:color w:val="000000" w:themeColor="text1"/>
          <w:sz w:val="28"/>
          <w:szCs w:val="28"/>
        </w:rPr>
      </w:pPr>
    </w:p>
    <w:p w14:paraId="43725023">
      <w:pPr>
        <w:snapToGrid w:val="0"/>
        <w:spacing w:line="5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甲方：</w:t>
      </w:r>
      <w:r>
        <w:rPr>
          <w:rFonts w:hint="eastAsia" w:ascii="仿宋" w:hAnsi="仿宋" w:eastAsia="仿宋" w:cs="仿宋"/>
          <w:color w:val="000000" w:themeColor="text1"/>
          <w:sz w:val="28"/>
          <w:szCs w:val="28"/>
          <w:u w:val="single"/>
        </w:rPr>
        <w:t>凉山州现代房屋建筑集成制造有限公司</w:t>
      </w:r>
      <w:r>
        <w:rPr>
          <w:rFonts w:hint="eastAsia" w:ascii="仿宋" w:hAnsi="仿宋" w:eastAsia="仿宋" w:cs="仿宋"/>
          <w:color w:val="000000" w:themeColor="text1"/>
          <w:sz w:val="28"/>
          <w:szCs w:val="28"/>
        </w:rPr>
        <w:t xml:space="preserve">  合同编号：  </w:t>
      </w:r>
    </w:p>
    <w:p w14:paraId="2630D72D">
      <w:pPr>
        <w:snapToGrid w:val="0"/>
        <w:spacing w:line="5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乙方：</w:t>
      </w:r>
      <w:r>
        <w:rPr>
          <w:rFonts w:hint="eastAsia" w:ascii="仿宋" w:hAnsi="仿宋" w:eastAsia="仿宋" w:cs="仿宋"/>
          <w:color w:val="000000" w:themeColor="text1"/>
          <w:sz w:val="28"/>
          <w:szCs w:val="28"/>
          <w:u w:val="single"/>
          <w:lang w:val="en-US" w:eastAsia="zh-CN"/>
        </w:rPr>
        <w:t xml:space="preserve">                          </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u w:val="single"/>
          <w:lang w:val="en-US" w:eastAsia="zh-CN"/>
        </w:rPr>
        <w:t xml:space="preserve">        </w:t>
      </w:r>
      <w:r>
        <w:rPr>
          <w:rFonts w:hint="eastAsia" w:ascii="仿宋" w:hAnsi="仿宋" w:eastAsia="仿宋" w:cs="仿宋"/>
          <w:color w:val="000000" w:themeColor="text1"/>
          <w:sz w:val="28"/>
          <w:szCs w:val="28"/>
        </w:rPr>
        <w:t>签订地点：</w:t>
      </w:r>
    </w:p>
    <w:p w14:paraId="07C0BCD8">
      <w:pPr>
        <w:snapToGrid w:val="0"/>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依照《中华人民共和国民法典》及其它相关法律法规的规定，遵循平等、自愿、公平和诚实信用的原则，经双方协商一致，订立本合同，以资共同遵照执行。</w:t>
      </w:r>
    </w:p>
    <w:p w14:paraId="7A3CAD87">
      <w:pPr>
        <w:pStyle w:val="2"/>
      </w:pPr>
    </w:p>
    <w:p w14:paraId="4EC25B1A">
      <w:pPr>
        <w:numPr>
          <w:ilvl w:val="0"/>
          <w:numId w:val="1"/>
        </w:numPr>
        <w:spacing w:line="500" w:lineRule="exact"/>
        <w:rPr>
          <w:rFonts w:ascii="仿宋" w:hAnsi="仿宋" w:eastAsia="仿宋" w:cs="仿宋"/>
          <w:b/>
          <w:color w:val="000000" w:themeColor="text1"/>
          <w:kern w:val="0"/>
          <w:sz w:val="28"/>
          <w:szCs w:val="28"/>
        </w:rPr>
      </w:pPr>
      <w:r>
        <w:rPr>
          <w:rFonts w:hint="eastAsia" w:ascii="仿宋" w:hAnsi="仿宋" w:eastAsia="仿宋" w:cs="仿宋"/>
          <w:b/>
          <w:color w:val="000000" w:themeColor="text1"/>
          <w:kern w:val="0"/>
          <w:sz w:val="28"/>
          <w:szCs w:val="28"/>
        </w:rPr>
        <w:t>物资描述：</w:t>
      </w:r>
    </w:p>
    <w:tbl>
      <w:tblPr>
        <w:tblStyle w:val="5"/>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6"/>
        <w:gridCol w:w="1616"/>
        <w:gridCol w:w="3566"/>
        <w:gridCol w:w="588"/>
        <w:gridCol w:w="1190"/>
        <w:gridCol w:w="851"/>
        <w:gridCol w:w="588"/>
        <w:gridCol w:w="1229"/>
      </w:tblGrid>
      <w:tr w14:paraId="11CC551F">
        <w:tblPrEx>
          <w:tblLayout w:type="fixed"/>
          <w:tblCellMar>
            <w:top w:w="0" w:type="dxa"/>
            <w:left w:w="108" w:type="dxa"/>
            <w:bottom w:w="0" w:type="dxa"/>
            <w:right w:w="108" w:type="dxa"/>
          </w:tblCellMar>
        </w:tblPrEx>
        <w:trPr>
          <w:trHeight w:val="6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846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70B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物料名称</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7AE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规格型号</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A96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AA2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暂估需求量</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A8E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综合单价</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97B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金额</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9A4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r>
      <w:tr w14:paraId="62219550">
        <w:tblPrEx>
          <w:tblLayout w:type="fixed"/>
          <w:tblCellMar>
            <w:top w:w="0" w:type="dxa"/>
            <w:left w:w="108" w:type="dxa"/>
            <w:bottom w:w="0" w:type="dxa"/>
            <w:right w:w="108" w:type="dxa"/>
          </w:tblCellMar>
        </w:tblPrEx>
        <w:trPr>
          <w:trHeight w:val="34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EE4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473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无砂大孔混凝土</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208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C20，透水系数1-15mm/s</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61C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DDB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140.00 </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B6E3A">
            <w:pPr>
              <w:jc w:val="center"/>
              <w:rPr>
                <w:rFonts w:hint="eastAsia" w:ascii="宋体" w:hAnsi="宋体" w:eastAsia="宋体" w:cs="宋体"/>
                <w:i w:val="0"/>
                <w:iCs w:val="0"/>
                <w:color w:val="000000"/>
                <w:sz w:val="20"/>
                <w:szCs w:val="20"/>
                <w:u w:val="none"/>
              </w:rPr>
            </w:pP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7B18D">
            <w:pPr>
              <w:jc w:val="center"/>
              <w:rPr>
                <w:rFonts w:hint="eastAsia" w:ascii="宋体" w:hAnsi="宋体" w:eastAsia="宋体" w:cs="宋体"/>
                <w:i w:val="0"/>
                <w:iCs w:val="0"/>
                <w:color w:val="000000"/>
                <w:sz w:val="20"/>
                <w:szCs w:val="20"/>
                <w:u w:val="none"/>
              </w:rPr>
            </w:pPr>
          </w:p>
        </w:tc>
        <w:tc>
          <w:tcPr>
            <w:tcW w:w="12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B3C3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供货周期为15天</w:t>
            </w:r>
          </w:p>
        </w:tc>
      </w:tr>
      <w:tr w14:paraId="6FE9CE30">
        <w:tblPrEx>
          <w:tblLayout w:type="fixed"/>
          <w:tblCellMar>
            <w:top w:w="0" w:type="dxa"/>
            <w:left w:w="108" w:type="dxa"/>
            <w:bottom w:w="0" w:type="dxa"/>
            <w:right w:w="108" w:type="dxa"/>
          </w:tblCellMar>
        </w:tblPrEx>
        <w:trPr>
          <w:trHeight w:val="34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2BF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D8A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花岗岩</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CB3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800*300*50，芝麻灰</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4E2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9B3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62.00 </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90D93">
            <w:pPr>
              <w:jc w:val="center"/>
              <w:rPr>
                <w:rFonts w:hint="eastAsia" w:ascii="宋体" w:hAnsi="宋体" w:eastAsia="宋体" w:cs="宋体"/>
                <w:i w:val="0"/>
                <w:iCs w:val="0"/>
                <w:color w:val="000000"/>
                <w:sz w:val="20"/>
                <w:szCs w:val="20"/>
                <w:u w:val="none"/>
              </w:rPr>
            </w:pP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63FA8">
            <w:pPr>
              <w:jc w:val="center"/>
              <w:rPr>
                <w:rFonts w:hint="eastAsia" w:ascii="宋体" w:hAnsi="宋体" w:eastAsia="宋体" w:cs="宋体"/>
                <w:i w:val="0"/>
                <w:iCs w:val="0"/>
                <w:color w:val="000000"/>
                <w:sz w:val="20"/>
                <w:szCs w:val="20"/>
                <w:u w:val="none"/>
              </w:rPr>
            </w:pPr>
          </w:p>
        </w:tc>
        <w:tc>
          <w:tcPr>
            <w:tcW w:w="12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C3B801">
            <w:pPr>
              <w:jc w:val="center"/>
              <w:rPr>
                <w:rFonts w:hint="eastAsia" w:ascii="宋体" w:hAnsi="宋体" w:eastAsia="宋体" w:cs="宋体"/>
                <w:i w:val="0"/>
                <w:iCs w:val="0"/>
                <w:color w:val="000000"/>
                <w:sz w:val="22"/>
                <w:szCs w:val="22"/>
                <w:u w:val="none"/>
              </w:rPr>
            </w:pPr>
          </w:p>
        </w:tc>
      </w:tr>
      <w:tr w14:paraId="2BAA402D">
        <w:tblPrEx>
          <w:tblLayout w:type="fixed"/>
          <w:tblCellMar>
            <w:top w:w="0" w:type="dxa"/>
            <w:left w:w="108" w:type="dxa"/>
            <w:bottom w:w="0" w:type="dxa"/>
            <w:right w:w="108" w:type="dxa"/>
          </w:tblCellMar>
        </w:tblPrEx>
        <w:trPr>
          <w:trHeight w:val="34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F32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CF1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花岗岩</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884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600*350*50，，芝麻灰</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935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CBB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230.00 </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5A363">
            <w:pPr>
              <w:jc w:val="center"/>
              <w:rPr>
                <w:rFonts w:hint="eastAsia" w:ascii="宋体" w:hAnsi="宋体" w:eastAsia="宋体" w:cs="宋体"/>
                <w:i w:val="0"/>
                <w:iCs w:val="0"/>
                <w:color w:val="000000"/>
                <w:sz w:val="20"/>
                <w:szCs w:val="20"/>
                <w:u w:val="none"/>
              </w:rPr>
            </w:pP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BAF73">
            <w:pPr>
              <w:jc w:val="center"/>
              <w:rPr>
                <w:rFonts w:hint="eastAsia" w:ascii="宋体" w:hAnsi="宋体" w:eastAsia="宋体" w:cs="宋体"/>
                <w:i w:val="0"/>
                <w:iCs w:val="0"/>
                <w:color w:val="000000"/>
                <w:sz w:val="20"/>
                <w:szCs w:val="20"/>
                <w:u w:val="none"/>
              </w:rPr>
            </w:pPr>
          </w:p>
        </w:tc>
        <w:tc>
          <w:tcPr>
            <w:tcW w:w="12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8A8E33">
            <w:pPr>
              <w:jc w:val="center"/>
              <w:rPr>
                <w:rFonts w:hint="eastAsia" w:ascii="宋体" w:hAnsi="宋体" w:eastAsia="宋体" w:cs="宋体"/>
                <w:i w:val="0"/>
                <w:iCs w:val="0"/>
                <w:color w:val="000000"/>
                <w:sz w:val="22"/>
                <w:szCs w:val="22"/>
                <w:u w:val="none"/>
              </w:rPr>
            </w:pPr>
          </w:p>
        </w:tc>
      </w:tr>
      <w:tr w14:paraId="28892DC8">
        <w:tblPrEx>
          <w:tblLayout w:type="fixed"/>
          <w:tblCellMar>
            <w:top w:w="0" w:type="dxa"/>
            <w:left w:w="108" w:type="dxa"/>
            <w:bottom w:w="0" w:type="dxa"/>
            <w:right w:w="108" w:type="dxa"/>
          </w:tblCellMar>
        </w:tblPrEx>
        <w:trPr>
          <w:trHeight w:val="34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116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7A4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花岗岩</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CA2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970*300*50，芝麻灰</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16D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F79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39.00 </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B141D">
            <w:pPr>
              <w:jc w:val="center"/>
              <w:rPr>
                <w:rFonts w:hint="eastAsia" w:ascii="宋体" w:hAnsi="宋体" w:eastAsia="宋体" w:cs="宋体"/>
                <w:i w:val="0"/>
                <w:iCs w:val="0"/>
                <w:color w:val="000000"/>
                <w:sz w:val="20"/>
                <w:szCs w:val="20"/>
                <w:u w:val="none"/>
              </w:rPr>
            </w:pP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FFF54">
            <w:pPr>
              <w:jc w:val="center"/>
              <w:rPr>
                <w:rFonts w:hint="eastAsia" w:ascii="宋体" w:hAnsi="宋体" w:eastAsia="宋体" w:cs="宋体"/>
                <w:i w:val="0"/>
                <w:iCs w:val="0"/>
                <w:color w:val="000000"/>
                <w:sz w:val="20"/>
                <w:szCs w:val="20"/>
                <w:u w:val="none"/>
              </w:rPr>
            </w:pPr>
          </w:p>
        </w:tc>
        <w:tc>
          <w:tcPr>
            <w:tcW w:w="12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3792C3">
            <w:pPr>
              <w:jc w:val="center"/>
              <w:rPr>
                <w:rFonts w:hint="eastAsia" w:ascii="宋体" w:hAnsi="宋体" w:eastAsia="宋体" w:cs="宋体"/>
                <w:i w:val="0"/>
                <w:iCs w:val="0"/>
                <w:color w:val="000000"/>
                <w:sz w:val="22"/>
                <w:szCs w:val="22"/>
                <w:u w:val="none"/>
              </w:rPr>
            </w:pPr>
          </w:p>
        </w:tc>
      </w:tr>
      <w:tr w14:paraId="41000772">
        <w:tblPrEx>
          <w:tblLayout w:type="fixed"/>
          <w:tblCellMar>
            <w:top w:w="0" w:type="dxa"/>
            <w:left w:w="108" w:type="dxa"/>
            <w:bottom w:w="0" w:type="dxa"/>
            <w:right w:w="108" w:type="dxa"/>
          </w:tblCellMar>
        </w:tblPrEx>
        <w:trPr>
          <w:trHeight w:val="34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BBA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C70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花岗岩</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8FA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850*300*50，芝麻灰</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D3F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21E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25.00 </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F63D9">
            <w:pPr>
              <w:jc w:val="center"/>
              <w:rPr>
                <w:rFonts w:hint="eastAsia" w:ascii="宋体" w:hAnsi="宋体" w:eastAsia="宋体" w:cs="宋体"/>
                <w:i w:val="0"/>
                <w:iCs w:val="0"/>
                <w:color w:val="000000"/>
                <w:sz w:val="20"/>
                <w:szCs w:val="20"/>
                <w:u w:val="none"/>
              </w:rPr>
            </w:pP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385BA">
            <w:pPr>
              <w:jc w:val="center"/>
              <w:rPr>
                <w:rFonts w:hint="eastAsia" w:ascii="宋体" w:hAnsi="宋体" w:eastAsia="宋体" w:cs="宋体"/>
                <w:i w:val="0"/>
                <w:iCs w:val="0"/>
                <w:color w:val="000000"/>
                <w:sz w:val="20"/>
                <w:szCs w:val="20"/>
                <w:u w:val="none"/>
              </w:rPr>
            </w:pPr>
          </w:p>
        </w:tc>
        <w:tc>
          <w:tcPr>
            <w:tcW w:w="12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62D082">
            <w:pPr>
              <w:jc w:val="center"/>
              <w:rPr>
                <w:rFonts w:hint="eastAsia" w:ascii="宋体" w:hAnsi="宋体" w:eastAsia="宋体" w:cs="宋体"/>
                <w:i w:val="0"/>
                <w:iCs w:val="0"/>
                <w:color w:val="000000"/>
                <w:sz w:val="22"/>
                <w:szCs w:val="22"/>
                <w:u w:val="none"/>
              </w:rPr>
            </w:pPr>
          </w:p>
        </w:tc>
      </w:tr>
      <w:tr w14:paraId="4831577E">
        <w:tblPrEx>
          <w:tblLayout w:type="fixed"/>
          <w:tblCellMar>
            <w:top w:w="0" w:type="dxa"/>
            <w:left w:w="108" w:type="dxa"/>
            <w:bottom w:w="0" w:type="dxa"/>
            <w:right w:w="108" w:type="dxa"/>
          </w:tblCellMar>
        </w:tblPrEx>
        <w:trPr>
          <w:trHeight w:val="34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BAE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1D7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花岗岩</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889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600*150*30，芝麻灰</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947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8EB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36.00 </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42B75">
            <w:pPr>
              <w:jc w:val="center"/>
              <w:rPr>
                <w:rFonts w:hint="eastAsia" w:ascii="宋体" w:hAnsi="宋体" w:eastAsia="宋体" w:cs="宋体"/>
                <w:i w:val="0"/>
                <w:iCs w:val="0"/>
                <w:color w:val="000000"/>
                <w:sz w:val="20"/>
                <w:szCs w:val="20"/>
                <w:u w:val="none"/>
              </w:rPr>
            </w:pP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15667">
            <w:pPr>
              <w:jc w:val="center"/>
              <w:rPr>
                <w:rFonts w:hint="eastAsia" w:ascii="宋体" w:hAnsi="宋体" w:eastAsia="宋体" w:cs="宋体"/>
                <w:i w:val="0"/>
                <w:iCs w:val="0"/>
                <w:color w:val="000000"/>
                <w:sz w:val="20"/>
                <w:szCs w:val="20"/>
                <w:u w:val="none"/>
              </w:rPr>
            </w:pPr>
          </w:p>
        </w:tc>
        <w:tc>
          <w:tcPr>
            <w:tcW w:w="12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D99D1A">
            <w:pPr>
              <w:jc w:val="center"/>
              <w:rPr>
                <w:rFonts w:hint="eastAsia" w:ascii="宋体" w:hAnsi="宋体" w:eastAsia="宋体" w:cs="宋体"/>
                <w:i w:val="0"/>
                <w:iCs w:val="0"/>
                <w:color w:val="000000"/>
                <w:sz w:val="22"/>
                <w:szCs w:val="22"/>
                <w:u w:val="none"/>
              </w:rPr>
            </w:pPr>
          </w:p>
        </w:tc>
      </w:tr>
      <w:tr w14:paraId="63AFE446">
        <w:tblPrEx>
          <w:tblLayout w:type="fixed"/>
          <w:tblCellMar>
            <w:top w:w="0" w:type="dxa"/>
            <w:left w:w="108" w:type="dxa"/>
            <w:bottom w:w="0" w:type="dxa"/>
            <w:right w:w="108" w:type="dxa"/>
          </w:tblCellMar>
        </w:tblPrEx>
        <w:trPr>
          <w:trHeight w:val="34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448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A8F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花岗岩</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632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600*500*30，芝麻灰</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13C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FFE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15.00 </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5CD8E">
            <w:pPr>
              <w:jc w:val="center"/>
              <w:rPr>
                <w:rFonts w:hint="eastAsia" w:ascii="宋体" w:hAnsi="宋体" w:eastAsia="宋体" w:cs="宋体"/>
                <w:i w:val="0"/>
                <w:iCs w:val="0"/>
                <w:color w:val="000000"/>
                <w:sz w:val="20"/>
                <w:szCs w:val="20"/>
                <w:u w:val="none"/>
              </w:rPr>
            </w:pP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2BA5B">
            <w:pPr>
              <w:jc w:val="center"/>
              <w:rPr>
                <w:rFonts w:hint="eastAsia" w:ascii="宋体" w:hAnsi="宋体" w:eastAsia="宋体" w:cs="宋体"/>
                <w:i w:val="0"/>
                <w:iCs w:val="0"/>
                <w:color w:val="000000"/>
                <w:sz w:val="20"/>
                <w:szCs w:val="20"/>
                <w:u w:val="none"/>
              </w:rPr>
            </w:pPr>
          </w:p>
        </w:tc>
        <w:tc>
          <w:tcPr>
            <w:tcW w:w="12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1F57E7">
            <w:pPr>
              <w:jc w:val="center"/>
              <w:rPr>
                <w:rFonts w:hint="eastAsia" w:ascii="宋体" w:hAnsi="宋体" w:eastAsia="宋体" w:cs="宋体"/>
                <w:i w:val="0"/>
                <w:iCs w:val="0"/>
                <w:color w:val="000000"/>
                <w:sz w:val="22"/>
                <w:szCs w:val="22"/>
                <w:u w:val="none"/>
              </w:rPr>
            </w:pPr>
          </w:p>
        </w:tc>
      </w:tr>
      <w:tr w14:paraId="39822763">
        <w:tblPrEx>
          <w:tblLayout w:type="fixed"/>
          <w:tblCellMar>
            <w:top w:w="0" w:type="dxa"/>
            <w:left w:w="108" w:type="dxa"/>
            <w:bottom w:w="0" w:type="dxa"/>
            <w:right w:w="108" w:type="dxa"/>
          </w:tblCellMar>
        </w:tblPrEx>
        <w:trPr>
          <w:trHeight w:val="34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DD0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035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花岗岩路沿石</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676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600*450*150，芝麻灰</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A96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5DF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32.00 </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B52E0">
            <w:pPr>
              <w:jc w:val="center"/>
              <w:rPr>
                <w:rFonts w:hint="eastAsia" w:ascii="宋体" w:hAnsi="宋体" w:eastAsia="宋体" w:cs="宋体"/>
                <w:i w:val="0"/>
                <w:iCs w:val="0"/>
                <w:color w:val="000000"/>
                <w:sz w:val="20"/>
                <w:szCs w:val="20"/>
                <w:u w:val="none"/>
              </w:rPr>
            </w:pP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51B36">
            <w:pPr>
              <w:jc w:val="center"/>
              <w:rPr>
                <w:rFonts w:hint="eastAsia" w:ascii="宋体" w:hAnsi="宋体" w:eastAsia="宋体" w:cs="宋体"/>
                <w:i w:val="0"/>
                <w:iCs w:val="0"/>
                <w:color w:val="000000"/>
                <w:sz w:val="20"/>
                <w:szCs w:val="20"/>
                <w:u w:val="none"/>
              </w:rPr>
            </w:pPr>
          </w:p>
        </w:tc>
        <w:tc>
          <w:tcPr>
            <w:tcW w:w="12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D9F0FF">
            <w:pPr>
              <w:jc w:val="center"/>
              <w:rPr>
                <w:rFonts w:hint="eastAsia" w:ascii="宋体" w:hAnsi="宋体" w:eastAsia="宋体" w:cs="宋体"/>
                <w:i w:val="0"/>
                <w:iCs w:val="0"/>
                <w:color w:val="000000"/>
                <w:sz w:val="22"/>
                <w:szCs w:val="22"/>
                <w:u w:val="none"/>
              </w:rPr>
            </w:pPr>
          </w:p>
        </w:tc>
      </w:tr>
      <w:tr w14:paraId="1763CA4B">
        <w:tblPrEx>
          <w:tblLayout w:type="fixed"/>
          <w:tblCellMar>
            <w:top w:w="0" w:type="dxa"/>
            <w:left w:w="108" w:type="dxa"/>
            <w:bottom w:w="0" w:type="dxa"/>
            <w:right w:w="108" w:type="dxa"/>
          </w:tblCellMar>
        </w:tblPrEx>
        <w:trPr>
          <w:trHeight w:val="34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346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AA9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花岗岩道牙</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30B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600*250*100，芝麻灰</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F6C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3DC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3.00 </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D8504">
            <w:pPr>
              <w:jc w:val="center"/>
              <w:rPr>
                <w:rFonts w:hint="eastAsia" w:ascii="宋体" w:hAnsi="宋体" w:eastAsia="宋体" w:cs="宋体"/>
                <w:i w:val="0"/>
                <w:iCs w:val="0"/>
                <w:color w:val="000000"/>
                <w:sz w:val="20"/>
                <w:szCs w:val="20"/>
                <w:u w:val="none"/>
              </w:rPr>
            </w:pP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0269A">
            <w:pPr>
              <w:jc w:val="center"/>
              <w:rPr>
                <w:rFonts w:hint="eastAsia" w:ascii="宋体" w:hAnsi="宋体" w:eastAsia="宋体" w:cs="宋体"/>
                <w:i w:val="0"/>
                <w:iCs w:val="0"/>
                <w:color w:val="000000"/>
                <w:sz w:val="20"/>
                <w:szCs w:val="20"/>
                <w:u w:val="none"/>
              </w:rPr>
            </w:pPr>
          </w:p>
        </w:tc>
        <w:tc>
          <w:tcPr>
            <w:tcW w:w="12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8F90DD">
            <w:pPr>
              <w:jc w:val="center"/>
              <w:rPr>
                <w:rFonts w:hint="eastAsia" w:ascii="宋体" w:hAnsi="宋体" w:eastAsia="宋体" w:cs="宋体"/>
                <w:i w:val="0"/>
                <w:iCs w:val="0"/>
                <w:color w:val="000000"/>
                <w:sz w:val="22"/>
                <w:szCs w:val="22"/>
                <w:u w:val="none"/>
              </w:rPr>
            </w:pPr>
          </w:p>
        </w:tc>
      </w:tr>
      <w:tr w14:paraId="1E709E20">
        <w:tblPrEx>
          <w:tblLayout w:type="fixed"/>
          <w:tblCellMar>
            <w:top w:w="0" w:type="dxa"/>
            <w:left w:w="108" w:type="dxa"/>
            <w:bottom w:w="0" w:type="dxa"/>
            <w:right w:w="108" w:type="dxa"/>
          </w:tblCellMar>
        </w:tblPrEx>
        <w:trPr>
          <w:trHeight w:val="34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C56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11B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底漆</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466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0.18kg/m²</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FE0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吨</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F38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2.00 </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2B537">
            <w:pPr>
              <w:jc w:val="center"/>
              <w:rPr>
                <w:rFonts w:hint="eastAsia" w:ascii="宋体" w:hAnsi="宋体" w:eastAsia="宋体" w:cs="宋体"/>
                <w:i w:val="0"/>
                <w:iCs w:val="0"/>
                <w:color w:val="000000"/>
                <w:sz w:val="20"/>
                <w:szCs w:val="20"/>
                <w:u w:val="none"/>
              </w:rPr>
            </w:pP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E848E">
            <w:pPr>
              <w:jc w:val="center"/>
              <w:rPr>
                <w:rFonts w:hint="eastAsia" w:ascii="宋体" w:hAnsi="宋体" w:eastAsia="宋体" w:cs="宋体"/>
                <w:i w:val="0"/>
                <w:iCs w:val="0"/>
                <w:color w:val="000000"/>
                <w:sz w:val="20"/>
                <w:szCs w:val="20"/>
                <w:u w:val="none"/>
              </w:rPr>
            </w:pPr>
          </w:p>
        </w:tc>
        <w:tc>
          <w:tcPr>
            <w:tcW w:w="12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264C51">
            <w:pPr>
              <w:jc w:val="center"/>
              <w:rPr>
                <w:rFonts w:hint="eastAsia" w:ascii="宋体" w:hAnsi="宋体" w:eastAsia="宋体" w:cs="宋体"/>
                <w:i w:val="0"/>
                <w:iCs w:val="0"/>
                <w:color w:val="000000"/>
                <w:sz w:val="22"/>
                <w:szCs w:val="22"/>
                <w:u w:val="none"/>
              </w:rPr>
            </w:pPr>
          </w:p>
        </w:tc>
      </w:tr>
      <w:tr w14:paraId="37D4BD5B">
        <w:tblPrEx>
          <w:tblLayout w:type="fixed"/>
          <w:tblCellMar>
            <w:top w:w="0" w:type="dxa"/>
            <w:left w:w="108" w:type="dxa"/>
            <w:bottom w:w="0" w:type="dxa"/>
            <w:right w:w="108" w:type="dxa"/>
          </w:tblCellMar>
        </w:tblPrEx>
        <w:trPr>
          <w:trHeight w:val="34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619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4CB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抗裂砂浆</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DFB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≥0.7Mpa</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D09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吨</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B3B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2.00 </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5F6AC">
            <w:pPr>
              <w:jc w:val="center"/>
              <w:rPr>
                <w:rFonts w:hint="eastAsia" w:ascii="宋体" w:hAnsi="宋体" w:eastAsia="宋体" w:cs="宋体"/>
                <w:i w:val="0"/>
                <w:iCs w:val="0"/>
                <w:color w:val="000000"/>
                <w:sz w:val="20"/>
                <w:szCs w:val="20"/>
                <w:u w:val="none"/>
              </w:rPr>
            </w:pP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CA132">
            <w:pPr>
              <w:jc w:val="center"/>
              <w:rPr>
                <w:rFonts w:hint="eastAsia" w:ascii="宋体" w:hAnsi="宋体" w:eastAsia="宋体" w:cs="宋体"/>
                <w:i w:val="0"/>
                <w:iCs w:val="0"/>
                <w:color w:val="000000"/>
                <w:sz w:val="20"/>
                <w:szCs w:val="20"/>
                <w:u w:val="none"/>
              </w:rPr>
            </w:pPr>
          </w:p>
        </w:tc>
        <w:tc>
          <w:tcPr>
            <w:tcW w:w="12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1300C1">
            <w:pPr>
              <w:jc w:val="center"/>
              <w:rPr>
                <w:rFonts w:hint="eastAsia" w:ascii="宋体" w:hAnsi="宋体" w:eastAsia="宋体" w:cs="宋体"/>
                <w:i w:val="0"/>
                <w:iCs w:val="0"/>
                <w:color w:val="000000"/>
                <w:sz w:val="22"/>
                <w:szCs w:val="22"/>
                <w:u w:val="none"/>
              </w:rPr>
            </w:pPr>
          </w:p>
        </w:tc>
      </w:tr>
      <w:tr w14:paraId="5B015D33">
        <w:tblPrEx>
          <w:tblLayout w:type="fixed"/>
          <w:tblCellMar>
            <w:top w:w="0" w:type="dxa"/>
            <w:left w:w="108" w:type="dxa"/>
            <w:bottom w:w="0" w:type="dxa"/>
            <w:right w:w="108" w:type="dxa"/>
          </w:tblCellMar>
        </w:tblPrEx>
        <w:trPr>
          <w:trHeight w:val="34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272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275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真石漆</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1DC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米黄色</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82E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吨</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E93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2.00 </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C1B38">
            <w:pPr>
              <w:jc w:val="center"/>
              <w:rPr>
                <w:rFonts w:hint="eastAsia" w:ascii="宋体" w:hAnsi="宋体" w:eastAsia="宋体" w:cs="宋体"/>
                <w:i w:val="0"/>
                <w:iCs w:val="0"/>
                <w:color w:val="000000"/>
                <w:sz w:val="20"/>
                <w:szCs w:val="20"/>
                <w:u w:val="none"/>
              </w:rPr>
            </w:pP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88995">
            <w:pPr>
              <w:jc w:val="center"/>
              <w:rPr>
                <w:rFonts w:hint="eastAsia" w:ascii="宋体" w:hAnsi="宋体" w:eastAsia="宋体" w:cs="宋体"/>
                <w:i w:val="0"/>
                <w:iCs w:val="0"/>
                <w:color w:val="000000"/>
                <w:sz w:val="20"/>
                <w:szCs w:val="20"/>
                <w:u w:val="none"/>
              </w:rPr>
            </w:pPr>
          </w:p>
        </w:tc>
        <w:tc>
          <w:tcPr>
            <w:tcW w:w="12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649D8F">
            <w:pPr>
              <w:jc w:val="center"/>
              <w:rPr>
                <w:rFonts w:hint="eastAsia" w:ascii="宋体" w:hAnsi="宋体" w:eastAsia="宋体" w:cs="宋体"/>
                <w:i w:val="0"/>
                <w:iCs w:val="0"/>
                <w:color w:val="000000"/>
                <w:sz w:val="22"/>
                <w:szCs w:val="22"/>
                <w:u w:val="none"/>
              </w:rPr>
            </w:pPr>
          </w:p>
        </w:tc>
      </w:tr>
      <w:tr w14:paraId="6A37A955">
        <w:tblPrEx>
          <w:tblLayout w:type="fixed"/>
          <w:tblCellMar>
            <w:top w:w="0" w:type="dxa"/>
            <w:left w:w="108" w:type="dxa"/>
            <w:bottom w:w="0" w:type="dxa"/>
            <w:right w:w="108" w:type="dxa"/>
          </w:tblCellMar>
        </w:tblPrEx>
        <w:trPr>
          <w:trHeight w:val="34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020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B5B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透水砖</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9DA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600*300*50</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E1B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75C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1731.00 </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4117D">
            <w:pPr>
              <w:jc w:val="center"/>
              <w:rPr>
                <w:rFonts w:hint="eastAsia" w:ascii="宋体" w:hAnsi="宋体" w:eastAsia="宋体" w:cs="宋体"/>
                <w:i w:val="0"/>
                <w:iCs w:val="0"/>
                <w:color w:val="000000"/>
                <w:sz w:val="20"/>
                <w:szCs w:val="20"/>
                <w:u w:val="none"/>
              </w:rPr>
            </w:pP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3CAB5">
            <w:pPr>
              <w:jc w:val="center"/>
              <w:rPr>
                <w:rFonts w:hint="eastAsia" w:ascii="宋体" w:hAnsi="宋体" w:eastAsia="宋体" w:cs="宋体"/>
                <w:i w:val="0"/>
                <w:iCs w:val="0"/>
                <w:color w:val="000000"/>
                <w:sz w:val="20"/>
                <w:szCs w:val="20"/>
                <w:u w:val="none"/>
              </w:rPr>
            </w:pPr>
          </w:p>
        </w:tc>
        <w:tc>
          <w:tcPr>
            <w:tcW w:w="12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2DCA16">
            <w:pPr>
              <w:jc w:val="center"/>
              <w:rPr>
                <w:rFonts w:hint="eastAsia" w:ascii="宋体" w:hAnsi="宋体" w:eastAsia="宋体" w:cs="宋体"/>
                <w:i w:val="0"/>
                <w:iCs w:val="0"/>
                <w:color w:val="000000"/>
                <w:sz w:val="22"/>
                <w:szCs w:val="22"/>
                <w:u w:val="none"/>
              </w:rPr>
            </w:pPr>
          </w:p>
        </w:tc>
      </w:tr>
      <w:tr w14:paraId="627F1E20">
        <w:tblPrEx>
          <w:tblLayout w:type="fixed"/>
          <w:tblCellMar>
            <w:top w:w="0" w:type="dxa"/>
            <w:left w:w="108" w:type="dxa"/>
            <w:bottom w:w="0" w:type="dxa"/>
            <w:right w:w="108" w:type="dxa"/>
          </w:tblCellMar>
        </w:tblPrEx>
        <w:trPr>
          <w:trHeight w:val="34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11E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A28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透水无纺布</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A37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不低于400g/m²</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A47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5B3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1731.00 </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13206">
            <w:pPr>
              <w:jc w:val="center"/>
              <w:rPr>
                <w:rFonts w:hint="eastAsia" w:ascii="宋体" w:hAnsi="宋体" w:eastAsia="宋体" w:cs="宋体"/>
                <w:i w:val="0"/>
                <w:iCs w:val="0"/>
                <w:color w:val="000000"/>
                <w:sz w:val="20"/>
                <w:szCs w:val="20"/>
                <w:u w:val="none"/>
              </w:rPr>
            </w:pP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7CABD">
            <w:pPr>
              <w:jc w:val="center"/>
              <w:rPr>
                <w:rFonts w:hint="eastAsia" w:ascii="宋体" w:hAnsi="宋体" w:eastAsia="宋体" w:cs="宋体"/>
                <w:i w:val="0"/>
                <w:iCs w:val="0"/>
                <w:color w:val="000000"/>
                <w:sz w:val="20"/>
                <w:szCs w:val="20"/>
                <w:u w:val="none"/>
              </w:rPr>
            </w:pPr>
          </w:p>
        </w:tc>
        <w:tc>
          <w:tcPr>
            <w:tcW w:w="12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66CC30">
            <w:pPr>
              <w:jc w:val="center"/>
              <w:rPr>
                <w:rFonts w:hint="eastAsia" w:ascii="宋体" w:hAnsi="宋体" w:eastAsia="宋体" w:cs="宋体"/>
                <w:i w:val="0"/>
                <w:iCs w:val="0"/>
                <w:color w:val="000000"/>
                <w:sz w:val="22"/>
                <w:szCs w:val="22"/>
                <w:u w:val="none"/>
              </w:rPr>
            </w:pPr>
          </w:p>
        </w:tc>
      </w:tr>
      <w:tr w14:paraId="52A35D5B">
        <w:tblPrEx>
          <w:tblLayout w:type="fixed"/>
          <w:tblCellMar>
            <w:top w:w="0" w:type="dxa"/>
            <w:left w:w="108" w:type="dxa"/>
            <w:bottom w:w="0" w:type="dxa"/>
            <w:right w:w="108" w:type="dxa"/>
          </w:tblCellMar>
        </w:tblPrEx>
        <w:trPr>
          <w:trHeight w:val="34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884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864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成品U型排水沟</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13F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树脂u250*250</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60C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647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950.00 </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2FBC1">
            <w:pPr>
              <w:jc w:val="center"/>
              <w:rPr>
                <w:rFonts w:hint="eastAsia" w:ascii="宋体" w:hAnsi="宋体" w:eastAsia="宋体" w:cs="宋体"/>
                <w:i w:val="0"/>
                <w:iCs w:val="0"/>
                <w:color w:val="000000"/>
                <w:sz w:val="20"/>
                <w:szCs w:val="20"/>
                <w:u w:val="none"/>
              </w:rPr>
            </w:pP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DE617">
            <w:pPr>
              <w:jc w:val="center"/>
              <w:rPr>
                <w:rFonts w:hint="eastAsia" w:ascii="宋体" w:hAnsi="宋体" w:eastAsia="宋体" w:cs="宋体"/>
                <w:i w:val="0"/>
                <w:iCs w:val="0"/>
                <w:color w:val="000000"/>
                <w:sz w:val="20"/>
                <w:szCs w:val="20"/>
                <w:u w:val="none"/>
              </w:rPr>
            </w:pPr>
          </w:p>
        </w:tc>
        <w:tc>
          <w:tcPr>
            <w:tcW w:w="12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C15BFB">
            <w:pPr>
              <w:jc w:val="center"/>
              <w:rPr>
                <w:rFonts w:hint="eastAsia" w:ascii="宋体" w:hAnsi="宋体" w:eastAsia="宋体" w:cs="宋体"/>
                <w:i w:val="0"/>
                <w:iCs w:val="0"/>
                <w:color w:val="000000"/>
                <w:sz w:val="22"/>
                <w:szCs w:val="22"/>
                <w:u w:val="none"/>
              </w:rPr>
            </w:pPr>
          </w:p>
        </w:tc>
      </w:tr>
      <w:tr w14:paraId="00321C6C">
        <w:tblPrEx>
          <w:tblLayout w:type="fixed"/>
          <w:tblCellMar>
            <w:top w:w="0" w:type="dxa"/>
            <w:left w:w="108" w:type="dxa"/>
            <w:bottom w:w="0" w:type="dxa"/>
            <w:right w:w="108" w:type="dxa"/>
          </w:tblCellMar>
        </w:tblPrEx>
        <w:trPr>
          <w:trHeight w:val="34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689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4DF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灯杆</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119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6m，热镀锌钢管，壁厚3.5mm</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262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9D0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36.00 </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31921">
            <w:pPr>
              <w:jc w:val="center"/>
              <w:rPr>
                <w:rFonts w:hint="eastAsia" w:ascii="宋体" w:hAnsi="宋体" w:eastAsia="宋体" w:cs="宋体"/>
                <w:i w:val="0"/>
                <w:iCs w:val="0"/>
                <w:color w:val="000000"/>
                <w:sz w:val="20"/>
                <w:szCs w:val="20"/>
                <w:u w:val="none"/>
              </w:rPr>
            </w:pP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9E785">
            <w:pPr>
              <w:jc w:val="center"/>
              <w:rPr>
                <w:rFonts w:hint="eastAsia" w:ascii="宋体" w:hAnsi="宋体" w:eastAsia="宋体" w:cs="宋体"/>
                <w:i w:val="0"/>
                <w:iCs w:val="0"/>
                <w:color w:val="000000"/>
                <w:sz w:val="20"/>
                <w:szCs w:val="20"/>
                <w:u w:val="none"/>
              </w:rPr>
            </w:pPr>
          </w:p>
        </w:tc>
        <w:tc>
          <w:tcPr>
            <w:tcW w:w="12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56DCC1">
            <w:pPr>
              <w:jc w:val="center"/>
              <w:rPr>
                <w:rFonts w:hint="eastAsia" w:ascii="宋体" w:hAnsi="宋体" w:eastAsia="宋体" w:cs="宋体"/>
                <w:i w:val="0"/>
                <w:iCs w:val="0"/>
                <w:color w:val="000000"/>
                <w:sz w:val="22"/>
                <w:szCs w:val="22"/>
                <w:u w:val="none"/>
              </w:rPr>
            </w:pPr>
          </w:p>
        </w:tc>
      </w:tr>
      <w:tr w14:paraId="6CB98268">
        <w:tblPrEx>
          <w:tblLayout w:type="fixed"/>
          <w:tblCellMar>
            <w:top w:w="0" w:type="dxa"/>
            <w:left w:w="108" w:type="dxa"/>
            <w:bottom w:w="0" w:type="dxa"/>
            <w:right w:w="108" w:type="dxa"/>
          </w:tblCellMar>
        </w:tblPrEx>
        <w:trPr>
          <w:trHeight w:val="34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2BA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A13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灯具</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A09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广场照明立杆灯（LED,4灯头，200W）</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0B3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88F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26.00 </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E29A6">
            <w:pPr>
              <w:jc w:val="center"/>
              <w:rPr>
                <w:rFonts w:hint="eastAsia" w:ascii="宋体" w:hAnsi="宋体" w:eastAsia="宋体" w:cs="宋体"/>
                <w:i w:val="0"/>
                <w:iCs w:val="0"/>
                <w:color w:val="000000"/>
                <w:sz w:val="20"/>
                <w:szCs w:val="20"/>
                <w:u w:val="none"/>
              </w:rPr>
            </w:pP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FA767">
            <w:pPr>
              <w:jc w:val="center"/>
              <w:rPr>
                <w:rFonts w:hint="eastAsia" w:ascii="宋体" w:hAnsi="宋体" w:eastAsia="宋体" w:cs="宋体"/>
                <w:i w:val="0"/>
                <w:iCs w:val="0"/>
                <w:color w:val="000000"/>
                <w:sz w:val="20"/>
                <w:szCs w:val="20"/>
                <w:u w:val="none"/>
              </w:rPr>
            </w:pPr>
          </w:p>
        </w:tc>
        <w:tc>
          <w:tcPr>
            <w:tcW w:w="12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091EA4">
            <w:pPr>
              <w:jc w:val="center"/>
              <w:rPr>
                <w:rFonts w:hint="eastAsia" w:ascii="宋体" w:hAnsi="宋体" w:eastAsia="宋体" w:cs="宋体"/>
                <w:i w:val="0"/>
                <w:iCs w:val="0"/>
                <w:color w:val="000000"/>
                <w:sz w:val="22"/>
                <w:szCs w:val="22"/>
                <w:u w:val="none"/>
              </w:rPr>
            </w:pPr>
          </w:p>
        </w:tc>
      </w:tr>
      <w:tr w14:paraId="078FBDD0">
        <w:tblPrEx>
          <w:tblLayout w:type="fixed"/>
          <w:tblCellMar>
            <w:top w:w="0" w:type="dxa"/>
            <w:left w:w="108" w:type="dxa"/>
            <w:bottom w:w="0" w:type="dxa"/>
            <w:right w:w="108" w:type="dxa"/>
          </w:tblCellMar>
        </w:tblPrEx>
        <w:trPr>
          <w:trHeight w:val="34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1B4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529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灯具</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6E4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广场照明立杆灯（LED,2灯头，200W）</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E4E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0F0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10.00 </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2EFFF">
            <w:pPr>
              <w:jc w:val="center"/>
              <w:rPr>
                <w:rFonts w:hint="eastAsia" w:ascii="宋体" w:hAnsi="宋体" w:eastAsia="宋体" w:cs="宋体"/>
                <w:i w:val="0"/>
                <w:iCs w:val="0"/>
                <w:color w:val="000000"/>
                <w:sz w:val="20"/>
                <w:szCs w:val="20"/>
                <w:u w:val="none"/>
              </w:rPr>
            </w:pP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57705">
            <w:pPr>
              <w:jc w:val="center"/>
              <w:rPr>
                <w:rFonts w:hint="eastAsia" w:ascii="宋体" w:hAnsi="宋体" w:eastAsia="宋体" w:cs="宋体"/>
                <w:i w:val="0"/>
                <w:iCs w:val="0"/>
                <w:color w:val="000000"/>
                <w:sz w:val="20"/>
                <w:szCs w:val="20"/>
                <w:u w:val="none"/>
              </w:rPr>
            </w:pPr>
          </w:p>
        </w:tc>
        <w:tc>
          <w:tcPr>
            <w:tcW w:w="12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2E6F0E">
            <w:pPr>
              <w:jc w:val="center"/>
              <w:rPr>
                <w:rFonts w:hint="eastAsia" w:ascii="宋体" w:hAnsi="宋体" w:eastAsia="宋体" w:cs="宋体"/>
                <w:i w:val="0"/>
                <w:iCs w:val="0"/>
                <w:color w:val="000000"/>
                <w:sz w:val="22"/>
                <w:szCs w:val="22"/>
                <w:u w:val="none"/>
              </w:rPr>
            </w:pPr>
          </w:p>
        </w:tc>
      </w:tr>
      <w:tr w14:paraId="2E7E24AC">
        <w:tblPrEx>
          <w:tblLayout w:type="fixed"/>
          <w:tblCellMar>
            <w:top w:w="0" w:type="dxa"/>
            <w:left w:w="108" w:type="dxa"/>
            <w:bottom w:w="0" w:type="dxa"/>
            <w:right w:w="108" w:type="dxa"/>
          </w:tblCellMar>
        </w:tblPrEx>
        <w:trPr>
          <w:trHeight w:val="34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D07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EEE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电缆</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58D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WDZB1-YJY-2*4+E4-SC25-WC</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C55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1BE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1650.00 </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3575C">
            <w:pPr>
              <w:jc w:val="center"/>
              <w:rPr>
                <w:rFonts w:hint="eastAsia" w:ascii="宋体" w:hAnsi="宋体" w:eastAsia="宋体" w:cs="宋体"/>
                <w:i w:val="0"/>
                <w:iCs w:val="0"/>
                <w:color w:val="000000"/>
                <w:sz w:val="20"/>
                <w:szCs w:val="20"/>
                <w:u w:val="none"/>
              </w:rPr>
            </w:pP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B4B79">
            <w:pPr>
              <w:jc w:val="center"/>
              <w:rPr>
                <w:rFonts w:hint="eastAsia" w:ascii="宋体" w:hAnsi="宋体" w:eastAsia="宋体" w:cs="宋体"/>
                <w:i w:val="0"/>
                <w:iCs w:val="0"/>
                <w:color w:val="000000"/>
                <w:sz w:val="20"/>
                <w:szCs w:val="20"/>
                <w:u w:val="none"/>
              </w:rPr>
            </w:pPr>
          </w:p>
        </w:tc>
        <w:tc>
          <w:tcPr>
            <w:tcW w:w="12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850243">
            <w:pPr>
              <w:jc w:val="center"/>
              <w:rPr>
                <w:rFonts w:hint="eastAsia" w:ascii="宋体" w:hAnsi="宋体" w:eastAsia="宋体" w:cs="宋体"/>
                <w:i w:val="0"/>
                <w:iCs w:val="0"/>
                <w:color w:val="000000"/>
                <w:sz w:val="22"/>
                <w:szCs w:val="22"/>
                <w:u w:val="none"/>
              </w:rPr>
            </w:pPr>
          </w:p>
        </w:tc>
      </w:tr>
      <w:tr w14:paraId="61A8ADDE">
        <w:tblPrEx>
          <w:tblLayout w:type="fixed"/>
          <w:tblCellMar>
            <w:top w:w="0" w:type="dxa"/>
            <w:left w:w="108" w:type="dxa"/>
            <w:bottom w:w="0" w:type="dxa"/>
            <w:right w:w="108" w:type="dxa"/>
          </w:tblCellMar>
        </w:tblPrEx>
        <w:trPr>
          <w:trHeight w:val="34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71E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DEC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电线</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C0B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YZ-RVV 3*4mm²</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241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3E6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1650.00 </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02066">
            <w:pPr>
              <w:jc w:val="center"/>
              <w:rPr>
                <w:rFonts w:hint="eastAsia" w:ascii="宋体" w:hAnsi="宋体" w:eastAsia="宋体" w:cs="宋体"/>
                <w:i w:val="0"/>
                <w:iCs w:val="0"/>
                <w:color w:val="000000"/>
                <w:sz w:val="20"/>
                <w:szCs w:val="20"/>
                <w:u w:val="none"/>
              </w:rPr>
            </w:pP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9F5D0">
            <w:pPr>
              <w:jc w:val="center"/>
              <w:rPr>
                <w:rFonts w:hint="eastAsia" w:ascii="宋体" w:hAnsi="宋体" w:eastAsia="宋体" w:cs="宋体"/>
                <w:i w:val="0"/>
                <w:iCs w:val="0"/>
                <w:color w:val="000000"/>
                <w:sz w:val="20"/>
                <w:szCs w:val="20"/>
                <w:u w:val="none"/>
              </w:rPr>
            </w:pPr>
          </w:p>
        </w:tc>
        <w:tc>
          <w:tcPr>
            <w:tcW w:w="12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DE8345">
            <w:pPr>
              <w:jc w:val="center"/>
              <w:rPr>
                <w:rFonts w:hint="eastAsia" w:ascii="宋体" w:hAnsi="宋体" w:eastAsia="宋体" w:cs="宋体"/>
                <w:i w:val="0"/>
                <w:iCs w:val="0"/>
                <w:color w:val="000000"/>
                <w:sz w:val="22"/>
                <w:szCs w:val="22"/>
                <w:u w:val="none"/>
              </w:rPr>
            </w:pPr>
          </w:p>
        </w:tc>
      </w:tr>
      <w:tr w14:paraId="49520200">
        <w:tblPrEx>
          <w:tblLayout w:type="fixed"/>
          <w:tblCellMar>
            <w:top w:w="0" w:type="dxa"/>
            <w:left w:w="108" w:type="dxa"/>
            <w:bottom w:w="0" w:type="dxa"/>
            <w:right w:w="108" w:type="dxa"/>
          </w:tblCellMar>
        </w:tblPrEx>
        <w:trPr>
          <w:trHeight w:val="34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64A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0E1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网线</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E25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HSYV(UTP)CAT-6E</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FA6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B04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1650.00 </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24BE2">
            <w:pPr>
              <w:jc w:val="center"/>
              <w:rPr>
                <w:rFonts w:hint="eastAsia" w:ascii="宋体" w:hAnsi="宋体" w:eastAsia="宋体" w:cs="宋体"/>
                <w:i w:val="0"/>
                <w:iCs w:val="0"/>
                <w:color w:val="000000"/>
                <w:sz w:val="20"/>
                <w:szCs w:val="20"/>
                <w:u w:val="none"/>
              </w:rPr>
            </w:pP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2A252">
            <w:pPr>
              <w:jc w:val="center"/>
              <w:rPr>
                <w:rFonts w:hint="eastAsia" w:ascii="宋体" w:hAnsi="宋体" w:eastAsia="宋体" w:cs="宋体"/>
                <w:i w:val="0"/>
                <w:iCs w:val="0"/>
                <w:color w:val="000000"/>
                <w:sz w:val="20"/>
                <w:szCs w:val="20"/>
                <w:u w:val="none"/>
              </w:rPr>
            </w:pPr>
          </w:p>
        </w:tc>
        <w:tc>
          <w:tcPr>
            <w:tcW w:w="12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C3396C">
            <w:pPr>
              <w:jc w:val="center"/>
              <w:rPr>
                <w:rFonts w:hint="eastAsia" w:ascii="宋体" w:hAnsi="宋体" w:eastAsia="宋体" w:cs="宋体"/>
                <w:i w:val="0"/>
                <w:iCs w:val="0"/>
                <w:color w:val="000000"/>
                <w:sz w:val="22"/>
                <w:szCs w:val="22"/>
                <w:u w:val="none"/>
              </w:rPr>
            </w:pPr>
          </w:p>
        </w:tc>
      </w:tr>
      <w:tr w14:paraId="45B61288">
        <w:tblPrEx>
          <w:tblLayout w:type="fixed"/>
          <w:tblCellMar>
            <w:top w:w="0" w:type="dxa"/>
            <w:left w:w="108" w:type="dxa"/>
            <w:bottom w:w="0" w:type="dxa"/>
            <w:right w:w="108" w:type="dxa"/>
          </w:tblCellMar>
        </w:tblPrEx>
        <w:trPr>
          <w:trHeight w:val="34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CDF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AD1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音响线</w:t>
            </w:r>
          </w:p>
        </w:tc>
        <w:tc>
          <w:tcPr>
            <w:tcW w:w="3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83B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GZ/TZX2837</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1F9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0BD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860.00 </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6121D">
            <w:pPr>
              <w:jc w:val="center"/>
              <w:rPr>
                <w:rFonts w:hint="eastAsia" w:ascii="宋体" w:hAnsi="宋体" w:eastAsia="宋体" w:cs="宋体"/>
                <w:i w:val="0"/>
                <w:iCs w:val="0"/>
                <w:color w:val="000000"/>
                <w:sz w:val="20"/>
                <w:szCs w:val="20"/>
                <w:u w:val="none"/>
              </w:rPr>
            </w:pP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2CBE7">
            <w:pPr>
              <w:jc w:val="center"/>
              <w:rPr>
                <w:rFonts w:hint="eastAsia" w:ascii="宋体" w:hAnsi="宋体" w:eastAsia="宋体" w:cs="宋体"/>
                <w:i w:val="0"/>
                <w:iCs w:val="0"/>
                <w:color w:val="000000"/>
                <w:sz w:val="20"/>
                <w:szCs w:val="20"/>
                <w:u w:val="none"/>
              </w:rPr>
            </w:pPr>
          </w:p>
        </w:tc>
        <w:tc>
          <w:tcPr>
            <w:tcW w:w="12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7C22E4">
            <w:pPr>
              <w:jc w:val="center"/>
              <w:rPr>
                <w:rFonts w:hint="eastAsia" w:ascii="宋体" w:hAnsi="宋体" w:eastAsia="宋体" w:cs="宋体"/>
                <w:i w:val="0"/>
                <w:iCs w:val="0"/>
                <w:color w:val="000000"/>
                <w:sz w:val="22"/>
                <w:szCs w:val="22"/>
                <w:u w:val="none"/>
              </w:rPr>
            </w:pPr>
          </w:p>
        </w:tc>
      </w:tr>
      <w:tr w14:paraId="0F130C53">
        <w:tblPrEx>
          <w:tblLayout w:type="fixed"/>
          <w:tblCellMar>
            <w:top w:w="0" w:type="dxa"/>
            <w:left w:w="108" w:type="dxa"/>
            <w:bottom w:w="0" w:type="dxa"/>
            <w:right w:w="108" w:type="dxa"/>
          </w:tblCellMar>
        </w:tblPrEx>
        <w:trPr>
          <w:trHeight w:val="340" w:hRule="atLeast"/>
        </w:trPr>
        <w:tc>
          <w:tcPr>
            <w:tcW w:w="696" w:type="dxa"/>
            <w:tcBorders>
              <w:top w:val="single" w:color="000000" w:sz="4" w:space="0"/>
              <w:left w:val="single" w:color="000000" w:sz="4" w:space="0"/>
              <w:bottom w:val="nil"/>
              <w:right w:val="single" w:color="000000" w:sz="4" w:space="0"/>
            </w:tcBorders>
            <w:shd w:val="clear" w:color="auto" w:fill="auto"/>
            <w:vAlign w:val="center"/>
          </w:tcPr>
          <w:p w14:paraId="05BEC1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616" w:type="dxa"/>
            <w:tcBorders>
              <w:top w:val="single" w:color="000000" w:sz="4" w:space="0"/>
              <w:left w:val="single" w:color="000000" w:sz="4" w:space="0"/>
              <w:bottom w:val="nil"/>
              <w:right w:val="single" w:color="000000" w:sz="4" w:space="0"/>
            </w:tcBorders>
            <w:shd w:val="clear" w:color="auto" w:fill="auto"/>
            <w:vAlign w:val="center"/>
          </w:tcPr>
          <w:p w14:paraId="13539B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石粉渣</w:t>
            </w:r>
          </w:p>
        </w:tc>
        <w:tc>
          <w:tcPr>
            <w:tcW w:w="3566" w:type="dxa"/>
            <w:tcBorders>
              <w:top w:val="single" w:color="000000" w:sz="4" w:space="0"/>
              <w:left w:val="single" w:color="000000" w:sz="4" w:space="0"/>
              <w:bottom w:val="nil"/>
              <w:right w:val="single" w:color="000000" w:sz="4" w:space="0"/>
            </w:tcBorders>
            <w:shd w:val="clear" w:color="auto" w:fill="auto"/>
            <w:vAlign w:val="center"/>
          </w:tcPr>
          <w:p w14:paraId="2E68F1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6%水泥</w:t>
            </w:r>
          </w:p>
        </w:tc>
        <w:tc>
          <w:tcPr>
            <w:tcW w:w="588" w:type="dxa"/>
            <w:tcBorders>
              <w:top w:val="single" w:color="000000" w:sz="4" w:space="0"/>
              <w:left w:val="single" w:color="000000" w:sz="4" w:space="0"/>
              <w:bottom w:val="nil"/>
              <w:right w:val="single" w:color="000000" w:sz="4" w:space="0"/>
            </w:tcBorders>
            <w:shd w:val="clear" w:color="auto" w:fill="auto"/>
            <w:vAlign w:val="center"/>
          </w:tcPr>
          <w:p w14:paraId="321718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190" w:type="dxa"/>
            <w:tcBorders>
              <w:top w:val="single" w:color="000000" w:sz="4" w:space="0"/>
              <w:left w:val="single" w:color="000000" w:sz="4" w:space="0"/>
              <w:bottom w:val="nil"/>
              <w:right w:val="single" w:color="000000" w:sz="4" w:space="0"/>
            </w:tcBorders>
            <w:shd w:val="clear" w:color="auto" w:fill="auto"/>
            <w:vAlign w:val="center"/>
          </w:tcPr>
          <w:p w14:paraId="3ABC8E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648.00 </w:t>
            </w:r>
          </w:p>
        </w:tc>
        <w:tc>
          <w:tcPr>
            <w:tcW w:w="851" w:type="dxa"/>
            <w:tcBorders>
              <w:top w:val="single" w:color="000000" w:sz="4" w:space="0"/>
              <w:left w:val="single" w:color="000000" w:sz="4" w:space="0"/>
              <w:bottom w:val="nil"/>
              <w:right w:val="single" w:color="000000" w:sz="4" w:space="0"/>
            </w:tcBorders>
            <w:shd w:val="clear" w:color="auto" w:fill="auto"/>
            <w:vAlign w:val="center"/>
          </w:tcPr>
          <w:p w14:paraId="528B262B">
            <w:pPr>
              <w:jc w:val="center"/>
              <w:rPr>
                <w:rFonts w:hint="eastAsia" w:ascii="宋体" w:hAnsi="宋体" w:eastAsia="宋体" w:cs="宋体"/>
                <w:i w:val="0"/>
                <w:iCs w:val="0"/>
                <w:color w:val="000000"/>
                <w:sz w:val="20"/>
                <w:szCs w:val="20"/>
                <w:u w:val="none"/>
              </w:rPr>
            </w:pPr>
          </w:p>
        </w:tc>
        <w:tc>
          <w:tcPr>
            <w:tcW w:w="588" w:type="dxa"/>
            <w:tcBorders>
              <w:top w:val="single" w:color="000000" w:sz="4" w:space="0"/>
              <w:left w:val="single" w:color="000000" w:sz="4" w:space="0"/>
              <w:bottom w:val="nil"/>
              <w:right w:val="single" w:color="000000" w:sz="4" w:space="0"/>
            </w:tcBorders>
            <w:shd w:val="clear" w:color="auto" w:fill="auto"/>
            <w:vAlign w:val="center"/>
          </w:tcPr>
          <w:p w14:paraId="0DAC3B5E">
            <w:pPr>
              <w:jc w:val="center"/>
              <w:rPr>
                <w:rFonts w:hint="eastAsia" w:ascii="宋体" w:hAnsi="宋体" w:eastAsia="宋体" w:cs="宋体"/>
                <w:i w:val="0"/>
                <w:iCs w:val="0"/>
                <w:color w:val="000000"/>
                <w:sz w:val="20"/>
                <w:szCs w:val="20"/>
                <w:u w:val="none"/>
              </w:rPr>
            </w:pPr>
          </w:p>
        </w:tc>
        <w:tc>
          <w:tcPr>
            <w:tcW w:w="12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7CA53A">
            <w:pPr>
              <w:jc w:val="center"/>
              <w:rPr>
                <w:rFonts w:hint="eastAsia" w:ascii="宋体" w:hAnsi="宋体" w:eastAsia="宋体" w:cs="宋体"/>
                <w:i w:val="0"/>
                <w:iCs w:val="0"/>
                <w:color w:val="000000"/>
                <w:sz w:val="22"/>
                <w:szCs w:val="22"/>
                <w:u w:val="none"/>
              </w:rPr>
            </w:pPr>
          </w:p>
        </w:tc>
      </w:tr>
      <w:tr w14:paraId="3B939DDA">
        <w:tblPrEx>
          <w:tblLayout w:type="fixed"/>
          <w:tblCellMar>
            <w:top w:w="0" w:type="dxa"/>
            <w:left w:w="108" w:type="dxa"/>
            <w:bottom w:w="0" w:type="dxa"/>
            <w:right w:w="108" w:type="dxa"/>
          </w:tblCellMar>
        </w:tblPrEx>
        <w:trPr>
          <w:trHeight w:val="400" w:hRule="atLeast"/>
        </w:trPr>
        <w:tc>
          <w:tcPr>
            <w:tcW w:w="696" w:type="dxa"/>
            <w:tcBorders>
              <w:top w:val="single" w:color="000000" w:sz="4" w:space="0"/>
              <w:left w:val="single" w:color="000000" w:sz="4" w:space="0"/>
              <w:bottom w:val="nil"/>
              <w:right w:val="single" w:color="000000" w:sz="4" w:space="0"/>
            </w:tcBorders>
            <w:shd w:val="clear" w:color="auto" w:fill="auto"/>
            <w:vAlign w:val="center"/>
          </w:tcPr>
          <w:p w14:paraId="497E86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616" w:type="dxa"/>
            <w:tcBorders>
              <w:top w:val="single" w:color="000000" w:sz="4" w:space="0"/>
              <w:left w:val="single" w:color="000000" w:sz="4" w:space="0"/>
              <w:bottom w:val="nil"/>
              <w:right w:val="single" w:color="000000" w:sz="4" w:space="0"/>
            </w:tcBorders>
            <w:shd w:val="clear" w:color="auto" w:fill="auto"/>
            <w:vAlign w:val="center"/>
          </w:tcPr>
          <w:p w14:paraId="3C5E177E">
            <w:pPr>
              <w:jc w:val="left"/>
              <w:rPr>
                <w:rFonts w:hint="eastAsia" w:ascii="宋体" w:hAnsi="宋体" w:eastAsia="宋体" w:cs="宋体"/>
                <w:i w:val="0"/>
                <w:iCs w:val="0"/>
                <w:color w:val="000000"/>
                <w:sz w:val="24"/>
                <w:szCs w:val="24"/>
                <w:u w:val="none"/>
              </w:rPr>
            </w:pPr>
          </w:p>
        </w:tc>
        <w:tc>
          <w:tcPr>
            <w:tcW w:w="3566" w:type="dxa"/>
            <w:tcBorders>
              <w:top w:val="single" w:color="000000" w:sz="4" w:space="0"/>
              <w:left w:val="single" w:color="000000" w:sz="4" w:space="0"/>
              <w:bottom w:val="nil"/>
              <w:right w:val="single" w:color="000000" w:sz="4" w:space="0"/>
            </w:tcBorders>
            <w:shd w:val="clear" w:color="auto" w:fill="auto"/>
            <w:vAlign w:val="center"/>
          </w:tcPr>
          <w:p w14:paraId="28E22612">
            <w:pPr>
              <w:jc w:val="left"/>
              <w:rPr>
                <w:rFonts w:hint="eastAsia" w:ascii="宋体" w:hAnsi="宋体" w:eastAsia="宋体" w:cs="宋体"/>
                <w:i w:val="0"/>
                <w:iCs w:val="0"/>
                <w:color w:val="000000"/>
                <w:sz w:val="24"/>
                <w:szCs w:val="24"/>
                <w:u w:val="none"/>
              </w:rPr>
            </w:pPr>
          </w:p>
        </w:tc>
        <w:tc>
          <w:tcPr>
            <w:tcW w:w="588" w:type="dxa"/>
            <w:tcBorders>
              <w:top w:val="single" w:color="000000" w:sz="4" w:space="0"/>
              <w:left w:val="single" w:color="000000" w:sz="4" w:space="0"/>
              <w:bottom w:val="nil"/>
              <w:right w:val="single" w:color="000000" w:sz="4" w:space="0"/>
            </w:tcBorders>
            <w:shd w:val="clear" w:color="auto" w:fill="auto"/>
            <w:vAlign w:val="center"/>
          </w:tcPr>
          <w:p w14:paraId="72B8EFF7">
            <w:pPr>
              <w:jc w:val="left"/>
              <w:rPr>
                <w:rFonts w:hint="eastAsia" w:ascii="宋体" w:hAnsi="宋体" w:eastAsia="宋体" w:cs="宋体"/>
                <w:i w:val="0"/>
                <w:iCs w:val="0"/>
                <w:color w:val="000000"/>
                <w:sz w:val="24"/>
                <w:szCs w:val="24"/>
                <w:u w:val="none"/>
              </w:rPr>
            </w:pPr>
          </w:p>
        </w:tc>
        <w:tc>
          <w:tcPr>
            <w:tcW w:w="1190" w:type="dxa"/>
            <w:tcBorders>
              <w:top w:val="single" w:color="000000" w:sz="4" w:space="0"/>
              <w:left w:val="single" w:color="000000" w:sz="4" w:space="0"/>
              <w:bottom w:val="nil"/>
              <w:right w:val="single" w:color="000000" w:sz="4" w:space="0"/>
            </w:tcBorders>
            <w:shd w:val="clear" w:color="auto" w:fill="auto"/>
            <w:vAlign w:val="center"/>
          </w:tcPr>
          <w:p w14:paraId="232EED28">
            <w:pPr>
              <w:jc w:val="left"/>
              <w:rPr>
                <w:rFonts w:hint="eastAsia" w:ascii="宋体" w:hAnsi="宋体" w:eastAsia="宋体" w:cs="宋体"/>
                <w:i w:val="0"/>
                <w:iCs w:val="0"/>
                <w:color w:val="000000"/>
                <w:sz w:val="24"/>
                <w:szCs w:val="24"/>
                <w:u w:val="none"/>
              </w:rPr>
            </w:pPr>
          </w:p>
        </w:tc>
        <w:tc>
          <w:tcPr>
            <w:tcW w:w="851" w:type="dxa"/>
            <w:tcBorders>
              <w:top w:val="single" w:color="000000" w:sz="4" w:space="0"/>
              <w:left w:val="single" w:color="000000" w:sz="4" w:space="0"/>
              <w:bottom w:val="nil"/>
              <w:right w:val="single" w:color="000000" w:sz="4" w:space="0"/>
            </w:tcBorders>
            <w:shd w:val="clear" w:color="auto" w:fill="auto"/>
            <w:vAlign w:val="center"/>
          </w:tcPr>
          <w:p w14:paraId="5B5221E2">
            <w:pPr>
              <w:jc w:val="left"/>
              <w:rPr>
                <w:rFonts w:hint="eastAsia" w:ascii="宋体" w:hAnsi="宋体" w:eastAsia="宋体" w:cs="宋体"/>
                <w:i w:val="0"/>
                <w:iCs w:val="0"/>
                <w:color w:val="000000"/>
                <w:sz w:val="24"/>
                <w:szCs w:val="24"/>
                <w:u w:val="none"/>
              </w:rPr>
            </w:pPr>
          </w:p>
        </w:tc>
        <w:tc>
          <w:tcPr>
            <w:tcW w:w="588" w:type="dxa"/>
            <w:tcBorders>
              <w:top w:val="single" w:color="000000" w:sz="4" w:space="0"/>
              <w:left w:val="single" w:color="000000" w:sz="4" w:space="0"/>
              <w:bottom w:val="nil"/>
              <w:right w:val="single" w:color="000000" w:sz="4" w:space="0"/>
            </w:tcBorders>
            <w:shd w:val="clear" w:color="auto" w:fill="auto"/>
            <w:vAlign w:val="center"/>
          </w:tcPr>
          <w:p w14:paraId="7CFA1A0D">
            <w:pPr>
              <w:jc w:val="left"/>
              <w:rPr>
                <w:rFonts w:hint="eastAsia" w:ascii="宋体" w:hAnsi="宋体" w:eastAsia="宋体" w:cs="宋体"/>
                <w:i w:val="0"/>
                <w:iCs w:val="0"/>
                <w:color w:val="000000"/>
                <w:sz w:val="24"/>
                <w:szCs w:val="24"/>
                <w:u w:val="none"/>
              </w:rPr>
            </w:pPr>
          </w:p>
        </w:tc>
        <w:tc>
          <w:tcPr>
            <w:tcW w:w="1229" w:type="dxa"/>
            <w:tcBorders>
              <w:top w:val="single" w:color="000000" w:sz="4" w:space="0"/>
              <w:left w:val="single" w:color="000000" w:sz="4" w:space="0"/>
              <w:bottom w:val="nil"/>
              <w:right w:val="single" w:color="000000" w:sz="4" w:space="0"/>
            </w:tcBorders>
            <w:shd w:val="clear" w:color="auto" w:fill="auto"/>
            <w:vAlign w:val="center"/>
          </w:tcPr>
          <w:p w14:paraId="6A5AF9E5">
            <w:pPr>
              <w:jc w:val="left"/>
              <w:rPr>
                <w:rFonts w:hint="eastAsia" w:ascii="宋体" w:hAnsi="宋体" w:eastAsia="宋体" w:cs="宋体"/>
                <w:i w:val="0"/>
                <w:iCs w:val="0"/>
                <w:color w:val="000000"/>
                <w:sz w:val="24"/>
                <w:szCs w:val="24"/>
                <w:u w:val="none"/>
              </w:rPr>
            </w:pPr>
          </w:p>
        </w:tc>
      </w:tr>
      <w:tr w14:paraId="31F3022D">
        <w:tblPrEx>
          <w:tblLayout w:type="fixed"/>
          <w:tblCellMar>
            <w:top w:w="0" w:type="dxa"/>
            <w:left w:w="108" w:type="dxa"/>
            <w:bottom w:w="0" w:type="dxa"/>
            <w:right w:w="108" w:type="dxa"/>
          </w:tblCellMar>
        </w:tblPrEx>
        <w:trPr>
          <w:trHeight w:val="960" w:hRule="atLeast"/>
        </w:trPr>
        <w:tc>
          <w:tcPr>
            <w:tcW w:w="10324"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267B525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注：1、本次报价含13%税，含运费，上下车费用。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2、付款方式：货到现场，验收合格，办理结算并开具发票后30个工作日内付清全款。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3、以上为暂定数量，以实际签收数量为准进行结算。</w:t>
            </w:r>
          </w:p>
        </w:tc>
      </w:tr>
    </w:tbl>
    <w:p w14:paraId="1C409ED4">
      <w:pPr>
        <w:numPr>
          <w:ilvl w:val="0"/>
          <w:numId w:val="0"/>
        </w:numPr>
        <w:spacing w:line="500" w:lineRule="exact"/>
        <w:rPr>
          <w:rFonts w:ascii="仿宋" w:hAnsi="仿宋" w:eastAsia="仿宋" w:cs="仿宋"/>
          <w:b/>
          <w:color w:val="000000" w:themeColor="text1"/>
          <w:kern w:val="0"/>
          <w:sz w:val="28"/>
          <w:szCs w:val="28"/>
        </w:rPr>
      </w:pPr>
    </w:p>
    <w:p w14:paraId="10875A6E">
      <w:pPr>
        <w:spacing w:line="500" w:lineRule="exact"/>
        <w:rPr>
          <w:rFonts w:ascii="仿宋" w:hAnsi="仿宋" w:eastAsia="仿宋" w:cs="仿宋"/>
          <w:color w:val="000000" w:themeColor="text1"/>
          <w:sz w:val="28"/>
          <w:szCs w:val="28"/>
        </w:rPr>
      </w:pPr>
      <w:r>
        <w:rPr>
          <w:rFonts w:hint="eastAsia" w:ascii="仿宋" w:hAnsi="仿宋" w:eastAsia="仿宋" w:cs="仿宋"/>
          <w:b/>
          <w:color w:val="000000" w:themeColor="text1"/>
          <w:sz w:val="28"/>
          <w:szCs w:val="28"/>
        </w:rPr>
        <w:t>二、物资技术质量要求</w:t>
      </w:r>
      <w:r>
        <w:rPr>
          <w:rFonts w:hint="eastAsia" w:ascii="仿宋" w:hAnsi="仿宋" w:eastAsia="仿宋" w:cs="仿宋"/>
          <w:color w:val="000000" w:themeColor="text1"/>
          <w:sz w:val="28"/>
          <w:szCs w:val="28"/>
        </w:rPr>
        <w:t>：</w:t>
      </w:r>
    </w:p>
    <w:p w14:paraId="3E30AE9C">
      <w:pPr>
        <w:snapToGrid w:val="0"/>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乙方提供的物资必须符合现行国家标准的要求，乙方提供的随货附带材质证明书和合格证书以及甲方明确要求的质量证明资料，并且资料应加盖乙方公章。</w:t>
      </w:r>
    </w:p>
    <w:p w14:paraId="743B84E0">
      <w:pPr>
        <w:spacing w:line="50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三、交货时间和地点：</w:t>
      </w:r>
    </w:p>
    <w:p w14:paraId="51DB0D42">
      <w:pPr>
        <w:snapToGrid w:val="0"/>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3.1交货时间：合同签订日起，</w:t>
      </w:r>
      <w:r>
        <w:rPr>
          <w:rFonts w:hint="eastAsia" w:ascii="仿宋" w:hAnsi="仿宋" w:eastAsia="仿宋" w:cs="仿宋"/>
          <w:color w:val="000000" w:themeColor="text1"/>
          <w:sz w:val="28"/>
          <w:szCs w:val="28"/>
          <w:u w:val="single"/>
          <w:lang w:val="en-US" w:eastAsia="zh-CN"/>
        </w:rPr>
        <w:t xml:space="preserve">    </w:t>
      </w:r>
      <w:r>
        <w:rPr>
          <w:rFonts w:hint="eastAsia" w:ascii="仿宋" w:hAnsi="仿宋" w:eastAsia="仿宋" w:cs="仿宋"/>
          <w:color w:val="000000" w:themeColor="text1"/>
          <w:sz w:val="28"/>
          <w:szCs w:val="28"/>
        </w:rPr>
        <w:t>日内开始供货</w:t>
      </w:r>
    </w:p>
    <w:p w14:paraId="7A4DF378">
      <w:pPr>
        <w:snapToGrid w:val="0"/>
        <w:spacing w:line="500" w:lineRule="exact"/>
        <w:ind w:firstLine="560" w:firstLineChars="200"/>
        <w:rPr>
          <w:rFonts w:hint="eastAsia" w:ascii="仿宋" w:hAnsi="仿宋" w:eastAsia="仿宋" w:cs="仿宋"/>
          <w:color w:val="000000" w:themeColor="text1"/>
          <w:sz w:val="28"/>
          <w:szCs w:val="28"/>
          <w:u w:val="single"/>
          <w:lang w:val="en-US" w:eastAsia="zh-CN"/>
        </w:rPr>
      </w:pPr>
      <w:r>
        <w:rPr>
          <w:rFonts w:hint="eastAsia" w:ascii="仿宋" w:hAnsi="仿宋" w:eastAsia="仿宋" w:cs="仿宋"/>
          <w:color w:val="000000" w:themeColor="text1"/>
          <w:sz w:val="28"/>
          <w:szCs w:val="28"/>
        </w:rPr>
        <w:t>3.2指定收货人：</w:t>
      </w:r>
      <w:r>
        <w:rPr>
          <w:rFonts w:hint="eastAsia" w:ascii="仿宋" w:hAnsi="仿宋" w:eastAsia="仿宋" w:cs="仿宋"/>
          <w:color w:val="000000" w:themeColor="text1"/>
          <w:sz w:val="28"/>
          <w:szCs w:val="28"/>
          <w:u w:val="single"/>
          <w:lang w:val="en-US" w:eastAsia="zh-CN"/>
        </w:rPr>
        <w:t xml:space="preserve">                              </w:t>
      </w:r>
    </w:p>
    <w:p w14:paraId="1843D8A0">
      <w:pPr>
        <w:snapToGrid w:val="0"/>
        <w:spacing w:line="500" w:lineRule="exact"/>
        <w:ind w:firstLine="560" w:firstLineChars="200"/>
        <w:rPr>
          <w:rFonts w:hint="eastAsia"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rPr>
        <w:t>3.3交货地点：</w:t>
      </w:r>
      <w:r>
        <w:rPr>
          <w:rFonts w:hint="eastAsia" w:ascii="仿宋" w:hAnsi="仿宋" w:eastAsia="仿宋" w:cs="仿宋"/>
          <w:color w:val="000000" w:themeColor="text1"/>
          <w:sz w:val="28"/>
          <w:szCs w:val="28"/>
          <w:lang w:eastAsia="zh-CN"/>
        </w:rPr>
        <w:t>西昌市高等医学专科学校项目部</w:t>
      </w:r>
    </w:p>
    <w:p w14:paraId="04B3701C">
      <w:pPr>
        <w:snapToGrid w:val="0"/>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3.4乙方出具的出库单、送料单或提货单上的数量必须与实际送货数量相符，否则甲方有权拒收材料。</w:t>
      </w:r>
    </w:p>
    <w:p w14:paraId="64B5B779">
      <w:pPr>
        <w:snapToGrid w:val="0"/>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3.5甲方指定人员对货物的签收，只针对货物数量和表面质量，不是对货物价格的认可，也不排除乙方所供货物的质量责任。乙方供货单上若标注货物单价或总价，即使有甲方指定人员签名，该供货单上的单价或总价，对甲方无约束力。</w:t>
      </w:r>
    </w:p>
    <w:p w14:paraId="7FCD20E3">
      <w:pPr>
        <w:snapToGrid w:val="0"/>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bCs/>
          <w:color w:val="000000" w:themeColor="text1"/>
          <w:sz w:val="28"/>
          <w:szCs w:val="28"/>
        </w:rPr>
        <w:t>3.6</w:t>
      </w:r>
      <w:r>
        <w:rPr>
          <w:rFonts w:hint="eastAsia" w:ascii="仿宋" w:hAnsi="仿宋" w:eastAsia="仿宋" w:cs="仿宋"/>
          <w:color w:val="000000" w:themeColor="text1"/>
          <w:sz w:val="28"/>
          <w:szCs w:val="28"/>
        </w:rPr>
        <w:t>交货时，乙方应随货提供符合产品要求的质量证明资料（包括但不限于产品的合格证、检测报告），需加盖乙方公章。未提供符合要求的质量证明材料的，甲方可拒绝收货。</w:t>
      </w:r>
    </w:p>
    <w:p w14:paraId="08F23105">
      <w:pPr>
        <w:numPr>
          <w:ilvl w:val="0"/>
          <w:numId w:val="2"/>
        </w:numPr>
        <w:spacing w:line="50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运输方式、装卸等费用负担：</w:t>
      </w:r>
    </w:p>
    <w:p w14:paraId="1A7A4E57">
      <w:pPr>
        <w:spacing w:line="500" w:lineRule="exact"/>
        <w:rPr>
          <w:rFonts w:ascii="仿宋" w:hAnsi="仿宋" w:eastAsia="仿宋" w:cs="仿宋"/>
          <w:b/>
          <w:color w:val="000000" w:themeColor="text1"/>
          <w:sz w:val="28"/>
          <w:szCs w:val="28"/>
        </w:rPr>
      </w:pPr>
      <w:r>
        <w:rPr>
          <w:rFonts w:hint="eastAsia" w:ascii="仿宋" w:hAnsi="仿宋" w:eastAsia="仿宋" w:cs="仿宋"/>
          <w:bCs/>
          <w:color w:val="000000" w:themeColor="text1"/>
          <w:sz w:val="28"/>
          <w:szCs w:val="28"/>
        </w:rPr>
        <w:t xml:space="preserve"> 4.1运输、装卸费用采用以下</w:t>
      </w:r>
      <w:r>
        <w:rPr>
          <w:rFonts w:hint="eastAsia" w:ascii="仿宋" w:hAnsi="仿宋" w:eastAsia="仿宋" w:cs="仿宋"/>
          <w:bCs/>
          <w:color w:val="000000" w:themeColor="text1"/>
          <w:sz w:val="28"/>
          <w:szCs w:val="28"/>
          <w:u w:val="single"/>
        </w:rPr>
        <w:t xml:space="preserve">第  </w:t>
      </w:r>
      <w:r>
        <w:rPr>
          <w:rFonts w:hint="eastAsia" w:ascii="仿宋" w:hAnsi="仿宋" w:eastAsia="仿宋" w:cs="仿宋"/>
          <w:color w:val="000000" w:themeColor="text1"/>
          <w:sz w:val="28"/>
          <w:szCs w:val="28"/>
          <w:u w:val="single"/>
        </w:rPr>
        <w:t>4.1.</w:t>
      </w:r>
      <w:r>
        <w:rPr>
          <w:rFonts w:hint="eastAsia" w:ascii="仿宋" w:hAnsi="仿宋" w:eastAsia="仿宋" w:cs="仿宋"/>
          <w:color w:val="000000" w:themeColor="text1"/>
          <w:sz w:val="28"/>
          <w:szCs w:val="28"/>
          <w:u w:val="single"/>
          <w:lang w:eastAsia="zh-CN"/>
        </w:rPr>
        <w:t>1</w:t>
      </w:r>
      <w:bookmarkStart w:id="0" w:name="_GoBack"/>
      <w:bookmarkEnd w:id="0"/>
      <w:r>
        <w:rPr>
          <w:rFonts w:hint="eastAsia" w:ascii="仿宋" w:hAnsi="仿宋" w:eastAsia="仿宋" w:cs="仿宋"/>
          <w:bCs/>
          <w:color w:val="000000" w:themeColor="text1"/>
          <w:sz w:val="28"/>
          <w:szCs w:val="28"/>
          <w:u w:val="single"/>
        </w:rPr>
        <w:t xml:space="preserve"> 种</w:t>
      </w:r>
      <w:r>
        <w:rPr>
          <w:rFonts w:hint="eastAsia" w:ascii="仿宋" w:hAnsi="仿宋" w:eastAsia="仿宋" w:cs="仿宋"/>
          <w:bCs/>
          <w:color w:val="000000" w:themeColor="text1"/>
          <w:sz w:val="28"/>
          <w:szCs w:val="28"/>
        </w:rPr>
        <w:t>方式：</w:t>
      </w:r>
    </w:p>
    <w:p w14:paraId="384B8F33">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4.1.1由乙方组织运输并承担运输费用并承担上车下车费用。乙方所承担费用已包含在合同单价内，不另行计算。</w:t>
      </w:r>
    </w:p>
    <w:p w14:paraId="768C465D">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4.1.2由乙方组织运输并承担运输费用并承担上车费用，货到甲方指定地点后，由甲方派人下车并自行承担下车费用。乙方所承担费用已包含在合同单价内，不另行计算。</w:t>
      </w:r>
    </w:p>
    <w:p w14:paraId="379B1900">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4.1.3 由乙方组织运输并承担上车费用，货到甲方指定收货地点，由甲方承担运输费及下车费用。乙方所承担费用已包含在合同单价内，不另行计算。</w:t>
      </w:r>
    </w:p>
    <w:p w14:paraId="688B70DA">
      <w:pPr>
        <w:spacing w:line="500" w:lineRule="exact"/>
        <w:rPr>
          <w:rFonts w:ascii="仿宋" w:hAnsi="仿宋" w:eastAsia="仿宋" w:cs="仿宋"/>
          <w:color w:val="000000" w:themeColor="text1"/>
          <w:sz w:val="28"/>
          <w:szCs w:val="28"/>
        </w:rPr>
      </w:pPr>
      <w:r>
        <w:rPr>
          <w:rFonts w:hint="eastAsia" w:ascii="仿宋" w:hAnsi="仿宋" w:eastAsia="仿宋" w:cs="仿宋"/>
          <w:b/>
          <w:color w:val="000000" w:themeColor="text1"/>
          <w:sz w:val="28"/>
          <w:szCs w:val="28"/>
        </w:rPr>
        <w:t>五、物资验收标准、方法及表面质量异议期限</w:t>
      </w:r>
      <w:r>
        <w:rPr>
          <w:rFonts w:hint="eastAsia" w:ascii="仿宋" w:hAnsi="仿宋" w:eastAsia="仿宋" w:cs="仿宋"/>
          <w:color w:val="000000" w:themeColor="text1"/>
          <w:sz w:val="28"/>
          <w:szCs w:val="28"/>
        </w:rPr>
        <w:t>：</w:t>
      </w:r>
    </w:p>
    <w:p w14:paraId="616219D1">
      <w:pPr>
        <w:snapToGrid w:val="0"/>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5.1</w:t>
      </w:r>
      <w:r>
        <w:rPr>
          <w:rFonts w:hint="eastAsia" w:ascii="仿宋" w:hAnsi="仿宋" w:eastAsia="仿宋" w:cs="仿宋"/>
          <w:bCs/>
          <w:color w:val="000000" w:themeColor="text1"/>
          <w:sz w:val="28"/>
          <w:szCs w:val="28"/>
        </w:rPr>
        <w:t>甲方指定的收货人仅为对数量和表面质量的初步收货，若在收货人签收后，</w:t>
      </w:r>
      <w:r>
        <w:rPr>
          <w:rFonts w:hint="eastAsia" w:ascii="仿宋" w:hAnsi="仿宋" w:eastAsia="仿宋" w:cs="仿宋"/>
          <w:color w:val="000000" w:themeColor="text1"/>
          <w:sz w:val="28"/>
          <w:szCs w:val="28"/>
        </w:rPr>
        <w:t>甲方对乙方提供的货物有质量疑义的，有权将产品直接送相关检验部门进行检验。如检验合格，有关检验费用由甲方自行承担；如检验不合格，由乙方承担一切费用，并赔偿由此给甲方造成的经济损失。</w:t>
      </w:r>
    </w:p>
    <w:p w14:paraId="12070E2D">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5.2甲方提出表面质量异议的期限为收货后15天之内。</w:t>
      </w:r>
    </w:p>
    <w:p w14:paraId="017CFF1A">
      <w:pPr>
        <w:numPr>
          <w:ilvl w:val="0"/>
          <w:numId w:val="3"/>
        </w:numPr>
        <w:spacing w:line="500" w:lineRule="exact"/>
        <w:jc w:val="lef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货款结算方式</w:t>
      </w:r>
      <w:r>
        <w:rPr>
          <w:rFonts w:hint="eastAsia" w:ascii="仿宋" w:hAnsi="仿宋" w:eastAsia="仿宋" w:cs="仿宋"/>
          <w:b/>
          <w:bCs/>
          <w:color w:val="000000" w:themeColor="text1"/>
          <w:sz w:val="28"/>
          <w:szCs w:val="28"/>
        </w:rPr>
        <w:t>及</w:t>
      </w:r>
      <w:r>
        <w:rPr>
          <w:rFonts w:hint="eastAsia" w:ascii="仿宋" w:hAnsi="仿宋" w:eastAsia="仿宋" w:cs="仿宋"/>
          <w:b/>
          <w:color w:val="000000" w:themeColor="text1"/>
          <w:sz w:val="28"/>
          <w:szCs w:val="28"/>
        </w:rPr>
        <w:t>支付方式</w:t>
      </w:r>
    </w:p>
    <w:p w14:paraId="2F802123">
      <w:pPr>
        <w:snapToGrid w:val="0"/>
        <w:spacing w:line="600" w:lineRule="exact"/>
        <w:ind w:firstLine="562"/>
        <w:rPr>
          <w:rFonts w:ascii="仿宋" w:hAnsi="仿宋" w:eastAsia="仿宋" w:cs="仿宋"/>
          <w:bCs/>
          <w:strike/>
          <w:color w:val="000000" w:themeColor="text1"/>
          <w:sz w:val="28"/>
          <w:szCs w:val="28"/>
        </w:rPr>
      </w:pPr>
      <w:r>
        <w:rPr>
          <w:rFonts w:hint="eastAsia" w:ascii="仿宋" w:hAnsi="仿宋" w:eastAsia="仿宋" w:cs="仿宋"/>
          <w:bCs/>
          <w:color w:val="000000" w:themeColor="text1"/>
          <w:sz w:val="28"/>
          <w:szCs w:val="28"/>
        </w:rPr>
        <w:t>6.1乙方充分理解甲方相关制度，并按照甲方制度和甲方要求进行进度对账和请款。双方办理合同结算时，乙方应向甲方提交经甲方收货人确认的送货单（收货单），甲方物资管理部门进行审核，核实供货的规格型号、时间、数量、单价、总价等信息，确认无误后双方办理结算，结算书应经甲方物资部部门经理及甲方物资部门分管领导签字后，加盖甲方公章生效。未经甲方物资部门分管领导签字，未加盖甲方公章不对甲方发生效力。</w:t>
      </w:r>
    </w:p>
    <w:p w14:paraId="40EFD09B">
      <w:pPr>
        <w:snapToGrid w:val="0"/>
        <w:spacing w:line="500" w:lineRule="exact"/>
        <w:textAlignment w:val="baseline"/>
        <w:rPr>
          <w:rFonts w:ascii="仿宋" w:hAnsi="仿宋" w:eastAsia="仿宋" w:cs="仿宋"/>
          <w:bCs/>
          <w:color w:val="000000" w:themeColor="text1"/>
          <w:sz w:val="28"/>
          <w:szCs w:val="28"/>
        </w:rPr>
      </w:pPr>
      <w:r>
        <w:rPr>
          <w:rFonts w:hint="eastAsia" w:ascii="仿宋" w:hAnsi="仿宋" w:eastAsia="仿宋" w:cs="仿宋"/>
          <w:color w:val="000000" w:themeColor="text1"/>
          <w:sz w:val="28"/>
          <w:szCs w:val="28"/>
        </w:rPr>
        <w:t xml:space="preserve">    6.2结算</w:t>
      </w:r>
      <w:r>
        <w:rPr>
          <w:rFonts w:hint="eastAsia" w:ascii="仿宋" w:hAnsi="仿宋" w:eastAsia="仿宋" w:cs="仿宋"/>
          <w:bCs/>
          <w:color w:val="000000" w:themeColor="text1"/>
          <w:sz w:val="28"/>
          <w:szCs w:val="28"/>
        </w:rPr>
        <w:t>方式：货到现场，验收合格，开具发票后</w:t>
      </w:r>
      <w:r>
        <w:rPr>
          <w:rFonts w:hint="eastAsia" w:ascii="仿宋" w:hAnsi="仿宋" w:eastAsia="仿宋" w:cs="仿宋"/>
          <w:bCs/>
          <w:color w:val="000000" w:themeColor="text1"/>
          <w:sz w:val="28"/>
          <w:szCs w:val="28"/>
          <w:highlight w:val="none"/>
          <w:u w:val="single"/>
          <w:lang w:val="en-US" w:eastAsia="zh-CN"/>
        </w:rPr>
        <w:t xml:space="preserve"> 30 </w:t>
      </w:r>
      <w:r>
        <w:rPr>
          <w:rFonts w:hint="eastAsia" w:ascii="仿宋" w:hAnsi="仿宋" w:eastAsia="仿宋" w:cs="仿宋"/>
          <w:bCs/>
          <w:color w:val="000000" w:themeColor="text1"/>
          <w:sz w:val="28"/>
          <w:szCs w:val="28"/>
        </w:rPr>
        <w:t>个工作日内付清全款。</w:t>
      </w:r>
    </w:p>
    <w:p w14:paraId="529B1EC1">
      <w:pPr>
        <w:snapToGrid w:val="0"/>
        <w:spacing w:line="500" w:lineRule="exact"/>
        <w:ind w:firstLine="560" w:firstLineChars="200"/>
        <w:textAlignment w:val="baseline"/>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6.3双方同意采用转帐方式支付货款。</w:t>
      </w:r>
    </w:p>
    <w:p w14:paraId="619F7B1B">
      <w:pPr>
        <w:snapToGrid w:val="0"/>
        <w:spacing w:line="500" w:lineRule="exact"/>
        <w:ind w:firstLine="562" w:firstLineChars="200"/>
        <w:textAlignment w:val="baseline"/>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6.4若乙方未提前开具足额增值税专用发票，则甲方可拒绝付款，并不承担违约责任。</w:t>
      </w:r>
    </w:p>
    <w:p w14:paraId="43EC0562">
      <w:pPr>
        <w:spacing w:line="500" w:lineRule="exact"/>
        <w:ind w:firstLine="562" w:firstLineChars="200"/>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七、质保</w:t>
      </w:r>
    </w:p>
    <w:p w14:paraId="0FF8511C">
      <w:pPr>
        <w:snapToGrid w:val="0"/>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乙方应对本协议货物在质保期限内发生的质量问题，履行保修责任和义务并对因此而给甲方造成的损失承担赔偿责任。乙方在接到建甲方保修通知后，应在接到保修通知之日起 24小时内派人保修。无论何种原因，乙方拒绝维修或不在约定期限内派人保修的，甲方可以委托他人维修，所需费用（包括甲方的管理费用）由乙方承担，甲方凭第三方签认的维修费用结算单、现场照片、建设单位签认的维修记录等凭证之一计算维修费用后直接从乙方质保金内扣除。乙方放弃对维修费、维修主体等真实性、合法性抗辩，对此不持任何异议，不足以抵扣的，乙方还应向甲方补足差额。</w:t>
      </w:r>
    </w:p>
    <w:p w14:paraId="0023B198">
      <w:pPr>
        <w:spacing w:line="500" w:lineRule="exact"/>
        <w:ind w:firstLine="562" w:firstLineChars="200"/>
        <w:rPr>
          <w:rFonts w:ascii="仿宋" w:hAnsi="仿宋" w:eastAsia="仿宋" w:cs="仿宋"/>
          <w:color w:val="000000" w:themeColor="text1"/>
          <w:sz w:val="28"/>
          <w:szCs w:val="28"/>
        </w:rPr>
      </w:pPr>
      <w:r>
        <w:rPr>
          <w:rFonts w:hint="eastAsia" w:ascii="仿宋" w:hAnsi="仿宋" w:eastAsia="仿宋" w:cs="仿宋"/>
          <w:b/>
          <w:color w:val="000000" w:themeColor="text1"/>
          <w:sz w:val="28"/>
          <w:szCs w:val="28"/>
        </w:rPr>
        <w:t>八、违约责任</w:t>
      </w:r>
      <w:r>
        <w:rPr>
          <w:rFonts w:hint="eastAsia" w:ascii="仿宋" w:hAnsi="仿宋" w:eastAsia="仿宋" w:cs="仿宋"/>
          <w:color w:val="000000" w:themeColor="text1"/>
          <w:sz w:val="28"/>
          <w:szCs w:val="28"/>
        </w:rPr>
        <w:t>：</w:t>
      </w:r>
    </w:p>
    <w:p w14:paraId="13148059">
      <w:pPr>
        <w:snapToGrid w:val="0"/>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8.1乙方逾期交货</w:t>
      </w:r>
      <w:r>
        <w:fldChar w:fldCharType="begin"/>
      </w:r>
      <w:r>
        <w:instrText xml:space="preserve"> HYPERLINK "http://www.51paper.net" \t "_blank" \o "论文资料网" </w:instrText>
      </w:r>
      <w:r>
        <w:fldChar w:fldCharType="separate"/>
      </w:r>
      <w:r>
        <w:rPr>
          <w:rFonts w:hint="eastAsia" w:ascii="仿宋" w:hAnsi="仿宋" w:eastAsia="仿宋" w:cs="仿宋"/>
          <w:color w:val="000000" w:themeColor="text1"/>
          <w:sz w:val="28"/>
          <w:szCs w:val="28"/>
        </w:rPr>
        <w:t>，</w:t>
      </w:r>
      <w:r>
        <w:rPr>
          <w:rFonts w:hint="eastAsia" w:ascii="仿宋" w:hAnsi="仿宋" w:eastAsia="仿宋" w:cs="仿宋"/>
          <w:color w:val="000000" w:themeColor="text1"/>
          <w:sz w:val="28"/>
          <w:szCs w:val="28"/>
        </w:rPr>
        <w:fldChar w:fldCharType="end"/>
      </w:r>
      <w:r>
        <w:rPr>
          <w:rFonts w:hint="eastAsia" w:ascii="仿宋" w:hAnsi="仿宋" w:eastAsia="仿宋" w:cs="仿宋"/>
          <w:color w:val="000000" w:themeColor="text1"/>
          <w:sz w:val="28"/>
          <w:szCs w:val="28"/>
        </w:rPr>
        <w:t>每逾期一天</w:t>
      </w:r>
      <w:r>
        <w:fldChar w:fldCharType="begin"/>
      </w:r>
      <w:r>
        <w:instrText xml:space="preserve"> HYPERLINK "http://www.51paper.net" \t "_blank" \o "论文资料网" </w:instrText>
      </w:r>
      <w:r>
        <w:fldChar w:fldCharType="separate"/>
      </w:r>
      <w:r>
        <w:rPr>
          <w:rFonts w:hint="eastAsia" w:ascii="仿宋" w:hAnsi="仿宋" w:eastAsia="仿宋" w:cs="仿宋"/>
          <w:color w:val="000000" w:themeColor="text1"/>
          <w:sz w:val="28"/>
          <w:szCs w:val="28"/>
        </w:rPr>
        <w:t>，</w:t>
      </w:r>
      <w:r>
        <w:rPr>
          <w:rFonts w:hint="eastAsia" w:ascii="仿宋" w:hAnsi="仿宋" w:eastAsia="仿宋" w:cs="仿宋"/>
          <w:color w:val="000000" w:themeColor="text1"/>
          <w:sz w:val="28"/>
          <w:szCs w:val="28"/>
        </w:rPr>
        <w:fldChar w:fldCharType="end"/>
      </w:r>
      <w:r>
        <w:rPr>
          <w:rFonts w:hint="eastAsia" w:ascii="仿宋" w:hAnsi="仿宋" w:eastAsia="仿宋" w:cs="仿宋"/>
          <w:color w:val="000000" w:themeColor="text1"/>
          <w:sz w:val="28"/>
          <w:szCs w:val="28"/>
        </w:rPr>
        <w:t>向甲方支付合同总额</w:t>
      </w:r>
      <w:r>
        <w:rPr>
          <w:rFonts w:hint="eastAsia" w:ascii="仿宋" w:hAnsi="仿宋" w:eastAsia="仿宋" w:cs="仿宋"/>
          <w:color w:val="000000" w:themeColor="text1"/>
          <w:sz w:val="28"/>
          <w:szCs w:val="28"/>
          <w:u w:val="single"/>
        </w:rPr>
        <w:t xml:space="preserve"> 万分之三 </w:t>
      </w:r>
      <w:r>
        <w:rPr>
          <w:rFonts w:hint="eastAsia" w:ascii="仿宋" w:hAnsi="仿宋" w:eastAsia="仿宋" w:cs="仿宋"/>
          <w:color w:val="000000" w:themeColor="text1"/>
          <w:sz w:val="28"/>
          <w:szCs w:val="28"/>
        </w:rPr>
        <w:t>的违约金</w:t>
      </w:r>
      <w:r>
        <w:fldChar w:fldCharType="begin"/>
      </w:r>
      <w:r>
        <w:instrText xml:space="preserve"> HYPERLINK "http://www.51paper.net" \t "_blank" \o "论文资料网" </w:instrText>
      </w:r>
      <w:r>
        <w:fldChar w:fldCharType="separate"/>
      </w:r>
      <w:r>
        <w:rPr>
          <w:rFonts w:hint="eastAsia" w:ascii="仿宋" w:hAnsi="仿宋" w:eastAsia="仿宋" w:cs="仿宋"/>
          <w:color w:val="000000" w:themeColor="text1"/>
          <w:sz w:val="28"/>
          <w:szCs w:val="28"/>
        </w:rPr>
        <w:t>，</w:t>
      </w:r>
      <w:r>
        <w:rPr>
          <w:rFonts w:hint="eastAsia" w:ascii="仿宋" w:hAnsi="仿宋" w:eastAsia="仿宋" w:cs="仿宋"/>
          <w:color w:val="000000" w:themeColor="text1"/>
          <w:sz w:val="28"/>
          <w:szCs w:val="28"/>
        </w:rPr>
        <w:fldChar w:fldCharType="end"/>
      </w:r>
      <w:r>
        <w:rPr>
          <w:rFonts w:hint="eastAsia" w:ascii="仿宋" w:hAnsi="仿宋" w:eastAsia="仿宋" w:cs="仿宋"/>
          <w:color w:val="000000" w:themeColor="text1"/>
          <w:sz w:val="28"/>
          <w:szCs w:val="28"/>
        </w:rPr>
        <w:t>逾期交货超过</w:t>
      </w:r>
      <w:r>
        <w:rPr>
          <w:rFonts w:hint="eastAsia" w:ascii="仿宋" w:hAnsi="仿宋" w:eastAsia="仿宋" w:cs="仿宋"/>
          <w:color w:val="000000" w:themeColor="text1"/>
          <w:sz w:val="28"/>
          <w:szCs w:val="28"/>
          <w:u w:val="single"/>
        </w:rPr>
        <w:t xml:space="preserve"> 7 </w:t>
      </w:r>
      <w:r>
        <w:rPr>
          <w:rFonts w:hint="eastAsia" w:ascii="仿宋" w:hAnsi="仿宋" w:eastAsia="仿宋" w:cs="仿宋"/>
          <w:color w:val="000000" w:themeColor="text1"/>
          <w:sz w:val="28"/>
          <w:szCs w:val="28"/>
        </w:rPr>
        <w:t>天</w:t>
      </w:r>
      <w:r>
        <w:fldChar w:fldCharType="begin"/>
      </w:r>
      <w:r>
        <w:instrText xml:space="preserve"> HYPERLINK "http://www.51paper.net" \t "_blank" \o "论文资料网" </w:instrText>
      </w:r>
      <w:r>
        <w:fldChar w:fldCharType="separate"/>
      </w:r>
      <w:r>
        <w:rPr>
          <w:rFonts w:hint="eastAsia" w:ascii="仿宋" w:hAnsi="仿宋" w:eastAsia="仿宋" w:cs="仿宋"/>
          <w:color w:val="000000" w:themeColor="text1"/>
          <w:sz w:val="28"/>
          <w:szCs w:val="28"/>
        </w:rPr>
        <w:t>，</w:t>
      </w:r>
      <w:r>
        <w:rPr>
          <w:rFonts w:hint="eastAsia" w:ascii="仿宋" w:hAnsi="仿宋" w:eastAsia="仿宋" w:cs="仿宋"/>
          <w:color w:val="000000" w:themeColor="text1"/>
          <w:sz w:val="28"/>
          <w:szCs w:val="28"/>
        </w:rPr>
        <w:fldChar w:fldCharType="end"/>
      </w:r>
      <w:r>
        <w:rPr>
          <w:rFonts w:hint="eastAsia" w:ascii="仿宋" w:hAnsi="仿宋" w:eastAsia="仿宋" w:cs="仿宋"/>
          <w:color w:val="000000" w:themeColor="text1"/>
          <w:sz w:val="28"/>
          <w:szCs w:val="28"/>
        </w:rPr>
        <w:t>视为不能交货</w:t>
      </w:r>
      <w:r>
        <w:fldChar w:fldCharType="begin"/>
      </w:r>
      <w:r>
        <w:instrText xml:space="preserve"> HYPERLINK "http://www.51paper.net" \t "_blank" \o "论文资料网" </w:instrText>
      </w:r>
      <w:r>
        <w:fldChar w:fldCharType="separate"/>
      </w:r>
      <w:r>
        <w:rPr>
          <w:rFonts w:hint="eastAsia" w:ascii="仿宋" w:hAnsi="仿宋" w:eastAsia="仿宋" w:cs="仿宋"/>
          <w:color w:val="000000" w:themeColor="text1"/>
          <w:sz w:val="28"/>
          <w:szCs w:val="28"/>
        </w:rPr>
        <w:t>，</w:t>
      </w:r>
      <w:r>
        <w:rPr>
          <w:rFonts w:hint="eastAsia" w:ascii="仿宋" w:hAnsi="仿宋" w:eastAsia="仿宋" w:cs="仿宋"/>
          <w:color w:val="000000" w:themeColor="text1"/>
          <w:sz w:val="28"/>
          <w:szCs w:val="28"/>
        </w:rPr>
        <w:fldChar w:fldCharType="end"/>
      </w:r>
      <w:r>
        <w:rPr>
          <w:rFonts w:hint="eastAsia" w:ascii="仿宋" w:hAnsi="仿宋" w:eastAsia="仿宋" w:cs="仿宋"/>
          <w:color w:val="000000" w:themeColor="text1"/>
          <w:sz w:val="28"/>
          <w:szCs w:val="28"/>
        </w:rPr>
        <w:t>甲方有权解除合同并要求乙方支付合同金额的</w:t>
      </w:r>
      <w:r>
        <w:rPr>
          <w:rFonts w:hint="eastAsia" w:ascii="仿宋" w:hAnsi="仿宋" w:eastAsia="仿宋" w:cs="仿宋"/>
          <w:color w:val="000000" w:themeColor="text1"/>
          <w:sz w:val="28"/>
          <w:szCs w:val="28"/>
          <w:u w:val="single"/>
        </w:rPr>
        <w:t xml:space="preserve"> 5 </w:t>
      </w:r>
      <w:r>
        <w:rPr>
          <w:rFonts w:hint="eastAsia" w:ascii="仿宋" w:hAnsi="仿宋" w:eastAsia="仿宋" w:cs="仿宋"/>
          <w:color w:val="000000" w:themeColor="text1"/>
          <w:sz w:val="28"/>
          <w:szCs w:val="28"/>
        </w:rPr>
        <w:t>%违约金</w:t>
      </w:r>
      <w:r>
        <w:fldChar w:fldCharType="begin"/>
      </w:r>
      <w:r>
        <w:instrText xml:space="preserve"> HYPERLINK "http://www.51paper.net" \t "_blank" \o "论文资料网" </w:instrText>
      </w:r>
      <w:r>
        <w:fldChar w:fldCharType="separate"/>
      </w:r>
      <w:r>
        <w:rPr>
          <w:rFonts w:hint="eastAsia" w:ascii="仿宋" w:hAnsi="仿宋" w:eastAsia="仿宋" w:cs="仿宋"/>
          <w:color w:val="000000" w:themeColor="text1"/>
          <w:sz w:val="28"/>
          <w:szCs w:val="28"/>
        </w:rPr>
        <w:t>。</w:t>
      </w:r>
      <w:r>
        <w:rPr>
          <w:rFonts w:hint="eastAsia" w:ascii="仿宋" w:hAnsi="仿宋" w:eastAsia="仿宋" w:cs="仿宋"/>
          <w:color w:val="000000" w:themeColor="text1"/>
          <w:sz w:val="28"/>
          <w:szCs w:val="28"/>
        </w:rPr>
        <w:fldChar w:fldCharType="end"/>
      </w:r>
    </w:p>
    <w:p w14:paraId="4BC1E80A">
      <w:pPr>
        <w:snapToGrid w:val="0"/>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8.2因乙方逾期交货或因产品质量原因给甲方造成的所有损失均由乙方承担。</w:t>
      </w:r>
    </w:p>
    <w:p w14:paraId="6E9F73A5">
      <w:pPr>
        <w:snapToGrid w:val="0"/>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8.3经验收不合格</w:t>
      </w:r>
      <w:r>
        <w:fldChar w:fldCharType="begin"/>
      </w:r>
      <w:r>
        <w:instrText xml:space="preserve"> HYPERLINK "http://www.51paper.net" \t "_blank" \o "论文资料网" </w:instrText>
      </w:r>
      <w:r>
        <w:fldChar w:fldCharType="separate"/>
      </w:r>
      <w:r>
        <w:rPr>
          <w:rFonts w:hint="eastAsia" w:ascii="仿宋" w:hAnsi="仿宋" w:eastAsia="仿宋" w:cs="仿宋"/>
          <w:color w:val="000000" w:themeColor="text1"/>
          <w:sz w:val="28"/>
          <w:szCs w:val="28"/>
        </w:rPr>
        <w:t>，</w:t>
      </w:r>
      <w:r>
        <w:rPr>
          <w:rFonts w:hint="eastAsia" w:ascii="仿宋" w:hAnsi="仿宋" w:eastAsia="仿宋" w:cs="仿宋"/>
          <w:color w:val="000000" w:themeColor="text1"/>
          <w:sz w:val="28"/>
          <w:szCs w:val="28"/>
        </w:rPr>
        <w:fldChar w:fldCharType="end"/>
      </w:r>
      <w:r>
        <w:rPr>
          <w:rFonts w:hint="eastAsia" w:ascii="仿宋" w:hAnsi="仿宋" w:eastAsia="仿宋" w:cs="仿宋"/>
          <w:color w:val="000000" w:themeColor="text1"/>
          <w:sz w:val="28"/>
          <w:szCs w:val="28"/>
        </w:rPr>
        <w:t>甲方有权拒收货物，由此造成的损失由乙方自行承担。</w:t>
      </w:r>
    </w:p>
    <w:p w14:paraId="69CB5CF3">
      <w:pPr>
        <w:spacing w:line="500" w:lineRule="exact"/>
        <w:rPr>
          <w:rFonts w:ascii="仿宋" w:hAnsi="仿宋" w:eastAsia="仿宋" w:cs="仿宋"/>
          <w:color w:val="000000" w:themeColor="text1"/>
          <w:sz w:val="28"/>
          <w:szCs w:val="28"/>
        </w:rPr>
      </w:pPr>
      <w:r>
        <w:rPr>
          <w:rFonts w:hint="eastAsia" w:ascii="仿宋" w:hAnsi="仿宋" w:eastAsia="仿宋" w:cs="仿宋"/>
          <w:b/>
          <w:color w:val="000000" w:themeColor="text1"/>
          <w:sz w:val="28"/>
          <w:szCs w:val="28"/>
        </w:rPr>
        <w:t>九、解决合同纠纷方式</w:t>
      </w:r>
      <w:r>
        <w:rPr>
          <w:rFonts w:hint="eastAsia" w:ascii="仿宋" w:hAnsi="仿宋" w:eastAsia="仿宋" w:cs="仿宋"/>
          <w:color w:val="000000" w:themeColor="text1"/>
          <w:sz w:val="28"/>
          <w:szCs w:val="28"/>
        </w:rPr>
        <w:t>：</w:t>
      </w:r>
    </w:p>
    <w:p w14:paraId="3A58F1E3">
      <w:pPr>
        <w:adjustRightInd w:val="0"/>
        <w:spacing w:line="6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9.1在双方发生合同争议时，应本着平等互利、实事求是的原则协商解决，若在此前提下仍不能解决，选择向西昌市人民法院起诉。</w:t>
      </w:r>
    </w:p>
    <w:p w14:paraId="2E82E6DF">
      <w:pPr>
        <w:adjustRightInd w:val="0"/>
        <w:spacing w:line="6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9.2因本合同发生诉讼（仲裁）纠纷，任何一方均可依法申请保全对方财产。但是，申请财产保全的，应当有确切的证据证明被保全的一方存在使生效法律文书确定的给付义务难以执行的情形，否则，申请保全的一方应当向对方支付违约金。被保全的一方如果能够证明其所有账户的总资金额度大于保全申请金额，则视为不符合保全申请条件，申请保全的一方应当向对方支付违约金。如果有担保公司或者保险公司为被保全的一方提供担保，或者有单位（包括但不限于被保全的一方）或个人以其资产（相应资产需经具有评估资质的单位评估，且全部资产的评估价总金额需在保全申请金额的 120% 及以上）为被保全的一方提供担保，则申请保全的一方无条件接受以前述担保之一置换保全，向司法机关申请解除保全措施。申请保全的一方拒不申请解除保全措施的，应当向对方支付违约金。本条所涉违约金均以保全申请金额为基数，按照月利率2%的标准，自司法机关采取保全措施之日起算，计至保全措施被解除之日止）。</w:t>
      </w:r>
    </w:p>
    <w:p w14:paraId="11F2D6CE">
      <w:pPr>
        <w:adjustRightInd w:val="0"/>
        <w:spacing w:line="600" w:lineRule="exact"/>
        <w:ind w:firstLine="560" w:firstLineChars="200"/>
        <w:rPr>
          <w:rFonts w:ascii="仿宋" w:hAnsi="仿宋" w:eastAsia="仿宋" w:cs="仿宋"/>
          <w:bCs/>
          <w:color w:val="000000" w:themeColor="text1"/>
          <w:sz w:val="28"/>
          <w:szCs w:val="28"/>
        </w:rPr>
      </w:pPr>
      <w:r>
        <w:rPr>
          <w:rFonts w:hint="eastAsia" w:ascii="仿宋" w:hAnsi="仿宋" w:eastAsia="仿宋" w:cs="仿宋"/>
          <w:color w:val="000000" w:themeColor="text1"/>
          <w:sz w:val="28"/>
          <w:szCs w:val="28"/>
        </w:rPr>
        <w:t>9.3因本合同发生诉讼（仲裁）纠纷，一方申请保全对方财产，但生效法律文书确定被保全的一方应承担的给付义务金额少于保全申请金额的（如果申请保全的一方撤诉或者撤回仲裁申请，或者以判决、裁决、调解等任意形式确定被保全的一方无需向申请保全的一方承担责任，则被保全的一方应承担的给付义务额度为零），申请保全的一方应当向被保全的一方支付保全财产占用费（以生效法律文书确定被保全的一方应承担的给付义务金额与保全申请金额之间的差额为基数，按照月利率2%的标准，自司法机关采取保全措施之日起算，计至保全措施解除之日止）。</w:t>
      </w:r>
    </w:p>
    <w:p w14:paraId="085C2E22">
      <w:pPr>
        <w:spacing w:line="500" w:lineRule="exact"/>
        <w:ind w:left="630"/>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十、特别提示</w:t>
      </w:r>
    </w:p>
    <w:p w14:paraId="74C23707">
      <w:pPr>
        <w:snapToGrid w:val="0"/>
        <w:spacing w:line="600" w:lineRule="exact"/>
        <w:ind w:firstLine="562"/>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10.1甲乙双方一致确认：甲方从未也不会授权项目印章（包括但不限于技术资料专用章等）及工作人员有签认合同结算类文件的权力，双方结算必须加盖甲方公章后方可正式生效，仅有项目经理、部门负责人或其他工作人员签字及/或项目章确认的供货结算审批表及其他任何形式的结算类文件，对甲方不具有任何约束力。</w:t>
      </w:r>
    </w:p>
    <w:p w14:paraId="56FCCA9C">
      <w:pPr>
        <w:snapToGrid w:val="0"/>
        <w:spacing w:line="600" w:lineRule="exact"/>
        <w:ind w:firstLine="562"/>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10.2本合同中甲方指定的所有人员超出其权限范围的行为或超出权限签署的文件无效，同时，甲方指定的所有人员均无权将其权限转授他人行使。若相关人员或人员权限嗣后发生变更，仅以加盖甲方公章（已在公安机关备案，本合同中均指此意）的书面变更文书为有效变更文书。</w:t>
      </w:r>
    </w:p>
    <w:p w14:paraId="39D6E280">
      <w:pPr>
        <w:snapToGrid w:val="0"/>
        <w:spacing w:line="600" w:lineRule="exact"/>
        <w:ind w:firstLine="562"/>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10.3除本合同有约定或者甲方加盖公章嗣后追认或者甲方加盖公章书面授权的外，甲方的内部单位（如甲方工程项目部、分公司、职能部门等）、甲方员工均无权以任何方式排除、限制、减免、让渡甲方权利，为甲方设定、确认债务。其前述行为形成的任何文书（如对账、结算、各类协议、承诺、借款、贷款、保证、说明、担保等）对甲方不产生任何效力。 乙方充分知悉并承诺不会基于加盖甲方公章授权文件以外的其他文件或事由相信其他单位或个人对甲方具有代理权。</w:t>
      </w:r>
    </w:p>
    <w:p w14:paraId="1457DA8C">
      <w:pPr>
        <w:spacing w:line="500" w:lineRule="exact"/>
        <w:ind w:left="630"/>
        <w:rPr>
          <w:rFonts w:ascii="仿宋" w:hAnsi="仿宋" w:eastAsia="仿宋" w:cs="仿宋"/>
          <w:color w:val="000000" w:themeColor="text1"/>
          <w:sz w:val="28"/>
          <w:szCs w:val="28"/>
        </w:rPr>
      </w:pPr>
      <w:r>
        <w:rPr>
          <w:rFonts w:hint="eastAsia" w:ascii="仿宋" w:hAnsi="仿宋" w:eastAsia="仿宋" w:cs="仿宋"/>
          <w:b/>
          <w:color w:val="000000" w:themeColor="text1"/>
          <w:sz w:val="28"/>
          <w:szCs w:val="28"/>
        </w:rPr>
        <w:t>十一、其他约定</w:t>
      </w:r>
    </w:p>
    <w:p w14:paraId="0D52FFA8">
      <w:pPr>
        <w:adjustRightInd w:val="0"/>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11.1除双方指定人员签字以外，本合同其他内容仅以电脑打印文本为有效文本，手写的内容一律无效（无论是否加盖了印章、是否捺指印）。本合同文本系双方核定后打印成稿，无任何删、改内容。如果出现删、改内容，该删、改无效，仍以删、改前的文本为准。</w:t>
      </w:r>
    </w:p>
    <w:p w14:paraId="6EB2D9FC">
      <w:pPr>
        <w:adjustRightInd w:val="0"/>
        <w:spacing w:line="500" w:lineRule="exact"/>
        <w:ind w:firstLine="560" w:firstLineChars="200"/>
        <w:rPr>
          <w:rFonts w:ascii="仿宋" w:hAnsi="仿宋" w:eastAsia="仿宋" w:cs="仿宋"/>
          <w:b/>
          <w:bCs/>
          <w:color w:val="000000" w:themeColor="text1"/>
          <w:sz w:val="28"/>
          <w:szCs w:val="28"/>
        </w:rPr>
      </w:pPr>
      <w:r>
        <w:rPr>
          <w:rFonts w:hint="eastAsia" w:ascii="仿宋" w:hAnsi="仿宋" w:eastAsia="仿宋" w:cs="仿宋"/>
          <w:color w:val="000000" w:themeColor="text1"/>
          <w:sz w:val="28"/>
          <w:szCs w:val="28"/>
        </w:rPr>
        <w:t>11.2甲乙双方及其签约相关人员、担保方（如果有）已特别注意本合同中关于设定、变更、排除、限制、加重、减免权利、义务、责任的条款，并已逐条进行明确而充分的说明、协商，直至各方均充分理解并一致接受。本合同各项条款均是经充分协商、谈判后达成，是各方基于对自身权利义务责任的完全理解以及对市场环境的充分调查、评估后达成的合意，不存在显失公平、重大误解等情形，是各方自由、自愿、真实的意思表示。</w:t>
      </w:r>
    </w:p>
    <w:p w14:paraId="005B2135">
      <w:pPr>
        <w:numPr>
          <w:ilvl w:val="0"/>
          <w:numId w:val="4"/>
        </w:num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本合同自签字并盖章之日起生效，一式陆份，甲方肆份，乙方贰份，传真件具有同等法律效力。</w:t>
      </w:r>
    </w:p>
    <w:p w14:paraId="279ABDFB">
      <w:pPr>
        <w:spacing w:line="500" w:lineRule="exact"/>
        <w:rPr>
          <w:rFonts w:hint="eastAsia" w:ascii="仿宋" w:hAnsi="仿宋" w:eastAsia="仿宋" w:cs="仿宋"/>
          <w:color w:val="000000" w:themeColor="text1"/>
          <w:sz w:val="28"/>
          <w:szCs w:val="28"/>
          <w:u w:val="single"/>
          <w:lang w:val="en-US" w:eastAsia="zh-CN"/>
        </w:rPr>
      </w:pPr>
      <w:r>
        <w:rPr>
          <w:rFonts w:hint="eastAsia" w:ascii="仿宋" w:hAnsi="仿宋" w:eastAsia="仿宋" w:cs="仿宋"/>
          <w:sz w:val="24"/>
        </w:rPr>
        <w:t>甲方：</w:t>
      </w:r>
      <w:r>
        <w:rPr>
          <w:rFonts w:hint="eastAsia" w:ascii="仿宋" w:hAnsi="仿宋" w:eastAsia="仿宋" w:cs="仿宋"/>
          <w:sz w:val="24"/>
          <w:u w:val="single"/>
        </w:rPr>
        <w:t xml:space="preserve">凉山州现代房屋建筑集成制造有限公司 </w:t>
      </w:r>
      <w:r>
        <w:rPr>
          <w:rFonts w:hint="eastAsia" w:ascii="仿宋" w:hAnsi="仿宋" w:eastAsia="仿宋" w:cs="仿宋"/>
          <w:sz w:val="24"/>
        </w:rPr>
        <w:t xml:space="preserve">     乙方：</w:t>
      </w:r>
      <w:r>
        <w:rPr>
          <w:rFonts w:hint="eastAsia" w:ascii="仿宋" w:hAnsi="仿宋" w:eastAsia="仿宋" w:cs="仿宋"/>
          <w:color w:val="000000" w:themeColor="text1"/>
          <w:sz w:val="28"/>
          <w:szCs w:val="28"/>
          <w:u w:val="single"/>
          <w:lang w:val="en-US" w:eastAsia="zh-CN"/>
        </w:rPr>
        <w:t xml:space="preserve">                        </w:t>
      </w:r>
    </w:p>
    <w:p w14:paraId="0AE8A453">
      <w:pPr>
        <w:spacing w:line="500" w:lineRule="exact"/>
        <w:rPr>
          <w:rFonts w:ascii="仿宋" w:hAnsi="仿宋" w:eastAsia="仿宋" w:cs="仿宋"/>
          <w:sz w:val="28"/>
          <w:szCs w:val="28"/>
        </w:rPr>
      </w:pPr>
      <w:r>
        <w:rPr>
          <w:rFonts w:hint="eastAsia" w:ascii="仿宋" w:hAnsi="仿宋" w:eastAsia="仿宋" w:cs="仿宋"/>
          <w:sz w:val="28"/>
          <w:szCs w:val="28"/>
        </w:rPr>
        <w:t>法定代表人：                                法定代表人：</w:t>
      </w:r>
    </w:p>
    <w:p w14:paraId="7EC7C6AA">
      <w:pPr>
        <w:spacing w:line="500" w:lineRule="exact"/>
        <w:rPr>
          <w:rFonts w:ascii="仿宋" w:hAnsi="仿宋" w:eastAsia="仿宋" w:cs="仿宋"/>
          <w:sz w:val="28"/>
          <w:szCs w:val="28"/>
        </w:rPr>
      </w:pPr>
      <w:r>
        <w:rPr>
          <w:rFonts w:hint="eastAsia" w:ascii="仿宋" w:hAnsi="仿宋" w:eastAsia="仿宋" w:cs="仿宋"/>
          <w:sz w:val="28"/>
          <w:szCs w:val="28"/>
        </w:rPr>
        <w:t xml:space="preserve">委托代理人：                                委托代理人：                  </w:t>
      </w:r>
    </w:p>
    <w:p w14:paraId="64EEBE39">
      <w:pPr>
        <w:spacing w:line="500" w:lineRule="exact"/>
        <w:rPr>
          <w:rFonts w:hint="eastAsia" w:ascii="仿宋" w:hAnsi="仿宋" w:eastAsia="仿宋" w:cs="仿宋"/>
          <w:b/>
          <w:bCs/>
          <w:color w:val="000000" w:themeColor="text1"/>
          <w:kern w:val="0"/>
          <w:sz w:val="28"/>
          <w:szCs w:val="28"/>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年</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月   日</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年</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月</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日</w:t>
      </w:r>
    </w:p>
    <w:p w14:paraId="7A4E01C0">
      <w:pPr>
        <w:spacing w:line="500" w:lineRule="exact"/>
        <w:jc w:val="center"/>
        <w:rPr>
          <w:rFonts w:ascii="仿宋" w:hAnsi="仿宋" w:eastAsia="仿宋" w:cs="仿宋"/>
          <w:color w:val="000000" w:themeColor="text1"/>
          <w:kern w:val="0"/>
          <w:sz w:val="28"/>
          <w:szCs w:val="28"/>
        </w:rPr>
      </w:pPr>
      <w:r>
        <w:rPr>
          <w:rFonts w:hint="eastAsia" w:ascii="仿宋" w:hAnsi="仿宋" w:eastAsia="仿宋" w:cs="仿宋"/>
          <w:b/>
          <w:bCs/>
          <w:color w:val="000000" w:themeColor="text1"/>
          <w:kern w:val="0"/>
          <w:sz w:val="28"/>
          <w:szCs w:val="28"/>
        </w:rPr>
        <w:t>相关方环境和职业健康安全协议书</w:t>
      </w:r>
    </w:p>
    <w:p w14:paraId="577A961D">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甲方：</w:t>
      </w:r>
      <w:r>
        <w:rPr>
          <w:rFonts w:hint="eastAsia" w:ascii="仿宋" w:hAnsi="仿宋" w:eastAsia="仿宋" w:cs="仿宋"/>
          <w:color w:val="000000" w:themeColor="text1"/>
          <w:kern w:val="0"/>
          <w:sz w:val="28"/>
          <w:szCs w:val="28"/>
          <w:u w:val="single"/>
        </w:rPr>
        <w:t>凉山州现代房屋建筑集成制造有限公司</w:t>
      </w:r>
      <w:r>
        <w:rPr>
          <w:rFonts w:hint="eastAsia" w:ascii="仿宋" w:hAnsi="仿宋" w:eastAsia="仿宋" w:cs="仿宋"/>
          <w:color w:val="000000" w:themeColor="text1"/>
          <w:kern w:val="0"/>
          <w:sz w:val="28"/>
          <w:szCs w:val="28"/>
        </w:rPr>
        <w:t xml:space="preserve">  （以下简称甲方）</w:t>
      </w:r>
    </w:p>
    <w:p w14:paraId="297E6488">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乙方：</w:t>
      </w:r>
      <w:r>
        <w:rPr>
          <w:rFonts w:hint="eastAsia" w:ascii="仿宋" w:hAnsi="仿宋" w:eastAsia="仿宋" w:cs="仿宋"/>
          <w:color w:val="000000" w:themeColor="text1"/>
          <w:sz w:val="28"/>
          <w:szCs w:val="28"/>
          <w:u w:val="single"/>
          <w:lang w:val="en-US" w:eastAsia="zh-CN"/>
        </w:rPr>
        <w:t xml:space="preserve">                                    </w:t>
      </w:r>
      <w:r>
        <w:rPr>
          <w:rFonts w:hint="eastAsia" w:ascii="仿宋" w:hAnsi="仿宋" w:eastAsia="仿宋" w:cs="仿宋"/>
          <w:color w:val="000000" w:themeColor="text1"/>
          <w:kern w:val="0"/>
          <w:sz w:val="28"/>
          <w:szCs w:val="28"/>
        </w:rPr>
        <w:t>（以下简称乙方）</w:t>
      </w:r>
    </w:p>
    <w:p w14:paraId="07617B07">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为了更好地落实甲方建立环境管理体系（ISO14001：2015）及职业健康安全管理体系（OHSAS18001：2011）的要求，确保乙方为甲方提供产品和服务过程中减少对环境的污染、资源的浪费，确保作业人员的职业健康安全，明确甲乙双方的权利、义务和责任，以符合甲方环境和职业健康安全方针。现</w:t>
      </w:r>
      <w:r>
        <w:rPr>
          <w:rFonts w:hint="eastAsia" w:ascii="仿宋" w:hAnsi="仿宋" w:eastAsia="仿宋" w:cs="仿宋"/>
          <w:color w:val="000000" w:themeColor="text1"/>
          <w:sz w:val="28"/>
          <w:szCs w:val="28"/>
        </w:rPr>
        <w:t>甲乙双方依照《中华人民共和国民法典》及有关法律、法规的规定，在平等、自愿、协商一致的基础上</w:t>
      </w:r>
      <w:r>
        <w:rPr>
          <w:rFonts w:hint="eastAsia" w:ascii="仿宋" w:hAnsi="仿宋" w:eastAsia="仿宋" w:cs="仿宋"/>
          <w:color w:val="000000" w:themeColor="text1"/>
          <w:kern w:val="0"/>
          <w:sz w:val="28"/>
          <w:szCs w:val="28"/>
        </w:rPr>
        <w:t xml:space="preserve">，特签订此协议书，以期实现甲方现场良好的环境绩效及甲乙双方作业的职业健康安全。 </w:t>
      </w:r>
    </w:p>
    <w:p w14:paraId="66835253">
      <w:pPr>
        <w:spacing w:line="500" w:lineRule="exact"/>
        <w:ind w:firstLine="200"/>
        <w:rPr>
          <w:rFonts w:ascii="仿宋" w:hAnsi="仿宋" w:eastAsia="仿宋" w:cs="仿宋"/>
          <w:b/>
          <w:color w:val="000000" w:themeColor="text1"/>
          <w:kern w:val="0"/>
          <w:sz w:val="28"/>
          <w:szCs w:val="28"/>
        </w:rPr>
      </w:pPr>
      <w:r>
        <w:rPr>
          <w:rFonts w:hint="eastAsia" w:ascii="仿宋" w:hAnsi="仿宋" w:eastAsia="仿宋" w:cs="仿宋"/>
          <w:b/>
          <w:color w:val="000000" w:themeColor="text1"/>
          <w:kern w:val="0"/>
          <w:sz w:val="28"/>
          <w:szCs w:val="28"/>
        </w:rPr>
        <w:t xml:space="preserve">  一、适用范围</w:t>
      </w:r>
    </w:p>
    <w:p w14:paraId="135A963C">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本协议适用于所有物资与服务的供应方、工程承包方、废弃物收购商、回收处理商、物流运输公司、服务商及个体供应商人员和车辆。</w:t>
      </w:r>
    </w:p>
    <w:p w14:paraId="49A09F0D">
      <w:pPr>
        <w:spacing w:line="500" w:lineRule="exact"/>
        <w:ind w:firstLine="545" w:firstLineChars="194"/>
        <w:rPr>
          <w:rFonts w:ascii="仿宋" w:hAnsi="仿宋" w:eastAsia="仿宋" w:cs="仿宋"/>
          <w:b/>
          <w:color w:val="000000" w:themeColor="text1"/>
          <w:kern w:val="0"/>
          <w:sz w:val="28"/>
          <w:szCs w:val="28"/>
        </w:rPr>
      </w:pPr>
      <w:r>
        <w:rPr>
          <w:rFonts w:hint="eastAsia" w:ascii="仿宋" w:hAnsi="仿宋" w:eastAsia="仿宋" w:cs="仿宋"/>
          <w:b/>
          <w:color w:val="000000" w:themeColor="text1"/>
          <w:kern w:val="0"/>
          <w:sz w:val="28"/>
          <w:szCs w:val="28"/>
        </w:rPr>
        <w:t>二、甲方的权利</w:t>
      </w:r>
    </w:p>
    <w:p w14:paraId="393CF829">
      <w:pPr>
        <w:spacing w:line="500" w:lineRule="exact"/>
        <w:ind w:firstLine="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 xml:space="preserve">  1．甲方有权进入乙方生产作业场所检查环境卫生工作，调阅有关资料，向有关单位和人员了解情况，并可要求乙方负责人员对相关事宜作出解释。</w:t>
      </w:r>
    </w:p>
    <w:p w14:paraId="40A75B53">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2．甲方有权检查乙方的资质和乙方特种从业人员是否持有从事该特种工作的上岗证。</w:t>
      </w:r>
    </w:p>
    <w:p w14:paraId="5C403B83">
      <w:pPr>
        <w:spacing w:line="500" w:lineRule="exact"/>
        <w:ind w:firstLine="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 xml:space="preserve">  3．甲方有权对检查中发现的污染环境、违章作业、危险作业等违法生产行为，当场予以纠正或者要求乙方限期改正。</w:t>
      </w:r>
    </w:p>
    <w:p w14:paraId="000F0630">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4.采用先进的施工设施、施工方法等，不得采用国家或地方已禁止使用的生产工艺，生产施工设备。在生产过程中，采取必要的措施降低噪声污染，对现场的废弃物妥善处置。</w:t>
      </w:r>
    </w:p>
    <w:p w14:paraId="4D0AE226">
      <w:pPr>
        <w:spacing w:line="500" w:lineRule="exact"/>
        <w:ind w:firstLine="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 xml:space="preserve">  5．甲方有权对检查中发现的事故隐患，责令乙方立即排除或者对乙方下达限期整改意见。</w:t>
      </w:r>
    </w:p>
    <w:p w14:paraId="38A79A51">
      <w:pPr>
        <w:spacing w:line="500" w:lineRule="exact"/>
        <w:ind w:firstLine="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 xml:space="preserve">  6．甲方有权对乙方在甲方管理范围内的访问和交流等可能影响甲方生产环境和安全的活动行为进行监督、管理和考核。</w:t>
      </w:r>
    </w:p>
    <w:p w14:paraId="41BE2463">
      <w:pPr>
        <w:spacing w:line="500" w:lineRule="exact"/>
        <w:ind w:firstLine="545" w:firstLineChars="194"/>
        <w:rPr>
          <w:rFonts w:ascii="仿宋" w:hAnsi="仿宋" w:eastAsia="仿宋" w:cs="仿宋"/>
          <w:b/>
          <w:color w:val="000000" w:themeColor="text1"/>
          <w:kern w:val="0"/>
          <w:sz w:val="28"/>
          <w:szCs w:val="28"/>
        </w:rPr>
      </w:pPr>
      <w:r>
        <w:rPr>
          <w:rFonts w:hint="eastAsia" w:ascii="仿宋" w:hAnsi="仿宋" w:eastAsia="仿宋" w:cs="仿宋"/>
          <w:b/>
          <w:color w:val="000000" w:themeColor="text1"/>
          <w:kern w:val="0"/>
          <w:sz w:val="28"/>
          <w:szCs w:val="28"/>
        </w:rPr>
        <w:t>三、乙方的权利</w:t>
      </w:r>
    </w:p>
    <w:p w14:paraId="59FD31F2">
      <w:pPr>
        <w:spacing w:line="500" w:lineRule="exact"/>
        <w:ind w:firstLine="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1．乙方有权依法自主开展环境和安全生产管理工作。</w:t>
      </w:r>
    </w:p>
    <w:p w14:paraId="7B3A9D13">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2．乙方有权要求甲方统一协调涉及到双方的重大环境和安全生产问题。</w:t>
      </w:r>
    </w:p>
    <w:p w14:paraId="14A83CCB">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3．乙方有权要求被告知甲方的重大环境因素和高风险危险源。</w:t>
      </w:r>
    </w:p>
    <w:p w14:paraId="43171589">
      <w:pPr>
        <w:spacing w:line="500" w:lineRule="exact"/>
        <w:ind w:firstLine="545" w:firstLineChars="194"/>
        <w:rPr>
          <w:rFonts w:ascii="仿宋" w:hAnsi="仿宋" w:eastAsia="仿宋" w:cs="仿宋"/>
          <w:b/>
          <w:color w:val="000000" w:themeColor="text1"/>
          <w:kern w:val="0"/>
          <w:sz w:val="28"/>
          <w:szCs w:val="28"/>
        </w:rPr>
      </w:pPr>
      <w:r>
        <w:rPr>
          <w:rFonts w:hint="eastAsia" w:ascii="仿宋" w:hAnsi="仿宋" w:eastAsia="仿宋" w:cs="仿宋"/>
          <w:b/>
          <w:color w:val="000000" w:themeColor="text1"/>
          <w:kern w:val="0"/>
          <w:sz w:val="28"/>
          <w:szCs w:val="28"/>
        </w:rPr>
        <w:t>四、甲方应承担的责任和义务</w:t>
      </w:r>
    </w:p>
    <w:p w14:paraId="0D78D7F5">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1．为乙方介绍项目的现场和周围环境，以及甲方的管理制度和要求。</w:t>
      </w:r>
    </w:p>
    <w:p w14:paraId="720668B7">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2．按照《中华人民共和国环境保护法》和《中华人民共和国安全生产法》的规定，对乙方的环境和安全生产工作统一协调、管理。</w:t>
      </w:r>
    </w:p>
    <w:p w14:paraId="19A4162E">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3．负责对乙方人员进行环境保护及职业健康安全方面的入厂教育。</w:t>
      </w:r>
    </w:p>
    <w:p w14:paraId="545E0ECC">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4．有责任将重大环境因素和高风险危险源告知乙方。</w:t>
      </w:r>
    </w:p>
    <w:p w14:paraId="090A0B76">
      <w:pPr>
        <w:spacing w:line="500" w:lineRule="exact"/>
        <w:ind w:firstLine="545" w:firstLineChars="194"/>
        <w:rPr>
          <w:rFonts w:ascii="仿宋" w:hAnsi="仿宋" w:eastAsia="仿宋" w:cs="仿宋"/>
          <w:b/>
          <w:color w:val="000000" w:themeColor="text1"/>
          <w:kern w:val="0"/>
          <w:sz w:val="28"/>
          <w:szCs w:val="28"/>
        </w:rPr>
      </w:pPr>
      <w:r>
        <w:rPr>
          <w:rFonts w:hint="eastAsia" w:ascii="仿宋" w:hAnsi="仿宋" w:eastAsia="仿宋" w:cs="仿宋"/>
          <w:b/>
          <w:color w:val="000000" w:themeColor="text1"/>
          <w:kern w:val="0"/>
          <w:sz w:val="28"/>
          <w:szCs w:val="28"/>
        </w:rPr>
        <w:t>五、乙方应承担的责任和义务</w:t>
      </w:r>
    </w:p>
    <w:p w14:paraId="4E747A7E">
      <w:pPr>
        <w:spacing w:line="500" w:lineRule="exact"/>
        <w:ind w:firstLine="406" w:firstLineChars="145"/>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（一）环境管理方面的义务</w:t>
      </w:r>
    </w:p>
    <w:p w14:paraId="15F5AE9E">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1．相关方（施工单位）负责落实施工阶段的环保要求及施工过程中环保措施，建立健全环境控制制度，主要包括：</w:t>
      </w:r>
    </w:p>
    <w:p w14:paraId="23718131">
      <w:pPr>
        <w:spacing w:line="500" w:lineRule="exact"/>
        <w:ind w:firstLine="420" w:firstLineChars="15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（1）使用机械设备可能产生噪声污染时，向周围生活环境排放施工噪声应符合国家规定的建筑施工厂界环境噪声排放标准。</w:t>
      </w:r>
    </w:p>
    <w:p w14:paraId="5162A4D0">
      <w:pPr>
        <w:spacing w:line="500" w:lineRule="exact"/>
        <w:ind w:firstLine="420" w:firstLineChars="15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（2）施工方案优先考虑采用无污染或少污染、无危害或少危害的生产工艺、生产与施工设备、先进的施工方法等，不得采用国家或地方已禁止使用的生产工艺与施工设备。</w:t>
      </w:r>
    </w:p>
    <w:p w14:paraId="08C97A52">
      <w:pPr>
        <w:spacing w:line="500" w:lineRule="exact"/>
        <w:ind w:firstLine="420" w:firstLineChars="15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（3）保护施工现场周围的环境，防止对自然环境造成不应有的破坏。</w:t>
      </w:r>
    </w:p>
    <w:p w14:paraId="6DCDE344">
      <w:pPr>
        <w:spacing w:line="500" w:lineRule="exact"/>
        <w:ind w:firstLine="420" w:firstLineChars="15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（4）防止粉尘、噪声、振动等对周围生活居住区的污染和危害。</w:t>
      </w:r>
    </w:p>
    <w:p w14:paraId="7EE2C313">
      <w:pPr>
        <w:spacing w:line="500" w:lineRule="exact"/>
        <w:ind w:firstLine="420" w:firstLineChars="15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（5）合理处理建筑施工中产生的固体废弃物。工程竣工后，施工单位应当修整恢复在建设过程中受到破坏的环境。</w:t>
      </w:r>
    </w:p>
    <w:p w14:paraId="685145D8">
      <w:pPr>
        <w:spacing w:line="500" w:lineRule="exact"/>
        <w:ind w:firstLine="420" w:firstLineChars="15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（6）产生的生活垃圾集中放置所属工厂指定场所，以减轻对环境的影响，并根据规定将废物合理处理。按照工作岗位的工作区域确定环境管理责任人，明确管理责任。</w:t>
      </w:r>
    </w:p>
    <w:p w14:paraId="1D849055">
      <w:pPr>
        <w:spacing w:line="500" w:lineRule="exact"/>
        <w:ind w:firstLine="140" w:firstLineChars="5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 xml:space="preserve">   2．回收废旧物资的部门，应按规定提供相应的资质，回收物品处理时，避免二次污染。</w:t>
      </w:r>
    </w:p>
    <w:p w14:paraId="4DE5ABE2">
      <w:pPr>
        <w:spacing w:line="500" w:lineRule="exact"/>
        <w:ind w:firstLine="140" w:firstLineChars="5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 xml:space="preserve">   3．储运过程中，应遵守交通运输法规，保证运输车辆状况良好，车辆排放的废气、噪声及车辆冲洗废水要符合国家规定的排放标准，不得扰乱厂区附近居民的生活。</w:t>
      </w:r>
    </w:p>
    <w:p w14:paraId="78888E72">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4．所提供的产品及产品的原材料、生产过程、服务应满足（或设法满足）国家、地方、行业的有关环境保护方面的法律、法规要求，在保证质量的前提下，确保安全与环境性能，并减少包装材料的使用。</w:t>
      </w:r>
    </w:p>
    <w:p w14:paraId="20D6988A">
      <w:pPr>
        <w:spacing w:line="500" w:lineRule="exact"/>
        <w:ind w:firstLine="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（二）安全管理方面的义务</w:t>
      </w:r>
    </w:p>
    <w:p w14:paraId="34984D44">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1．相关方（施工单位）负责落实施工阶段的安全要求及施工过程中的安全措施，主要包括：</w:t>
      </w:r>
    </w:p>
    <w:p w14:paraId="6B558457">
      <w:pPr>
        <w:spacing w:line="500" w:lineRule="exact"/>
        <w:ind w:firstLine="280" w:firstLineChars="1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（1）项目施工方</w:t>
      </w:r>
      <w:r>
        <w:rPr>
          <w:rFonts w:hint="eastAsia" w:ascii="仿宋" w:hAnsi="仿宋" w:eastAsia="仿宋" w:cs="仿宋"/>
          <w:color w:val="000000" w:themeColor="text1"/>
          <w:sz w:val="28"/>
          <w:szCs w:val="28"/>
        </w:rPr>
        <w:t>必须具备本项目的安全生产能力及相关资质。</w:t>
      </w:r>
    </w:p>
    <w:p w14:paraId="3503EED2">
      <w:pPr>
        <w:spacing w:line="500" w:lineRule="exact"/>
        <w:ind w:firstLine="280" w:firstLineChars="1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（2）项目施工时制定严格的安全技术保障措施，教育自己的员工按照相应的安全操作规程操作，并遵守安全生产规章制度（包括甲方告知的制度及乙方自己的制度）。</w:t>
      </w:r>
    </w:p>
    <w:p w14:paraId="2F00F1FA">
      <w:pPr>
        <w:spacing w:line="500" w:lineRule="exact"/>
        <w:ind w:firstLine="280" w:firstLineChars="1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（3）施工现场人员必须按规定佩带合格的劳动防护用具（乙方自备），特种作业人员必须持证上岗，严格执行操作规程，并确保在指定地点作业。</w:t>
      </w:r>
    </w:p>
    <w:p w14:paraId="4DEA26D0">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2．进入厂区，必须遵守公司的安全生产管理规章制度。</w:t>
      </w:r>
    </w:p>
    <w:p w14:paraId="1C521175">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3．必须主动接受公司的安全、防火教育和交底。</w:t>
      </w:r>
    </w:p>
    <w:p w14:paraId="1E588CE2">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4．外来人员进入生产现场，须有公司内业务负责人员陪同，并按照生产现场人行路线行走。</w:t>
      </w:r>
    </w:p>
    <w:p w14:paraId="58798115">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5．进入生产现场，按要求穿戴好劳动防护用品，严禁坦胸露背、穿凉鞋、拖鞋。</w:t>
      </w:r>
    </w:p>
    <w:p w14:paraId="53C44973">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6．不能与同行人员打闹，酒后不能进入作业场所。</w:t>
      </w:r>
    </w:p>
    <w:p w14:paraId="073A625D">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7．不准随意移动作业区内的各类设备及工具。</w:t>
      </w:r>
    </w:p>
    <w:p w14:paraId="102AC64D">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8．运输危险化学品和易燃易爆品，要具备运输资质，采取一定的防护措施，避免运输途中产生泄漏，在搬运、装卸过程中注意轻拿轻放，避免野蛮装卸。</w:t>
      </w:r>
    </w:p>
    <w:p w14:paraId="177D7DB1">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9．经批准进入厂区的应注意观看各类警示标识，遵守警示标识的指令。不准在吊物下通过或停留。</w:t>
      </w:r>
    </w:p>
    <w:p w14:paraId="40B3D118">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10．外来车辆进入厂区内减速慢行，车辆右行，并按公司规定的线路行驶，不能并行，不得高声鸣笛。</w:t>
      </w:r>
    </w:p>
    <w:p w14:paraId="6777D28D">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11．厂区内全面禁止吸烟，凡吸烟者均按照1000元/次给予经济处罚。</w:t>
      </w:r>
    </w:p>
    <w:p w14:paraId="78C58984">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12．厂区内临时用电、动火必须制定详细的施工方案，并经甲方安全部门、保卫部门批准后方可作业。</w:t>
      </w:r>
    </w:p>
    <w:p w14:paraId="3451BE25">
      <w:pPr>
        <w:spacing w:line="500" w:lineRule="exact"/>
        <w:ind w:firstLine="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（三）其他义务</w:t>
      </w:r>
    </w:p>
    <w:p w14:paraId="18048314">
      <w:pPr>
        <w:spacing w:line="500" w:lineRule="exact"/>
        <w:ind w:firstLine="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 xml:space="preserve">  1．乙方应主动配合甲方的相关检查，并对甲方要求其解释的事项作出口头或书面解释。</w:t>
      </w:r>
    </w:p>
    <w:p w14:paraId="079769ED">
      <w:pPr>
        <w:spacing w:line="500" w:lineRule="exact"/>
        <w:ind w:firstLine="543" w:firstLineChars="194"/>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2．乙方应对甲方提出的改进方案和建议积极响应，及时与甲方沟通、协调，共同解决问题。</w:t>
      </w:r>
    </w:p>
    <w:p w14:paraId="177BCBAB">
      <w:pPr>
        <w:spacing w:line="500" w:lineRule="exact"/>
        <w:ind w:firstLine="543" w:firstLineChars="194"/>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3．乙方在向甲方提供产品或服务的过程中</w:t>
      </w:r>
      <w:r>
        <w:rPr>
          <w:rFonts w:hint="eastAsia" w:ascii="仿宋" w:hAnsi="仿宋" w:eastAsia="仿宋" w:cs="仿宋"/>
          <w:color w:val="000000" w:themeColor="text1"/>
          <w:sz w:val="28"/>
          <w:szCs w:val="28"/>
        </w:rPr>
        <w:t>应最大限度保护好环境，确保工作人员的职业健康安全，满足甲方对乙方提出改进的要求。</w:t>
      </w:r>
    </w:p>
    <w:p w14:paraId="7FA0E2B6">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4．对项目过程中发生的事故，乙方负责及时向有关部门报告，建立处理事故的应急部门，并承担因事故所产生的所有经济损失。如果因事故给甲方造成损失的，乙方应承担全部赔偿责任。</w:t>
      </w:r>
    </w:p>
    <w:p w14:paraId="2C192AAC">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5．违反本协议造成的一切事故由乙方负责，给甲方造成的一切损失及相关部门的行政处罚和法律责任均由乙方承担。</w:t>
      </w:r>
    </w:p>
    <w:p w14:paraId="6C817CF5">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6．以上对甲方的环境保护及职业健康安全等相关要求由乙方的（具体负责人员）负责解释协调，甲方可随时与其沟通联系。</w:t>
      </w:r>
    </w:p>
    <w:p w14:paraId="40315EF2">
      <w:pPr>
        <w:spacing w:line="500" w:lineRule="exact"/>
        <w:ind w:firstLine="562" w:firstLineChars="200"/>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六、协议的生效、变更和解除</w:t>
      </w:r>
    </w:p>
    <w:p w14:paraId="04F8B46E">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1.本协议一式三份,经双方代表签字并盖章后生效，甲方持两份,乙方持一份,协议有效期自</w:t>
      </w:r>
      <w:r>
        <w:rPr>
          <w:rFonts w:hint="eastAsia" w:ascii="仿宋" w:hAnsi="仿宋" w:eastAsia="仿宋" w:cs="仿宋"/>
          <w:color w:val="000000" w:themeColor="text1"/>
          <w:kern w:val="0"/>
          <w:sz w:val="28"/>
          <w:szCs w:val="28"/>
          <w:u w:val="single"/>
          <w:lang w:val="en-US" w:eastAsia="zh-CN"/>
        </w:rPr>
        <w:t xml:space="preserve">     </w:t>
      </w:r>
      <w:r>
        <w:rPr>
          <w:rFonts w:hint="eastAsia" w:ascii="仿宋" w:hAnsi="仿宋" w:eastAsia="仿宋" w:cs="仿宋"/>
          <w:color w:val="000000" w:themeColor="text1"/>
          <w:kern w:val="0"/>
          <w:sz w:val="28"/>
          <w:szCs w:val="28"/>
        </w:rPr>
        <w:t>年</w:t>
      </w:r>
      <w:r>
        <w:rPr>
          <w:rFonts w:hint="eastAsia" w:ascii="仿宋" w:hAnsi="仿宋" w:eastAsia="仿宋" w:cs="仿宋"/>
          <w:color w:val="000000" w:themeColor="text1"/>
          <w:kern w:val="0"/>
          <w:sz w:val="28"/>
          <w:szCs w:val="28"/>
          <w:u w:val="single"/>
          <w:lang w:val="en-US" w:eastAsia="zh-CN"/>
        </w:rPr>
        <w:t xml:space="preserve">  </w:t>
      </w:r>
      <w:r>
        <w:rPr>
          <w:rFonts w:hint="eastAsia" w:ascii="仿宋" w:hAnsi="仿宋" w:eastAsia="仿宋" w:cs="仿宋"/>
          <w:color w:val="000000" w:themeColor="text1"/>
          <w:kern w:val="0"/>
          <w:sz w:val="28"/>
          <w:szCs w:val="28"/>
        </w:rPr>
        <w:t>月</w:t>
      </w:r>
      <w:r>
        <w:rPr>
          <w:rFonts w:hint="eastAsia" w:ascii="仿宋" w:hAnsi="仿宋" w:eastAsia="仿宋" w:cs="仿宋"/>
          <w:color w:val="000000" w:themeColor="text1"/>
          <w:kern w:val="0"/>
          <w:sz w:val="28"/>
          <w:szCs w:val="28"/>
          <w:u w:val="single"/>
          <w:lang w:val="en-US" w:eastAsia="zh-CN"/>
        </w:rPr>
        <w:t xml:space="preserve">  </w:t>
      </w:r>
      <w:r>
        <w:rPr>
          <w:rFonts w:hint="eastAsia" w:ascii="仿宋" w:hAnsi="仿宋" w:eastAsia="仿宋" w:cs="仿宋"/>
          <w:color w:val="000000" w:themeColor="text1"/>
          <w:kern w:val="0"/>
          <w:sz w:val="28"/>
          <w:szCs w:val="28"/>
        </w:rPr>
        <w:t>日至</w:t>
      </w:r>
      <w:r>
        <w:rPr>
          <w:rFonts w:hint="eastAsia" w:ascii="仿宋" w:hAnsi="仿宋" w:eastAsia="仿宋" w:cs="仿宋"/>
          <w:color w:val="000000" w:themeColor="text1"/>
          <w:kern w:val="0"/>
          <w:sz w:val="28"/>
          <w:szCs w:val="28"/>
          <w:u w:val="single"/>
        </w:rPr>
        <w:t xml:space="preserve"> 工程完工</w:t>
      </w:r>
      <w:r>
        <w:rPr>
          <w:rFonts w:hint="eastAsia" w:ascii="仿宋" w:hAnsi="仿宋" w:eastAsia="仿宋" w:cs="仿宋"/>
          <w:color w:val="000000" w:themeColor="text1"/>
          <w:kern w:val="0"/>
          <w:sz w:val="28"/>
          <w:szCs w:val="28"/>
        </w:rPr>
        <w:t>。</w:t>
      </w:r>
    </w:p>
    <w:p w14:paraId="22E46C55">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2．本协议经双方书面同意，可以予以修改、补充或调整。</w:t>
      </w:r>
    </w:p>
    <w:p w14:paraId="37EF971E">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sz w:val="28"/>
          <w:szCs w:val="28"/>
        </w:rPr>
        <w:t>3．本协议未尽事宜，双方应本着互惠互利、友好协商的原则另行约定，并应以附件或补充协议等书面形式体现。</w:t>
      </w:r>
    </w:p>
    <w:p w14:paraId="150714F1">
      <w:pPr>
        <w:spacing w:line="500" w:lineRule="exact"/>
        <w:rPr>
          <w:rFonts w:ascii="仿宋" w:hAnsi="仿宋" w:eastAsia="仿宋" w:cs="仿宋"/>
          <w:kern w:val="0"/>
          <w:sz w:val="28"/>
          <w:szCs w:val="28"/>
        </w:rPr>
      </w:pPr>
      <w:r>
        <w:rPr>
          <w:rFonts w:hint="eastAsia" w:ascii="仿宋" w:hAnsi="仿宋" w:eastAsia="仿宋" w:cs="仿宋"/>
          <w:kern w:val="0"/>
          <w:sz w:val="28"/>
          <w:szCs w:val="28"/>
        </w:rPr>
        <w:t>甲方单位（签章）：                          乙方单位（签章）：</w:t>
      </w:r>
    </w:p>
    <w:p w14:paraId="6C92E272">
      <w:pPr>
        <w:spacing w:line="500" w:lineRule="exact"/>
        <w:rPr>
          <w:rFonts w:ascii="仿宋" w:hAnsi="仿宋" w:eastAsia="仿宋" w:cs="仿宋"/>
          <w:kern w:val="0"/>
          <w:sz w:val="28"/>
          <w:szCs w:val="28"/>
        </w:rPr>
      </w:pPr>
    </w:p>
    <w:p w14:paraId="437949FE">
      <w:pPr>
        <w:spacing w:line="500" w:lineRule="exact"/>
        <w:jc w:val="left"/>
        <w:rPr>
          <w:rFonts w:ascii="仿宋" w:hAnsi="仿宋" w:eastAsia="仿宋" w:cs="仿宋"/>
          <w:color w:val="000000" w:themeColor="text1"/>
          <w:kern w:val="0"/>
          <w:sz w:val="28"/>
          <w:szCs w:val="28"/>
        </w:rPr>
      </w:pPr>
      <w:r>
        <w:rPr>
          <w:rFonts w:hint="eastAsia" w:ascii="仿宋" w:hAnsi="仿宋" w:eastAsia="仿宋" w:cs="仿宋"/>
          <w:kern w:val="0"/>
          <w:sz w:val="28"/>
          <w:szCs w:val="28"/>
        </w:rPr>
        <w:t>甲方代表（签字）：                          乙方代表（签字）：                                       日期：                                      日期：</w:t>
      </w:r>
    </w:p>
    <w:p w14:paraId="426F82F8">
      <w:pPr>
        <w:spacing w:line="500" w:lineRule="exact"/>
        <w:jc w:val="center"/>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供方诚信廉洁责任规范承诺</w:t>
      </w:r>
    </w:p>
    <w:p w14:paraId="61338290">
      <w:pPr>
        <w:spacing w:line="500" w:lineRule="exact"/>
        <w:rPr>
          <w:rFonts w:ascii="仿宋" w:hAnsi="仿宋" w:eastAsia="仿宋" w:cs="仿宋"/>
          <w:b/>
          <w:color w:val="000000" w:themeColor="text1"/>
          <w:sz w:val="28"/>
          <w:szCs w:val="28"/>
        </w:rPr>
      </w:pPr>
      <w:r>
        <w:rPr>
          <w:rFonts w:hint="eastAsia" w:ascii="仿宋" w:hAnsi="仿宋" w:eastAsia="仿宋" w:cs="仿宋"/>
          <w:color w:val="000000" w:themeColor="text1"/>
          <w:sz w:val="28"/>
          <w:szCs w:val="28"/>
        </w:rPr>
        <w:t>一、</w:t>
      </w:r>
      <w:r>
        <w:rPr>
          <w:rFonts w:hint="eastAsia" w:ascii="仿宋" w:hAnsi="仿宋" w:eastAsia="仿宋" w:cs="仿宋"/>
          <w:b/>
          <w:color w:val="000000" w:themeColor="text1"/>
          <w:sz w:val="28"/>
          <w:szCs w:val="28"/>
        </w:rPr>
        <w:t>目的、范围：</w:t>
      </w:r>
    </w:p>
    <w:p w14:paraId="24F7400B">
      <w:pPr>
        <w:spacing w:line="500" w:lineRule="exact"/>
        <w:ind w:firstLine="57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为进一步改进和完善企业的物资采购管理，健全监督约束机制，规范凉山州现代房屋建筑集成制造有限公司布拖县分公司（以下简称需方）采购等人员行为，加强对采购工作的监督管理，本着诚信、互惠互利和依法经营的原则，实行供方诚信廉洁责任规范制度。本规范适用于与需方有业务往来的所有供方。</w:t>
      </w:r>
    </w:p>
    <w:p w14:paraId="2EDE604C">
      <w:pPr>
        <w:spacing w:line="50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二、职责：</w:t>
      </w:r>
    </w:p>
    <w:p w14:paraId="14AB3F15">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1、各业务部门为本规范的归口管理部门，负责本规范的有效实施。</w:t>
      </w:r>
    </w:p>
    <w:p w14:paraId="0CB9A3D4">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2、公司纪委为本规范实施的监督部门。</w:t>
      </w:r>
    </w:p>
    <w:p w14:paraId="1DC5461F">
      <w:pPr>
        <w:spacing w:line="50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三、管理内容：</w:t>
      </w:r>
    </w:p>
    <w:p w14:paraId="53CCE198">
      <w:pPr>
        <w:spacing w:line="50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（一）、供方行为规范:</w:t>
      </w:r>
    </w:p>
    <w:p w14:paraId="4DB262E6">
      <w:pPr>
        <w:spacing w:line="5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1、不准向需方提供已经知道或应该知道不合格（期、质、量）的物资，不准以次充好，以劣充优。</w:t>
      </w:r>
    </w:p>
    <w:p w14:paraId="0BB5942F">
      <w:pPr>
        <w:spacing w:line="5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2、不准向需方采购人员、领导干部等有关人员提供回扣、好处费、有价证券、信用卡、支付凭证或报销发票。</w:t>
      </w:r>
    </w:p>
    <w:p w14:paraId="5FF89554">
      <w:pPr>
        <w:spacing w:line="5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3、不准向需方采购人员、领导干部等有关人员提供高消费宴请、礼品、礼金和公款支付的娱乐性活动。</w:t>
      </w:r>
    </w:p>
    <w:p w14:paraId="59BF4EDA">
      <w:pPr>
        <w:spacing w:line="5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4、不准向需方采购人员、领导干部等有关人员提供借款作为私用。</w:t>
      </w:r>
    </w:p>
    <w:p w14:paraId="7F768AAD">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5、不准向需方采购人员、领导干部的配偶、子女、亲属、子女配偶的亲属、领导干部身边的工作人员等做出违反第2、3、4条的行为。</w:t>
      </w:r>
    </w:p>
    <w:p w14:paraId="56F80D06">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6、不准安排采购人员、领导干部等人员的配偶、子女、亲属、子女配偶的亲属、领导干部身边的工作人员的亲属在供方企业就职谋业。</w:t>
      </w:r>
    </w:p>
    <w:p w14:paraId="3E78EF60">
      <w:pPr>
        <w:spacing w:line="5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7、对需方采购人员、领导干部等有关人员的行为进行监督，有责任对不良行为、损害企业利益、信誉等行为进行举报。不得瞒报、谎报。</w:t>
      </w:r>
    </w:p>
    <w:p w14:paraId="2E30BCA3">
      <w:pPr>
        <w:spacing w:line="5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8、不准损害需方的利益，对图纸、技术资料、价格、管理规定及管理流程、加工工艺等商业秘密负责保密。</w:t>
      </w:r>
    </w:p>
    <w:p w14:paraId="5890F440">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9、对违规违纪问题的调查、取证予以全力配合。</w:t>
      </w:r>
    </w:p>
    <w:p w14:paraId="07D67F2D">
      <w:pPr>
        <w:spacing w:line="50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（二）、责任追究：</w:t>
      </w:r>
    </w:p>
    <w:p w14:paraId="6456108C">
      <w:pPr>
        <w:spacing w:line="5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1、违反第1条规定，对造成的经济损失由供方全额承担，并取消其供货资格。</w:t>
      </w:r>
    </w:p>
    <w:p w14:paraId="17F650D0">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2、违反第2、3、4、5、条规定的，一经核实，取消其供货资格。触犯法律的，移交司法机关处理。</w:t>
      </w:r>
    </w:p>
    <w:p w14:paraId="1561E586">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3、违反第6条规定，供方必须限期妥善解决，否则取消其供货资格。</w:t>
      </w:r>
    </w:p>
    <w:p w14:paraId="67BE612E">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4、违反第7条规定，故意隐瞒事实真相的，经核实后，取消其供货资格。</w:t>
      </w:r>
    </w:p>
    <w:p w14:paraId="4DF608F8">
      <w:pPr>
        <w:spacing w:line="5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5、违反第8条规定，给需方造成的一切经济损失由供方承担，需方视情节轻重给予取消供货资格或诉诸法律，追究责任。</w:t>
      </w:r>
    </w:p>
    <w:p w14:paraId="74E5DDE8">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6、对违规违纪问题，需方有向供方调查、取证的权利，供方应积极配合。如发生故意干扰、阻止调查、取证工作；故意提供虚假材料、作假证、为当事人解脱责任等行为，造成严重后果，需方将取消其供货资格。</w:t>
      </w:r>
    </w:p>
    <w:p w14:paraId="633038C7">
      <w:pPr>
        <w:spacing w:line="50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（三）、供方承诺：</w:t>
      </w:r>
    </w:p>
    <w:p w14:paraId="09D9DFD7">
      <w:pPr>
        <w:spacing w:line="500" w:lineRule="exact"/>
        <w:ind w:firstLine="63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对于上述行为规范，我方愿意遵守执行，做好物资供应工作，如有违反，我方愿意承担一切法律责任。</w:t>
      </w:r>
    </w:p>
    <w:p w14:paraId="612ABD57">
      <w:pPr>
        <w:spacing w:line="50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 四、本规范一式</w:t>
      </w:r>
      <w:r>
        <w:rPr>
          <w:rFonts w:hint="eastAsia" w:ascii="仿宋" w:hAnsi="仿宋" w:eastAsia="仿宋" w:cs="仿宋"/>
          <w:b/>
          <w:color w:val="000000" w:themeColor="text1"/>
          <w:sz w:val="28"/>
          <w:szCs w:val="28"/>
          <w:lang w:val="en-US" w:eastAsia="zh-CN"/>
        </w:rPr>
        <w:t>四</w:t>
      </w:r>
      <w:r>
        <w:rPr>
          <w:rFonts w:hint="eastAsia" w:ascii="仿宋" w:hAnsi="仿宋" w:eastAsia="仿宋" w:cs="仿宋"/>
          <w:b/>
          <w:color w:val="000000" w:themeColor="text1"/>
          <w:sz w:val="28"/>
          <w:szCs w:val="28"/>
        </w:rPr>
        <w:t>份，双方各执</w:t>
      </w:r>
      <w:r>
        <w:rPr>
          <w:rFonts w:hint="eastAsia" w:ascii="仿宋" w:hAnsi="仿宋" w:eastAsia="仿宋" w:cs="仿宋"/>
          <w:b/>
          <w:color w:val="000000" w:themeColor="text1"/>
          <w:sz w:val="28"/>
          <w:szCs w:val="28"/>
          <w:lang w:val="en-US" w:eastAsia="zh-CN"/>
        </w:rPr>
        <w:t>两</w:t>
      </w:r>
      <w:r>
        <w:rPr>
          <w:rFonts w:hint="eastAsia" w:ascii="仿宋" w:hAnsi="仿宋" w:eastAsia="仿宋" w:cs="仿宋"/>
          <w:b/>
          <w:color w:val="000000" w:themeColor="text1"/>
          <w:sz w:val="28"/>
          <w:szCs w:val="28"/>
        </w:rPr>
        <w:t>份。</w:t>
      </w:r>
    </w:p>
    <w:p w14:paraId="108B07FE">
      <w:pPr>
        <w:spacing w:line="500" w:lineRule="exact"/>
        <w:rPr>
          <w:rFonts w:ascii="仿宋" w:hAnsi="仿宋" w:eastAsia="仿宋" w:cs="仿宋"/>
          <w:color w:val="000000" w:themeColor="text1"/>
          <w:sz w:val="28"/>
          <w:szCs w:val="28"/>
        </w:rPr>
      </w:pPr>
    </w:p>
    <w:p w14:paraId="0D1384E9">
      <w:pPr>
        <w:spacing w:line="50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供方单位盖章：</w:t>
      </w:r>
    </w:p>
    <w:p w14:paraId="37F8D256">
      <w:pPr>
        <w:spacing w:line="500" w:lineRule="exact"/>
        <w:rPr>
          <w:rFonts w:ascii="仿宋" w:hAnsi="仿宋" w:eastAsia="仿宋" w:cs="仿宋"/>
          <w:color w:val="000000" w:themeColor="text1"/>
          <w:sz w:val="28"/>
          <w:szCs w:val="28"/>
        </w:rPr>
      </w:pPr>
    </w:p>
    <w:p w14:paraId="24F1A40D">
      <w:pPr>
        <w:spacing w:line="50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供方代表签字：</w:t>
      </w:r>
    </w:p>
    <w:p w14:paraId="04E5A31A">
      <w:pPr>
        <w:spacing w:line="5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w:t>
      </w:r>
      <w:r>
        <w:rPr>
          <w:rFonts w:hint="eastAsia" w:ascii="仿宋" w:hAnsi="仿宋" w:eastAsia="仿宋" w:cs="仿宋"/>
          <w:color w:val="000000" w:themeColor="text1"/>
          <w:sz w:val="28"/>
          <w:szCs w:val="28"/>
          <w:lang w:val="en-US" w:eastAsia="zh-CN"/>
        </w:rPr>
        <w:t xml:space="preserve">    </w:t>
      </w:r>
      <w:r>
        <w:rPr>
          <w:rFonts w:hint="eastAsia" w:ascii="仿宋" w:hAnsi="仿宋" w:eastAsia="仿宋" w:cs="仿宋"/>
          <w:color w:val="000000" w:themeColor="text1"/>
          <w:sz w:val="28"/>
          <w:szCs w:val="28"/>
        </w:rPr>
        <w:t>年</w:t>
      </w:r>
      <w:r>
        <w:rPr>
          <w:rFonts w:hint="eastAsia" w:ascii="仿宋" w:hAnsi="仿宋" w:eastAsia="仿宋" w:cs="仿宋"/>
          <w:color w:val="000000" w:themeColor="text1"/>
          <w:sz w:val="28"/>
          <w:szCs w:val="28"/>
          <w:lang w:val="en-US" w:eastAsia="zh-CN"/>
        </w:rPr>
        <w:t xml:space="preserve">   </w:t>
      </w:r>
      <w:r>
        <w:rPr>
          <w:rFonts w:hint="eastAsia" w:ascii="仿宋" w:hAnsi="仿宋" w:eastAsia="仿宋" w:cs="仿宋"/>
          <w:color w:val="000000" w:themeColor="text1"/>
          <w:sz w:val="28"/>
          <w:szCs w:val="28"/>
        </w:rPr>
        <w:t>月   日</w:t>
      </w:r>
    </w:p>
    <w:p w14:paraId="14D1EE27">
      <w:pPr>
        <w:jc w:val="left"/>
        <w:sectPr>
          <w:pgSz w:w="11906" w:h="16838"/>
          <w:pgMar w:top="1440" w:right="850" w:bottom="1440" w:left="850" w:header="851" w:footer="992" w:gutter="0"/>
          <w:cols w:space="0" w:num="1"/>
          <w:docGrid w:type="lines" w:linePitch="312" w:charSpace="0"/>
        </w:sectPr>
      </w:pPr>
    </w:p>
    <w:p w14:paraId="67339BDC">
      <w:pPr>
        <w:rPr>
          <w:color w:val="000000" w:themeColor="text1"/>
        </w:rPr>
      </w:pPr>
    </w:p>
    <w:sectPr>
      <w:pgSz w:w="11906" w:h="16838"/>
      <w:pgMar w:top="1440" w:right="850" w:bottom="1440" w:left="850"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00000000" w:usb2="00000000" w:usb3="00000000" w:csb0="80000000" w:csb1="00000000"/>
  </w:font>
  <w:font w:name="Arial">
    <w:altName w:val="Arial"/>
    <w:panose1 w:val="020B0604020202020204"/>
    <w:charset w:val="00"/>
    <w:family w:val="swiss"/>
    <w:pitch w:val="default"/>
    <w:sig w:usb0="E0002AFF" w:usb1="C0007843" w:usb2="00000009" w:usb3="00000000" w:csb0="400001FF" w:csb1="FFFF0000"/>
  </w:font>
  <w:font w:name="黑体">
    <w:altName w:val="黑体"/>
    <w:panose1 w:val="02010609060101010101"/>
    <w:charset w:val="00"/>
    <w:family w:val="auto"/>
    <w:pitch w:val="default"/>
    <w:sig w:usb0="800002BF" w:usb1="38CF7CFA" w:usb2="00000016" w:usb3="00000000" w:csb0="00040001" w:csb1="00000000"/>
  </w:font>
  <w:font w:name="Courier New">
    <w:altName w:val="Courier New"/>
    <w:panose1 w:val="02070309020205020404"/>
    <w:charset w:val="00"/>
    <w:family w:val="modern"/>
    <w:pitch w:val="default"/>
    <w:sig w:usb0="E0002AFF" w:usb1="C0007843" w:usb2="00000009" w:usb3="00000000" w:csb0="400001FF" w:csb1="FFFF0000"/>
  </w:font>
  <w:font w:name="Symbol">
    <w:altName w:val="Symbol"/>
    <w:panose1 w:val="05050102010706020507"/>
    <w:charset w:val="00"/>
    <w:family w:val="roman"/>
    <w:pitch w:val="default"/>
    <w:sig w:usb0="00000000" w:usb1="00000000" w:usb2="00000000" w:usb3="00000000" w:csb0="80000000"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00"/>
    <w:family w:val="swiss"/>
    <w:pitch w:val="default"/>
    <w:sig w:usb0="00000000" w:usb1="00000000" w:usb2="00000001" w:usb3="00000000" w:csb0="0000019F" w:csb1="00000000"/>
  </w:font>
  <w:font w:name="仿宋">
    <w:panose1 w:val="02010609060101010101"/>
    <w:charset w:val="86"/>
    <w:family w:val="modern"/>
    <w:pitch w:val="default"/>
    <w:sig w:usb0="00000000" w:usb1="0000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088121"/>
    <w:multiLevelType w:val="singleLevel"/>
    <w:tmpl w:val="92088121"/>
    <w:lvl w:ilvl="0" w:tentative="0">
      <w:start w:val="4"/>
      <w:numFmt w:val="chineseCounting"/>
      <w:suff w:val="nothing"/>
      <w:lvlText w:val="%1、"/>
      <w:lvlJc w:val="left"/>
      <w:rPr>
        <w:rFonts w:hint="eastAsia"/>
      </w:rPr>
    </w:lvl>
  </w:abstractNum>
  <w:abstractNum w:abstractNumId="1">
    <w:nsid w:val="AFDD0956"/>
    <w:multiLevelType w:val="singleLevel"/>
    <w:tmpl w:val="AFDD0956"/>
    <w:lvl w:ilvl="0" w:tentative="0">
      <w:start w:val="12"/>
      <w:numFmt w:val="chineseCounting"/>
      <w:suff w:val="nothing"/>
      <w:lvlText w:val="%1、"/>
      <w:lvlJc w:val="left"/>
      <w:rPr>
        <w:rFonts w:hint="eastAsia"/>
      </w:rPr>
    </w:lvl>
  </w:abstractNum>
  <w:abstractNum w:abstractNumId="2">
    <w:nsid w:val="D9EE3FE8"/>
    <w:multiLevelType w:val="singleLevel"/>
    <w:tmpl w:val="D9EE3FE8"/>
    <w:lvl w:ilvl="0" w:tentative="0">
      <w:start w:val="6"/>
      <w:numFmt w:val="chineseCounting"/>
      <w:suff w:val="nothing"/>
      <w:lvlText w:val="%1、"/>
      <w:lvlJc w:val="left"/>
      <w:pPr>
        <w:ind w:left="420"/>
      </w:pPr>
      <w:rPr>
        <w:rFonts w:hint="eastAsia"/>
      </w:rPr>
    </w:lvl>
  </w:abstractNum>
  <w:abstractNum w:abstractNumId="3">
    <w:nsid w:val="363933A5"/>
    <w:multiLevelType w:val="singleLevel"/>
    <w:tmpl w:val="363933A5"/>
    <w:lvl w:ilvl="0" w:tentative="0">
      <w:start w:val="1"/>
      <w:numFmt w:val="chineseCounting"/>
      <w:suff w:val="nothing"/>
      <w:lvlText w:val="%1、"/>
      <w:lvlJc w:val="left"/>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
  </w:docVar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unhideWhenUsed/>
    <w:qFormat/>
    <w:uiPriority w:val="1"/>
  </w:style>
  <w:style w:type="table" w:default="1" w:styleId="5">
    <w:name w:val="Normal Table"/>
    <w:unhideWhenUsed/>
    <w:qFormat/>
    <w:uiPriority w:val="99"/>
    <w:tblPr>
      <w:tblLayout w:type="fixed"/>
      <w:tblCellMar>
        <w:top w:w="0" w:type="dxa"/>
        <w:left w:w="108" w:type="dxa"/>
        <w:bottom w:w="0" w:type="dxa"/>
        <w:right w:w="108" w:type="dxa"/>
      </w:tblCellMar>
    </w:tblPr>
  </w:style>
  <w:style w:type="paragraph" w:styleId="2">
    <w:name w:val="Body Text"/>
    <w:basedOn w:val="1"/>
    <w:next w:val="1"/>
    <w:qFormat/>
    <w:uiPriority w:val="1"/>
    <w:pPr>
      <w:ind w:left="328"/>
    </w:pPr>
    <w:rPr>
      <w:szCs w:val="21"/>
    </w:rPr>
  </w:style>
  <w:style w:type="paragraph" w:styleId="3">
    <w:name w:val="Normal (Web)"/>
    <w:basedOn w:val="1"/>
    <w:qFormat/>
    <w:uiPriority w:val="0"/>
    <w:pPr>
      <w:spacing w:beforeAutospacing="1" w:afterAutospacing="1"/>
      <w:jc w:val="left"/>
    </w:pPr>
    <w:rPr>
      <w:kern w:val="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1918</Words>
  <Characters>2119</Characters>
  <Lines>64</Lines>
  <Paragraphs>18</Paragraphs>
  <TotalTime>0</TotalTime>
  <ScaleCrop>false</ScaleCrop>
  <LinksUpToDate>false</LinksUpToDate>
  <CharactersWithSpaces>2259</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2024-08-15T02:46:00Z</dcterms:created>
  <dc:creator>不做一米陌生人</dc:creator>
  <cp:lastModifiedBy>iPhone</cp:lastModifiedBy>
  <dcterms:modified xsi:type="dcterms:W3CDTF">2026-03-17T10:30:54Z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2052-12.41.0</vt:lpwstr>
  </property>
  <property fmtid="{D5CDD505-2E9C-101B-9397-08002B2CF9AE}" pid="3" name="ICV">
    <vt:lpwstr>AA220A36D5F7432F968D3BAD752BF998_13</vt:lpwstr>
  </property>
  <property fmtid="{D5CDD505-2E9C-101B-9397-08002B2CF9AE}" pid="4" name="KSOTemplateDocerSaveRecord">
    <vt:lpwstr>eyJoZGlkIjoiNWM4OWFiZWI4NDljMDZiMzQ0ODllYjk4N2UyZTkxM2IiLCJ1c2VySWQiOiI1NzcyOTgwMTUifQ==</vt:lpwstr>
  </property>
</Properties>
</file>