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BED77E">
      <w:pPr>
        <w:keepNext w:val="0"/>
        <w:keepLines w:val="0"/>
        <w:pageBreakBefore w:val="0"/>
        <w:widowControl w:val="0"/>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方正仿宋_GB2312" w:cs="Times New Roman"/>
          <w:kern w:val="2"/>
          <w:sz w:val="32"/>
          <w:szCs w:val="32"/>
          <w:lang w:val="en-US" w:eastAsia="zh-CN" w:bidi="ar-SA"/>
        </w:rPr>
      </w:pPr>
    </w:p>
    <w:p w14:paraId="23ABA5F0">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黑体" w:cs="Times New Roman"/>
          <w:kern w:val="2"/>
          <w:sz w:val="32"/>
          <w:szCs w:val="32"/>
          <w:lang w:val="en-US" w:eastAsia="zh-CN" w:bidi="ar-SA"/>
        </w:rPr>
      </w:pPr>
      <w:r>
        <w:rPr>
          <w:rFonts w:hint="default" w:ascii="Times New Roman" w:hAnsi="Times New Roman" w:eastAsia="黑体" w:cs="Times New Roman"/>
          <w:kern w:val="2"/>
          <w:sz w:val="32"/>
          <w:szCs w:val="32"/>
          <w:lang w:val="en-US" w:eastAsia="zh-CN" w:bidi="ar-SA"/>
        </w:rPr>
        <w:t>附件</w:t>
      </w:r>
    </w:p>
    <w:p w14:paraId="1FF9D973">
      <w:pPr>
        <w:jc w:val="center"/>
        <w:rPr>
          <w:rFonts w:hint="default" w:ascii="Times New Roman" w:hAnsi="Times New Roman" w:eastAsia="方正小标宋简体" w:cs="Times New Roman"/>
          <w:b/>
          <w:bCs/>
          <w:sz w:val="44"/>
          <w:szCs w:val="44"/>
          <w:lang w:val="en-US" w:eastAsia="zh-CN"/>
        </w:rPr>
      </w:pPr>
      <w:r>
        <w:rPr>
          <w:rFonts w:hint="default" w:ascii="Times New Roman" w:hAnsi="Times New Roman" w:eastAsia="方正小标宋简体" w:cs="Times New Roman"/>
          <w:kern w:val="2"/>
          <w:sz w:val="44"/>
          <w:szCs w:val="44"/>
          <w:lang w:val="en-US" w:eastAsia="zh-CN" w:bidi="ar-SA"/>
        </w:rPr>
        <w:t>采购需求</w:t>
      </w:r>
    </w:p>
    <w:tbl>
      <w:tblPr>
        <w:tblStyle w:val="7"/>
        <w:tblW w:w="10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1993"/>
        <w:gridCol w:w="1146"/>
        <w:gridCol w:w="889"/>
        <w:gridCol w:w="1780"/>
        <w:gridCol w:w="1555"/>
        <w:gridCol w:w="1826"/>
      </w:tblGrid>
      <w:tr w14:paraId="2E92A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831" w:type="dxa"/>
            <w:vAlign w:val="center"/>
          </w:tcPr>
          <w:p w14:paraId="02B40E11">
            <w:pPr>
              <w:pStyle w:val="11"/>
              <w:jc w:val="center"/>
              <w:rPr>
                <w:rFonts w:hint="eastAsia" w:ascii="Times New Roman" w:hAnsi="Times New Roman" w:eastAsia="仿宋_GB2312" w:cs="Times New Roman"/>
                <w:kern w:val="0"/>
                <w:sz w:val="28"/>
                <w:szCs w:val="28"/>
                <w:lang w:val="en-US" w:eastAsia="zh-Hans" w:bidi="ar-SA"/>
              </w:rPr>
            </w:pPr>
            <w:r>
              <w:rPr>
                <w:rFonts w:hint="eastAsia" w:ascii="Times New Roman" w:hAnsi="Times New Roman" w:eastAsia="仿宋_GB2312" w:cs="Times New Roman"/>
                <w:kern w:val="0"/>
                <w:sz w:val="28"/>
                <w:szCs w:val="28"/>
                <w:lang w:val="en-US" w:eastAsia="zh-Hans" w:bidi="ar-SA"/>
              </w:rPr>
              <w:t>序号</w:t>
            </w:r>
          </w:p>
        </w:tc>
        <w:tc>
          <w:tcPr>
            <w:tcW w:w="1993" w:type="dxa"/>
            <w:vAlign w:val="center"/>
          </w:tcPr>
          <w:p w14:paraId="7BF496E9">
            <w:pPr>
              <w:pStyle w:val="11"/>
              <w:jc w:val="center"/>
              <w:rPr>
                <w:rFonts w:hint="eastAsia" w:ascii="Times New Roman" w:hAnsi="Times New Roman" w:eastAsia="仿宋_GB2312" w:cs="Times New Roman"/>
                <w:kern w:val="0"/>
                <w:sz w:val="28"/>
                <w:szCs w:val="28"/>
                <w:lang w:val="en-US" w:eastAsia="zh-Hans" w:bidi="ar-SA"/>
              </w:rPr>
            </w:pPr>
            <w:r>
              <w:rPr>
                <w:rFonts w:hint="eastAsia" w:ascii="Times New Roman" w:hAnsi="Times New Roman" w:eastAsia="仿宋_GB2312" w:cs="Times New Roman"/>
                <w:kern w:val="0"/>
                <w:sz w:val="28"/>
                <w:szCs w:val="28"/>
                <w:lang w:val="en-US" w:eastAsia="zh-Hans" w:bidi="ar-SA"/>
              </w:rPr>
              <w:t>标的名称</w:t>
            </w:r>
          </w:p>
        </w:tc>
        <w:tc>
          <w:tcPr>
            <w:tcW w:w="1146" w:type="dxa"/>
            <w:vAlign w:val="center"/>
          </w:tcPr>
          <w:p w14:paraId="7DED0227">
            <w:pPr>
              <w:pStyle w:val="11"/>
              <w:jc w:val="center"/>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预估</w:t>
            </w:r>
            <w:r>
              <w:rPr>
                <w:rFonts w:hint="eastAsia" w:ascii="Times New Roman" w:hAnsi="Times New Roman" w:eastAsia="仿宋_GB2312" w:cs="Times New Roman"/>
                <w:kern w:val="0"/>
                <w:sz w:val="28"/>
                <w:szCs w:val="28"/>
                <w:lang w:val="en-US" w:eastAsia="zh-Hans" w:bidi="ar-SA"/>
              </w:rPr>
              <w:t>数量</w:t>
            </w:r>
          </w:p>
        </w:tc>
        <w:tc>
          <w:tcPr>
            <w:tcW w:w="889" w:type="dxa"/>
            <w:vAlign w:val="center"/>
          </w:tcPr>
          <w:p w14:paraId="05173D74">
            <w:pPr>
              <w:pStyle w:val="11"/>
              <w:jc w:val="center"/>
              <w:rPr>
                <w:rFonts w:hint="eastAsia" w:ascii="Times New Roman" w:hAnsi="Times New Roman" w:eastAsia="仿宋_GB2312" w:cs="Times New Roman"/>
                <w:kern w:val="0"/>
                <w:sz w:val="28"/>
                <w:szCs w:val="28"/>
                <w:lang w:val="en-US" w:eastAsia="zh-Hans" w:bidi="ar-SA"/>
              </w:rPr>
            </w:pPr>
            <w:r>
              <w:rPr>
                <w:rFonts w:hint="eastAsia" w:ascii="Times New Roman" w:hAnsi="Times New Roman" w:eastAsia="仿宋_GB2312" w:cs="Times New Roman"/>
                <w:kern w:val="0"/>
                <w:sz w:val="28"/>
                <w:szCs w:val="28"/>
                <w:lang w:val="en-US" w:eastAsia="zh-Hans" w:bidi="ar-SA"/>
              </w:rPr>
              <w:t>单位</w:t>
            </w:r>
          </w:p>
        </w:tc>
        <w:tc>
          <w:tcPr>
            <w:tcW w:w="1780" w:type="dxa"/>
            <w:vAlign w:val="center"/>
          </w:tcPr>
          <w:p w14:paraId="617D6391">
            <w:pPr>
              <w:pStyle w:val="11"/>
              <w:jc w:val="center"/>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含税单价（元）</w:t>
            </w:r>
          </w:p>
        </w:tc>
        <w:tc>
          <w:tcPr>
            <w:tcW w:w="1555" w:type="dxa"/>
            <w:vAlign w:val="center"/>
          </w:tcPr>
          <w:p w14:paraId="5C3F1EBB">
            <w:pPr>
              <w:pStyle w:val="11"/>
              <w:jc w:val="center"/>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发票税率</w:t>
            </w:r>
          </w:p>
        </w:tc>
        <w:tc>
          <w:tcPr>
            <w:tcW w:w="1826" w:type="dxa"/>
            <w:vAlign w:val="center"/>
          </w:tcPr>
          <w:p w14:paraId="453BAE3C">
            <w:pPr>
              <w:pStyle w:val="11"/>
              <w:jc w:val="center"/>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其他要求</w:t>
            </w:r>
          </w:p>
        </w:tc>
      </w:tr>
      <w:tr w14:paraId="116B5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31" w:type="dxa"/>
            <w:vAlign w:val="center"/>
          </w:tcPr>
          <w:p w14:paraId="083E7E33">
            <w:pPr>
              <w:pStyle w:val="11"/>
              <w:jc w:val="center"/>
              <w:rPr>
                <w:rFonts w:hint="eastAsia" w:ascii="Times New Roman" w:hAnsi="Times New Roman" w:eastAsia="仿宋_GB2312" w:cs="Times New Roman"/>
                <w:kern w:val="0"/>
                <w:sz w:val="28"/>
                <w:szCs w:val="28"/>
                <w:lang w:val="en-US" w:eastAsia="zh-Hans" w:bidi="ar-SA"/>
              </w:rPr>
            </w:pPr>
            <w:r>
              <w:rPr>
                <w:rFonts w:hint="eastAsia" w:ascii="Times New Roman" w:hAnsi="Times New Roman" w:eastAsia="仿宋_GB2312" w:cs="Times New Roman"/>
                <w:kern w:val="0"/>
                <w:sz w:val="28"/>
                <w:szCs w:val="28"/>
                <w:lang w:val="en-US" w:eastAsia="zh-Hans" w:bidi="ar-SA"/>
              </w:rPr>
              <w:t>1</w:t>
            </w:r>
          </w:p>
        </w:tc>
        <w:tc>
          <w:tcPr>
            <w:tcW w:w="1993" w:type="dxa"/>
            <w:vAlign w:val="center"/>
          </w:tcPr>
          <w:p w14:paraId="5D048264">
            <w:pPr>
              <w:pStyle w:val="11"/>
              <w:jc w:val="center"/>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办公电脑</w:t>
            </w:r>
          </w:p>
          <w:p w14:paraId="3B54AE2B">
            <w:pPr>
              <w:pStyle w:val="11"/>
              <w:jc w:val="center"/>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（含显示器）</w:t>
            </w:r>
          </w:p>
        </w:tc>
        <w:tc>
          <w:tcPr>
            <w:tcW w:w="1146" w:type="dxa"/>
            <w:vAlign w:val="center"/>
          </w:tcPr>
          <w:p w14:paraId="7B18DBAB">
            <w:pPr>
              <w:pStyle w:val="11"/>
              <w:jc w:val="center"/>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200</w:t>
            </w:r>
          </w:p>
        </w:tc>
        <w:tc>
          <w:tcPr>
            <w:tcW w:w="889" w:type="dxa"/>
            <w:vAlign w:val="center"/>
          </w:tcPr>
          <w:p w14:paraId="2A861F0D">
            <w:pPr>
              <w:pStyle w:val="11"/>
              <w:jc w:val="center"/>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套</w:t>
            </w:r>
          </w:p>
        </w:tc>
        <w:tc>
          <w:tcPr>
            <w:tcW w:w="1780" w:type="dxa"/>
            <w:vAlign w:val="center"/>
          </w:tcPr>
          <w:p w14:paraId="2BEFB059">
            <w:pPr>
              <w:pStyle w:val="11"/>
              <w:jc w:val="center"/>
              <w:rPr>
                <w:rFonts w:hint="eastAsia" w:ascii="Times New Roman" w:hAnsi="Times New Roman" w:eastAsia="仿宋_GB2312" w:cs="Times New Roman"/>
                <w:kern w:val="0"/>
                <w:sz w:val="28"/>
                <w:szCs w:val="28"/>
                <w:lang w:val="en-US" w:eastAsia="zh-CN" w:bidi="ar-SA"/>
              </w:rPr>
            </w:pPr>
          </w:p>
        </w:tc>
        <w:tc>
          <w:tcPr>
            <w:tcW w:w="1555" w:type="dxa"/>
            <w:vAlign w:val="center"/>
          </w:tcPr>
          <w:p w14:paraId="49E160CB">
            <w:pPr>
              <w:pStyle w:val="11"/>
              <w:jc w:val="left"/>
              <w:rPr>
                <w:rFonts w:hint="eastAsia" w:ascii="Times New Roman" w:hAnsi="Times New Roman" w:eastAsia="仿宋_GB2312" w:cs="Times New Roman"/>
                <w:kern w:val="0"/>
                <w:sz w:val="28"/>
                <w:szCs w:val="28"/>
                <w:lang w:val="en-US" w:eastAsia="zh-CN" w:bidi="ar-SA"/>
              </w:rPr>
            </w:pPr>
          </w:p>
        </w:tc>
        <w:tc>
          <w:tcPr>
            <w:tcW w:w="1826" w:type="dxa"/>
            <w:vAlign w:val="center"/>
          </w:tcPr>
          <w:p w14:paraId="50DE6CBD">
            <w:pPr>
              <w:pStyle w:val="11"/>
              <w:jc w:val="left"/>
              <w:rPr>
                <w:rFonts w:hint="eastAsia"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非组装机、非信创电脑、供应商应为生产厂家或者生产厂家授权供应商的证明材料</w:t>
            </w:r>
          </w:p>
        </w:tc>
      </w:tr>
      <w:tr w14:paraId="57C86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31" w:type="dxa"/>
            <w:vAlign w:val="center"/>
          </w:tcPr>
          <w:p w14:paraId="55E7CF1E">
            <w:pPr>
              <w:pStyle w:val="11"/>
              <w:jc w:val="cente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2</w:t>
            </w:r>
          </w:p>
        </w:tc>
        <w:tc>
          <w:tcPr>
            <w:tcW w:w="1993" w:type="dxa"/>
            <w:vAlign w:val="center"/>
          </w:tcPr>
          <w:p w14:paraId="1CC72593">
            <w:pPr>
              <w:pStyle w:val="11"/>
              <w:jc w:val="cente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喷墨式打印机</w:t>
            </w:r>
          </w:p>
        </w:tc>
        <w:tc>
          <w:tcPr>
            <w:tcW w:w="1146" w:type="dxa"/>
            <w:vAlign w:val="center"/>
          </w:tcPr>
          <w:p w14:paraId="31B1A9DE">
            <w:pPr>
              <w:pStyle w:val="11"/>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15</w:t>
            </w:r>
          </w:p>
        </w:tc>
        <w:tc>
          <w:tcPr>
            <w:tcW w:w="889" w:type="dxa"/>
            <w:vAlign w:val="center"/>
          </w:tcPr>
          <w:p w14:paraId="6381EF54">
            <w:pPr>
              <w:pStyle w:val="11"/>
              <w:jc w:val="cente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台</w:t>
            </w:r>
          </w:p>
        </w:tc>
        <w:tc>
          <w:tcPr>
            <w:tcW w:w="1780" w:type="dxa"/>
            <w:vAlign w:val="center"/>
          </w:tcPr>
          <w:p w14:paraId="2FF89271">
            <w:pPr>
              <w:pStyle w:val="11"/>
              <w:jc w:val="center"/>
              <w:rPr>
                <w:rFonts w:hint="eastAsia" w:ascii="仿宋_GB2312" w:hAnsi="仿宋_GB2312" w:eastAsia="仿宋_GB2312" w:cs="仿宋_GB2312"/>
                <w:sz w:val="28"/>
                <w:szCs w:val="28"/>
                <w:lang w:val="en-US" w:eastAsia="zh-CN"/>
              </w:rPr>
            </w:pPr>
          </w:p>
        </w:tc>
        <w:tc>
          <w:tcPr>
            <w:tcW w:w="1555" w:type="dxa"/>
            <w:vAlign w:val="center"/>
          </w:tcPr>
          <w:p w14:paraId="65F612D3">
            <w:pPr>
              <w:pStyle w:val="11"/>
              <w:jc w:val="center"/>
              <w:rPr>
                <w:rFonts w:hint="eastAsia" w:ascii="仿宋_GB2312" w:hAnsi="仿宋_GB2312" w:eastAsia="仿宋_GB2312" w:cs="仿宋_GB2312"/>
                <w:sz w:val="28"/>
                <w:szCs w:val="28"/>
                <w:lang w:val="en-US" w:eastAsia="zh-CN"/>
              </w:rPr>
            </w:pPr>
          </w:p>
        </w:tc>
        <w:tc>
          <w:tcPr>
            <w:tcW w:w="1826" w:type="dxa"/>
            <w:vAlign w:val="center"/>
          </w:tcPr>
          <w:p w14:paraId="3B82A519">
            <w:pPr>
              <w:pStyle w:val="11"/>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w:t>
            </w:r>
          </w:p>
        </w:tc>
      </w:tr>
    </w:tbl>
    <w:p w14:paraId="7F90DE82">
      <w:pPr>
        <w:rPr>
          <w:rFonts w:hint="default" w:ascii="Times New Roman" w:hAnsi="Times New Roman" w:cs="Times New Roman"/>
          <w:lang w:val="en-US" w:eastAsia="zh-CN"/>
        </w:rPr>
      </w:pPr>
    </w:p>
    <w:p w14:paraId="0B99F16A">
      <w:pPr>
        <w:rPr>
          <w:rFonts w:hint="default" w:ascii="Times New Roman" w:hAnsi="Times New Roman" w:eastAsia="仿宋_GB2312" w:cs="Times New Roman"/>
          <w:kern w:val="0"/>
          <w:sz w:val="28"/>
          <w:szCs w:val="28"/>
          <w:lang w:val="en-US" w:eastAsia="zh-CN" w:bidi="ar-SA"/>
        </w:rPr>
      </w:pPr>
      <w:r>
        <w:rPr>
          <w:rFonts w:hint="eastAsia" w:ascii="Times New Roman" w:hAnsi="Times New Roman" w:eastAsia="仿宋_GB2312" w:cs="Times New Roman"/>
          <w:kern w:val="0"/>
          <w:sz w:val="28"/>
          <w:szCs w:val="28"/>
          <w:lang w:val="en-US" w:eastAsia="zh-CN" w:bidi="ar-SA"/>
        </w:rPr>
        <w:t>说明：</w:t>
      </w:r>
      <w:r>
        <w:rPr>
          <w:rFonts w:hint="default" w:ascii="Times New Roman" w:hAnsi="Times New Roman" w:eastAsia="仿宋_GB2312" w:cs="Times New Roman"/>
          <w:kern w:val="0"/>
          <w:sz w:val="28"/>
          <w:szCs w:val="28"/>
          <w:lang w:val="en-US" w:eastAsia="zh-Hans" w:bidi="ar-SA"/>
        </w:rPr>
        <w:t>报价为 “含税包干总价”，须包含且不限于：设备本体费用（办公电脑 200 台、喷墨式打印机 15 台，含原厂配件、耗材，如打印机出厂配备的一套原厂 4 色墨水）、运输费、装卸费、安装调试费、培训费、3 年原厂质保期内的维修保养费（含换件、人工）、检测报告相关费用、税费（按报价单所列税率计算）及所有因履行合同产生的间接费用。任何未列明的费用均视为已包含在报价中，采购人不再额外支付。</w:t>
      </w:r>
    </w:p>
    <w:p w14:paraId="41AAF474">
      <w:pPr>
        <w:rPr>
          <w:rFonts w:hint="default" w:ascii="Times New Roman" w:hAnsi="Times New Roman" w:eastAsia="仿宋_GB2312" w:cs="Times New Roman"/>
          <w:kern w:val="0"/>
          <w:sz w:val="20"/>
          <w:szCs w:val="20"/>
          <w:lang w:val="en-US" w:eastAsia="zh-CN" w:bidi="ar-SA"/>
        </w:rPr>
      </w:pPr>
    </w:p>
    <w:p w14:paraId="45026E02">
      <w:pPr>
        <w:rPr>
          <w:rFonts w:hint="default" w:ascii="Times New Roman" w:hAnsi="Times New Roman" w:cs="Times New Roman"/>
          <w:lang w:val="en-US" w:eastAsia="zh-CN"/>
        </w:rPr>
      </w:pPr>
    </w:p>
    <w:p w14:paraId="642E20C5">
      <w:pPr>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一、标的名称：喷墨式打印机</w:t>
      </w:r>
    </w:p>
    <w:p w14:paraId="01E41C2B">
      <w:pPr>
        <w:rPr>
          <w:rFonts w:hint="default" w:ascii="Times New Roman" w:hAnsi="Times New Roman" w:cs="Times New Roman"/>
        </w:rPr>
      </w:pPr>
    </w:p>
    <w:tbl>
      <w:tblPr>
        <w:tblStyle w:val="7"/>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96"/>
        <w:gridCol w:w="880"/>
        <w:gridCol w:w="1196"/>
        <w:gridCol w:w="6474"/>
      </w:tblGrid>
      <w:tr w14:paraId="17EDEC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16" w:type="dxa"/>
            <w:vAlign w:val="center"/>
          </w:tcPr>
          <w:p w14:paraId="1574B871">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序号</w:t>
            </w:r>
          </w:p>
        </w:tc>
        <w:tc>
          <w:tcPr>
            <w:tcW w:w="880" w:type="dxa"/>
            <w:vAlign w:val="center"/>
          </w:tcPr>
          <w:p w14:paraId="5F693562">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符号</w:t>
            </w:r>
            <w:r>
              <w:rPr>
                <w:rFonts w:hint="default" w:ascii="Times New Roman" w:hAnsi="Times New Roman" w:eastAsia="仿宋_GB2312" w:cs="Times New Roman"/>
                <w:kern w:val="0"/>
                <w:sz w:val="28"/>
                <w:szCs w:val="28"/>
                <w:lang w:val="en-US" w:eastAsia="zh-CN" w:bidi="ar-SA"/>
              </w:rPr>
              <w:t xml:space="preserve"> </w:t>
            </w:r>
            <w:r>
              <w:rPr>
                <w:rFonts w:hint="default" w:ascii="Times New Roman" w:hAnsi="Times New Roman" w:eastAsia="仿宋_GB2312" w:cs="Times New Roman"/>
                <w:kern w:val="0"/>
                <w:sz w:val="28"/>
                <w:szCs w:val="28"/>
                <w:lang w:val="en-US" w:eastAsia="zh-Hans" w:bidi="ar-SA"/>
              </w:rPr>
              <w:t>标识</w:t>
            </w:r>
          </w:p>
        </w:tc>
        <w:tc>
          <w:tcPr>
            <w:tcW w:w="1196" w:type="dxa"/>
            <w:vAlign w:val="center"/>
          </w:tcPr>
          <w:p w14:paraId="4D528EFA">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技术要求名称</w:t>
            </w:r>
          </w:p>
        </w:tc>
        <w:tc>
          <w:tcPr>
            <w:tcW w:w="6474" w:type="dxa"/>
            <w:vAlign w:val="center"/>
          </w:tcPr>
          <w:p w14:paraId="11A937BF">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技术参数与性能指标</w:t>
            </w:r>
          </w:p>
        </w:tc>
      </w:tr>
      <w:tr w14:paraId="57B4DA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jc w:val="center"/>
        </w:trPr>
        <w:tc>
          <w:tcPr>
            <w:tcW w:w="416" w:type="dxa"/>
            <w:vAlign w:val="center"/>
          </w:tcPr>
          <w:p w14:paraId="10D1DD99">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1</w:t>
            </w:r>
          </w:p>
        </w:tc>
        <w:tc>
          <w:tcPr>
            <w:tcW w:w="880" w:type="dxa"/>
            <w:vAlign w:val="center"/>
          </w:tcPr>
          <w:p w14:paraId="0F9573C1">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w:t>
            </w:r>
          </w:p>
        </w:tc>
        <w:tc>
          <w:tcPr>
            <w:tcW w:w="1196" w:type="dxa"/>
            <w:vAlign w:val="center"/>
          </w:tcPr>
          <w:p w14:paraId="62560540">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技术参数</w:t>
            </w:r>
          </w:p>
        </w:tc>
        <w:tc>
          <w:tcPr>
            <w:tcW w:w="6474" w:type="dxa"/>
          </w:tcPr>
          <w:p w14:paraId="52F4F887">
            <w:pPr>
              <w:pStyle w:val="11"/>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1.加墨式喷墨多功能一体机，支持打印、复印、扫描功能</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2.打印分辨率：≥4800*1200</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3.扫描分辨率：≥1200*600</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4.连续复印的张数：≥99张</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5.连续打印的张数：≥99张</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6.墨水瓶：4色</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7.打印速度：彩色首页打印≤16秒/单面，黑白首页打印≤9秒/单面；</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8.打印宽度≤200毫米；</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9.纸张处理：后端托盘进纸≥100张；</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10.纸张重量：普通纸：重量范围为60~105 g/m2；最大纸张重量：≤275 g/m2；高级光面照片纸II(PP-201)。</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11.对齐打印头：手动；</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12.网络：满足无线（2.4G、5G）、直连的方式</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13.扫描：扫描类型：平板；扫描方式：CIS；</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14.能效等级：1级</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15.支持云打印</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16.显示屏：点阵式中文显示屏</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17.接口：USB3.0</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18.耗材要求（出厂时配备一套适配打印机的原厂耗材）</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墨水打印量：黑色≥6000页（标准模式），≥7600页（经济模式）；彩色≥7700页</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19.签订合同前，应提供的检测报告包括：国家认可</w:t>
            </w:r>
            <w:r>
              <w:rPr>
                <w:rFonts w:hint="eastAsia" w:ascii="Times New Roman" w:hAnsi="Times New Roman" w:eastAsia="仿宋_GB2312" w:cs="Times New Roman"/>
                <w:kern w:val="0"/>
                <w:sz w:val="28"/>
                <w:szCs w:val="28"/>
                <w:lang w:val="en-US" w:eastAsia="zh-CN" w:bidi="ar-SA"/>
              </w:rPr>
              <w:t>的</w:t>
            </w:r>
            <w:r>
              <w:rPr>
                <w:rFonts w:hint="default" w:ascii="Times New Roman" w:hAnsi="Times New Roman" w:eastAsia="仿宋_GB2312" w:cs="Times New Roman"/>
                <w:kern w:val="0"/>
                <w:sz w:val="28"/>
                <w:szCs w:val="28"/>
                <w:lang w:val="en-US" w:eastAsia="zh-Hans" w:bidi="ar-SA"/>
              </w:rPr>
              <w:t>第三方检测机构出具喷墨打印机安全测试和电磁兼容测试的检测报告并附在合同附件中，无法提供的视为虚假响应，采购人有权取消</w:t>
            </w:r>
            <w:r>
              <w:rPr>
                <w:rFonts w:hint="default" w:ascii="Times New Roman" w:hAnsi="Times New Roman" w:eastAsia="仿宋_GB2312" w:cs="Times New Roman"/>
                <w:kern w:val="0"/>
                <w:sz w:val="28"/>
                <w:szCs w:val="28"/>
                <w:lang w:val="en-US" w:eastAsia="zh-CN" w:bidi="ar-SA"/>
              </w:rPr>
              <w:t>供应商成交</w:t>
            </w:r>
            <w:r>
              <w:rPr>
                <w:rFonts w:hint="default" w:ascii="Times New Roman" w:hAnsi="Times New Roman" w:eastAsia="仿宋_GB2312" w:cs="Times New Roman"/>
                <w:kern w:val="0"/>
                <w:sz w:val="28"/>
                <w:szCs w:val="28"/>
                <w:lang w:val="en-US" w:eastAsia="zh-Hans" w:bidi="ar-SA"/>
              </w:rPr>
              <w:t>资格。</w:t>
            </w:r>
          </w:p>
        </w:tc>
      </w:tr>
      <w:tr w14:paraId="00E8DA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16" w:type="dxa"/>
            <w:vAlign w:val="center"/>
          </w:tcPr>
          <w:p w14:paraId="7B9050D0">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2</w:t>
            </w:r>
          </w:p>
        </w:tc>
        <w:tc>
          <w:tcPr>
            <w:tcW w:w="880" w:type="dxa"/>
            <w:vAlign w:val="center"/>
          </w:tcPr>
          <w:p w14:paraId="3D478734">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w:t>
            </w:r>
          </w:p>
        </w:tc>
        <w:tc>
          <w:tcPr>
            <w:tcW w:w="1196" w:type="dxa"/>
            <w:vAlign w:val="center"/>
          </w:tcPr>
          <w:p w14:paraId="33C37A28">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质量及维保要求</w:t>
            </w:r>
          </w:p>
        </w:tc>
        <w:tc>
          <w:tcPr>
            <w:tcW w:w="6474" w:type="dxa"/>
          </w:tcPr>
          <w:p w14:paraId="65BD2ADF">
            <w:pPr>
              <w:pStyle w:val="11"/>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1.供应商须提供全新的未开封的原厂货物（含零部件、配件等），表面无划伤、无碰撞痕迹，且权属清楚，不得侵害他人的知识产权，供应商应承诺提供所投所有产品的质保服务为原厂服务，共计三年时间。质保期内产品正常使用下的维修、保养费用均包含在供应商本次报价中。</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2.交货后3个月内,货物制造质量出现问题，供应商应负责三包（包修、包换、包退），费用由供应商负担，采购人有权到供应商生产场地检查货物质量和生产进度。</w:t>
            </w:r>
          </w:p>
        </w:tc>
      </w:tr>
    </w:tbl>
    <w:p w14:paraId="2572D820">
      <w:pPr>
        <w:rPr>
          <w:rFonts w:hint="default" w:ascii="Times New Roman" w:hAnsi="Times New Roman" w:cs="Times New Roman"/>
        </w:rPr>
      </w:pPr>
    </w:p>
    <w:p w14:paraId="486C2D42">
      <w:pPr>
        <w:numPr>
          <w:ilvl w:val="0"/>
          <w:numId w:val="0"/>
        </w:numPr>
        <w:rPr>
          <w:rFonts w:hint="default" w:ascii="Times New Roman" w:hAnsi="Times New Roman" w:cs="Times New Roman"/>
          <w:lang w:val="en-US" w:eastAsia="zh-CN"/>
        </w:rPr>
      </w:pPr>
      <w:r>
        <w:rPr>
          <w:rFonts w:hint="default" w:ascii="Times New Roman" w:hAnsi="Times New Roman" w:eastAsia="方正小标宋简体" w:cs="Times New Roman"/>
          <w:sz w:val="44"/>
          <w:szCs w:val="44"/>
          <w:lang w:val="en-US" w:eastAsia="zh-CN"/>
        </w:rPr>
        <w:t>二、标的名称：办公电脑</w:t>
      </w:r>
    </w:p>
    <w:tbl>
      <w:tblPr>
        <w:tblStyle w:val="7"/>
        <w:tblW w:w="9893"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96"/>
        <w:gridCol w:w="816"/>
        <w:gridCol w:w="1247"/>
        <w:gridCol w:w="7334"/>
      </w:tblGrid>
      <w:tr w14:paraId="1F4737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16" w:type="dxa"/>
          </w:tcPr>
          <w:p w14:paraId="478FAF38">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序号</w:t>
            </w:r>
          </w:p>
        </w:tc>
        <w:tc>
          <w:tcPr>
            <w:tcW w:w="820" w:type="dxa"/>
          </w:tcPr>
          <w:p w14:paraId="75B55A9E">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符号</w:t>
            </w:r>
            <w:r>
              <w:rPr>
                <w:rFonts w:hint="default" w:ascii="Times New Roman" w:hAnsi="Times New Roman" w:eastAsia="仿宋_GB2312" w:cs="Times New Roman"/>
                <w:kern w:val="0"/>
                <w:sz w:val="28"/>
                <w:szCs w:val="28"/>
                <w:lang w:val="en-US" w:eastAsia="zh-CN" w:bidi="ar-SA"/>
              </w:rPr>
              <w:t xml:space="preserve">  </w:t>
            </w:r>
            <w:r>
              <w:rPr>
                <w:rFonts w:hint="default" w:ascii="Times New Roman" w:hAnsi="Times New Roman" w:eastAsia="仿宋_GB2312" w:cs="Times New Roman"/>
                <w:kern w:val="0"/>
                <w:sz w:val="28"/>
                <w:szCs w:val="28"/>
                <w:lang w:val="en-US" w:eastAsia="zh-Hans" w:bidi="ar-SA"/>
              </w:rPr>
              <w:t>标识</w:t>
            </w:r>
          </w:p>
        </w:tc>
        <w:tc>
          <w:tcPr>
            <w:tcW w:w="1256" w:type="dxa"/>
            <w:vAlign w:val="center"/>
          </w:tcPr>
          <w:p w14:paraId="7EF6313F">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技术要求</w:t>
            </w:r>
            <w:r>
              <w:rPr>
                <w:rFonts w:hint="default" w:ascii="Times New Roman" w:hAnsi="Times New Roman" w:eastAsia="仿宋_GB2312" w:cs="Times New Roman"/>
                <w:kern w:val="0"/>
                <w:sz w:val="28"/>
                <w:szCs w:val="28"/>
                <w:lang w:val="en-US" w:eastAsia="zh-CN" w:bidi="ar-SA"/>
              </w:rPr>
              <w:t xml:space="preserve">  </w:t>
            </w:r>
            <w:r>
              <w:rPr>
                <w:rFonts w:hint="default" w:ascii="Times New Roman" w:hAnsi="Times New Roman" w:eastAsia="仿宋_GB2312" w:cs="Times New Roman"/>
                <w:kern w:val="0"/>
                <w:sz w:val="28"/>
                <w:szCs w:val="28"/>
                <w:lang w:val="en-US" w:eastAsia="zh-Hans" w:bidi="ar-SA"/>
              </w:rPr>
              <w:t>名称</w:t>
            </w:r>
          </w:p>
        </w:tc>
        <w:tc>
          <w:tcPr>
            <w:tcW w:w="7401" w:type="dxa"/>
            <w:vAlign w:val="center"/>
          </w:tcPr>
          <w:p w14:paraId="01EB97E5">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技术参数与性能指标</w:t>
            </w:r>
          </w:p>
        </w:tc>
      </w:tr>
      <w:tr w14:paraId="195EE6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16" w:type="dxa"/>
            <w:vAlign w:val="center"/>
          </w:tcPr>
          <w:p w14:paraId="0769CE42">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1</w:t>
            </w:r>
          </w:p>
        </w:tc>
        <w:tc>
          <w:tcPr>
            <w:tcW w:w="820" w:type="dxa"/>
            <w:vAlign w:val="center"/>
          </w:tcPr>
          <w:p w14:paraId="2DACF393">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w:t>
            </w:r>
          </w:p>
        </w:tc>
        <w:tc>
          <w:tcPr>
            <w:tcW w:w="1256" w:type="dxa"/>
            <w:vAlign w:val="center"/>
          </w:tcPr>
          <w:p w14:paraId="2A16EE74">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技术要求</w:t>
            </w:r>
          </w:p>
        </w:tc>
        <w:tc>
          <w:tcPr>
            <w:tcW w:w="7401" w:type="dxa"/>
          </w:tcPr>
          <w:p w14:paraId="57E0CA67">
            <w:pPr>
              <w:pStyle w:val="11"/>
              <w:numPr>
                <w:ilvl w:val="0"/>
                <w:numId w:val="1"/>
              </w:numPr>
              <w:jc w:val="left"/>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技术要求</w:t>
            </w:r>
            <w:r>
              <w:rPr>
                <w:rFonts w:hint="eastAsia" w:ascii="Times New Roman" w:hAnsi="Times New Roman" w:eastAsia="仿宋_GB2312" w:cs="Times New Roman"/>
                <w:kern w:val="0"/>
                <w:sz w:val="28"/>
                <w:szCs w:val="28"/>
                <w:lang w:val="en-US" w:eastAsia="zh-CN" w:bidi="ar-SA"/>
              </w:rPr>
              <w:t>（主机）</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1.CPU类型：处理器主频≥2.6GHz，最高睿频支持≥5.0GHz，核心数≥14核，线程≥20,缓存≥24MB。</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2.主板芯片：≥B760芯片组,具备蜂鸣报警器，可根据长短音组合实现故障预警，方便维护。</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3.操作系统：原厂出厂预装正版Windows10操作系统。</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4.内存：≥16G DDR5 4800内存。</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5.硬盘：≥1T M.2 PCIe Gen4 NVMe固态硬盘。</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6.显卡：集成显卡。 </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7.机箱：容量范围为从17L至22L之间，顶置提手方便搬运，免工具开启机箱，前置可拆洗防尘网罩。</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8.</w:t>
            </w:r>
            <w:r>
              <w:rPr>
                <w:rFonts w:hint="eastAsia" w:ascii="Times New Roman" w:hAnsi="Times New Roman" w:eastAsia="仿宋_GB2312" w:cs="Times New Roman"/>
                <w:kern w:val="0"/>
                <w:sz w:val="28"/>
                <w:szCs w:val="28"/>
                <w:lang w:val="en-US" w:eastAsia="zh-CN" w:bidi="ar-SA"/>
              </w:rPr>
              <w:t>运行状态噪声声功率级≤30dB、声压级≤20dBA。</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9.电源：≥300W高效电源。</w:t>
            </w:r>
            <w:bookmarkStart w:id="0" w:name="_GoBack"/>
            <w:bookmarkEnd w:id="0"/>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10.接口：≥前置不少于4个USB3.2 Gen1 Type-A、1个USB3.2 Gen2 Type-A 、1个USB3.2 Gen2 Type-C（支持关机充电）接口，后置不少于4个USB2.0接口（含1个键盘开机接口），1个VGA 、1个 HDMI 、1个 DP共3个视频输出端口，1个串口，1个RJ-45接口。 </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11.扩展插槽：≥1个PCIe4.0 x16+1个PCIe x4+1个PCIe x1+1个PCI，≥3个M.2（其中至少2个为PCIe4.0固态硬盘接口），≥4个SATA3.0接口。</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12.音频：集成声卡，≥前2后3音频接口；网卡：1000M。</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13.BIOS：简体中文BIOS，支持端口管控。</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14.键盘鼠标：同品牌防泼溅键盘、鼠标。</w:t>
            </w:r>
            <w:r>
              <w:rPr>
                <w:rFonts w:hint="default" w:ascii="Times New Roman" w:hAnsi="Times New Roman" w:eastAsia="仿宋_GB2312" w:cs="Times New Roman"/>
                <w:kern w:val="0"/>
                <w:sz w:val="28"/>
                <w:szCs w:val="28"/>
                <w:lang w:val="en-US" w:eastAsia="zh-Hans" w:bidi="ar-SA"/>
              </w:rPr>
              <w:br w:type="textWrapping"/>
            </w:r>
            <w:r>
              <w:rPr>
                <w:rFonts w:hint="default" w:ascii="Times New Roman" w:hAnsi="Times New Roman" w:eastAsia="仿宋_GB2312" w:cs="Times New Roman"/>
                <w:kern w:val="0"/>
                <w:sz w:val="28"/>
                <w:szCs w:val="28"/>
                <w:lang w:val="en-US" w:eastAsia="zh-Hans" w:bidi="ar-SA"/>
              </w:rPr>
              <w:t xml:space="preserve"> 15.稳定性：为保障机器运行的稳定性，要求MTBF (平均无故障时间) ≥105万小时</w:t>
            </w:r>
          </w:p>
          <w:p w14:paraId="62286A79">
            <w:pPr>
              <w:pStyle w:val="11"/>
              <w:numPr>
                <w:ilvl w:val="0"/>
                <w:numId w:val="1"/>
              </w:numPr>
              <w:jc w:val="left"/>
              <w:rPr>
                <w:rFonts w:hint="default" w:ascii="Times New Roman" w:hAnsi="Times New Roman" w:eastAsia="仿宋_GB2312" w:cs="Times New Roman"/>
                <w:kern w:val="0"/>
                <w:sz w:val="28"/>
                <w:szCs w:val="28"/>
                <w:lang w:val="en-US" w:eastAsia="zh-Hans" w:bidi="ar-SA"/>
              </w:rPr>
            </w:pPr>
            <w:r>
              <w:rPr>
                <w:rFonts w:hint="eastAsia" w:ascii="Times New Roman" w:hAnsi="Times New Roman" w:eastAsia="仿宋_GB2312" w:cs="Times New Roman"/>
                <w:kern w:val="0"/>
                <w:sz w:val="28"/>
                <w:szCs w:val="28"/>
                <w:lang w:val="en-US" w:eastAsia="zh-CN" w:bidi="ar-SA"/>
              </w:rPr>
              <w:t>技术要求（显示器）</w:t>
            </w:r>
          </w:p>
          <w:p w14:paraId="1BE26F73">
            <w:pPr>
              <w:pStyle w:val="11"/>
              <w:numPr>
                <w:ilvl w:val="0"/>
                <w:numId w:val="0"/>
              </w:numPr>
              <w:ind w:leftChars="100"/>
              <w:jc w:val="left"/>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1.显示屏尺寸：23.8寸。</w:t>
            </w:r>
          </w:p>
          <w:p w14:paraId="7C2A064B">
            <w:pPr>
              <w:pStyle w:val="11"/>
              <w:numPr>
                <w:ilvl w:val="0"/>
                <w:numId w:val="0"/>
              </w:numPr>
              <w:ind w:leftChars="100"/>
              <w:jc w:val="left"/>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2.分辨率：1920x1080。</w:t>
            </w:r>
          </w:p>
          <w:p w14:paraId="3AB40286">
            <w:pPr>
              <w:pStyle w:val="11"/>
              <w:numPr>
                <w:ilvl w:val="0"/>
                <w:numId w:val="0"/>
              </w:numPr>
              <w:ind w:leftChars="100"/>
              <w:jc w:val="left"/>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3.显示屏接口：1个</w:t>
            </w:r>
            <w:r>
              <w:rPr>
                <w:rFonts w:hint="eastAsia" w:ascii="Times New Roman" w:hAnsi="Times New Roman" w:eastAsia="仿宋_GB2312" w:cs="Times New Roman"/>
                <w:kern w:val="0"/>
                <w:sz w:val="28"/>
                <w:szCs w:val="28"/>
                <w:lang w:val="en-US" w:eastAsia="zh-CN" w:bidi="ar-SA"/>
              </w:rPr>
              <w:t>V</w:t>
            </w:r>
            <w:r>
              <w:rPr>
                <w:rFonts w:hint="default" w:ascii="Times New Roman" w:hAnsi="Times New Roman" w:eastAsia="仿宋_GB2312" w:cs="Times New Roman"/>
                <w:kern w:val="0"/>
                <w:sz w:val="28"/>
                <w:szCs w:val="28"/>
                <w:lang w:val="en-US" w:eastAsia="zh-Hans" w:bidi="ar-SA"/>
              </w:rPr>
              <w:t>GA、1个HDMI、1个DP,带原厂HDM</w:t>
            </w:r>
            <w:r>
              <w:rPr>
                <w:rFonts w:hint="eastAsia" w:ascii="Times New Roman" w:hAnsi="Times New Roman" w:eastAsia="仿宋_GB2312" w:cs="Times New Roman"/>
                <w:kern w:val="0"/>
                <w:sz w:val="28"/>
                <w:szCs w:val="28"/>
                <w:lang w:val="en-US" w:eastAsia="zh-CN" w:bidi="ar-SA"/>
              </w:rPr>
              <w:t>I</w:t>
            </w:r>
            <w:r>
              <w:rPr>
                <w:rFonts w:hint="default" w:ascii="Times New Roman" w:hAnsi="Times New Roman" w:eastAsia="仿宋_GB2312" w:cs="Times New Roman"/>
                <w:kern w:val="0"/>
                <w:sz w:val="28"/>
                <w:szCs w:val="28"/>
                <w:lang w:val="en-US" w:eastAsia="zh-Hans" w:bidi="ar-SA"/>
              </w:rPr>
              <w:t>线缆。</w:t>
            </w:r>
          </w:p>
          <w:p w14:paraId="5C645FDD">
            <w:pPr>
              <w:pStyle w:val="11"/>
              <w:numPr>
                <w:ilvl w:val="0"/>
                <w:numId w:val="0"/>
              </w:numPr>
              <w:ind w:leftChars="100"/>
              <w:jc w:val="left"/>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4.刷新率：100Hz。</w:t>
            </w:r>
          </w:p>
          <w:p w14:paraId="06A2D506">
            <w:pPr>
              <w:pStyle w:val="11"/>
              <w:numPr>
                <w:ilvl w:val="0"/>
                <w:numId w:val="0"/>
              </w:numPr>
              <w:ind w:leftChars="100"/>
              <w:jc w:val="left"/>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5.对比度：4000:1.</w:t>
            </w:r>
          </w:p>
          <w:p w14:paraId="1E1B12D7">
            <w:pPr>
              <w:pStyle w:val="11"/>
              <w:numPr>
                <w:ilvl w:val="0"/>
                <w:numId w:val="0"/>
              </w:numPr>
              <w:ind w:leftChars="100"/>
              <w:jc w:val="left"/>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6.显示屏防蓝光：支持防蓝光模式。</w:t>
            </w:r>
          </w:p>
        </w:tc>
      </w:tr>
      <w:tr w14:paraId="654172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55" w:hRule="atLeast"/>
          <w:jc w:val="center"/>
        </w:trPr>
        <w:tc>
          <w:tcPr>
            <w:tcW w:w="416" w:type="dxa"/>
            <w:vAlign w:val="center"/>
          </w:tcPr>
          <w:p w14:paraId="16FD1E2F">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2</w:t>
            </w:r>
          </w:p>
        </w:tc>
        <w:tc>
          <w:tcPr>
            <w:tcW w:w="820" w:type="dxa"/>
            <w:vAlign w:val="center"/>
          </w:tcPr>
          <w:p w14:paraId="7FD16464">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w:t>
            </w:r>
          </w:p>
        </w:tc>
        <w:tc>
          <w:tcPr>
            <w:tcW w:w="1256" w:type="dxa"/>
            <w:vAlign w:val="center"/>
          </w:tcPr>
          <w:p w14:paraId="5C76C850">
            <w:pPr>
              <w:pStyle w:val="11"/>
              <w:jc w:val="center"/>
              <w:rPr>
                <w:rFonts w:hint="default" w:ascii="Times New Roman" w:hAnsi="Times New Roman" w:eastAsia="仿宋_GB2312" w:cs="Times New Roman"/>
                <w:kern w:val="0"/>
                <w:sz w:val="28"/>
                <w:szCs w:val="28"/>
                <w:lang w:val="en-US" w:eastAsia="zh-Hans" w:bidi="ar-SA"/>
              </w:rPr>
            </w:pPr>
            <w:r>
              <w:rPr>
                <w:rFonts w:hint="default" w:ascii="Times New Roman" w:hAnsi="Times New Roman" w:eastAsia="仿宋_GB2312" w:cs="Times New Roman"/>
                <w:kern w:val="0"/>
                <w:sz w:val="28"/>
                <w:szCs w:val="28"/>
                <w:lang w:val="en-US" w:eastAsia="zh-Hans" w:bidi="ar-SA"/>
              </w:rPr>
              <w:t>质量及维保要求</w:t>
            </w:r>
          </w:p>
        </w:tc>
        <w:tc>
          <w:tcPr>
            <w:tcW w:w="7401" w:type="dxa"/>
          </w:tcPr>
          <w:p w14:paraId="65D47012">
            <w:pPr>
              <w:pStyle w:val="11"/>
              <w:rPr>
                <w:rFonts w:hint="default" w:ascii="Times New Roman" w:hAnsi="Times New Roman" w:eastAsia="仿宋_GB2312" w:cs="Times New Roman"/>
                <w:kern w:val="0"/>
                <w:sz w:val="28"/>
                <w:szCs w:val="28"/>
                <w:lang w:val="en-US" w:eastAsia="zh-CN" w:bidi="ar-SA"/>
              </w:rPr>
            </w:pPr>
            <w:r>
              <w:rPr>
                <w:rFonts w:hint="default" w:ascii="Times New Roman" w:hAnsi="Times New Roman" w:eastAsia="仿宋_GB2312" w:cs="Times New Roman"/>
                <w:kern w:val="0"/>
                <w:sz w:val="28"/>
                <w:szCs w:val="28"/>
                <w:lang w:val="en-US" w:eastAsia="zh-Hans" w:bidi="ar-SA"/>
              </w:rPr>
              <w:t xml:space="preserve"> </w:t>
            </w:r>
            <w:r>
              <w:rPr>
                <w:rFonts w:hint="default" w:ascii="Times New Roman" w:hAnsi="Times New Roman" w:eastAsia="仿宋_GB2312" w:cs="Times New Roman"/>
                <w:kern w:val="0"/>
                <w:sz w:val="28"/>
                <w:szCs w:val="28"/>
                <w:lang w:val="en-US" w:eastAsia="zh-CN" w:bidi="ar-SA"/>
              </w:rPr>
              <w:t>1.质保期：自验收合格之日起算，成交供应商须为采购人提供免费售后及调试升级服务，含换件和维修应不少于3年，不接受第三方配件。</w:t>
            </w:r>
            <w:r>
              <w:rPr>
                <w:rFonts w:hint="default" w:ascii="Times New Roman" w:hAnsi="Times New Roman" w:eastAsia="仿宋_GB2312" w:cs="Times New Roman"/>
                <w:kern w:val="0"/>
                <w:sz w:val="28"/>
                <w:szCs w:val="28"/>
                <w:lang w:val="en-US" w:eastAsia="zh-CN" w:bidi="ar-SA"/>
              </w:rPr>
              <w:br w:type="textWrapping"/>
            </w:r>
            <w:r>
              <w:rPr>
                <w:rFonts w:hint="default" w:ascii="Times New Roman" w:hAnsi="Times New Roman" w:eastAsia="仿宋_GB2312" w:cs="Times New Roman"/>
                <w:kern w:val="0"/>
                <w:sz w:val="28"/>
                <w:szCs w:val="28"/>
                <w:lang w:val="en-US" w:eastAsia="zh-CN" w:bidi="ar-SA"/>
              </w:rPr>
              <w:t xml:space="preserve">  2.硬件设备如发生问题，投标人应首先采用电话技术支持及QQ远程等远端</w:t>
            </w:r>
            <w:r>
              <w:rPr>
                <w:rFonts w:hint="eastAsia" w:ascii="Times New Roman" w:hAnsi="Times New Roman" w:eastAsia="仿宋_GB2312" w:cs="Times New Roman"/>
                <w:kern w:val="0"/>
                <w:sz w:val="28"/>
                <w:szCs w:val="28"/>
                <w:lang w:val="en-US" w:eastAsia="zh-CN" w:bidi="ar-SA"/>
              </w:rPr>
              <w:t>控制</w:t>
            </w:r>
            <w:r>
              <w:rPr>
                <w:rFonts w:hint="default" w:ascii="Times New Roman" w:hAnsi="Times New Roman" w:eastAsia="仿宋_GB2312" w:cs="Times New Roman"/>
                <w:kern w:val="0"/>
                <w:sz w:val="28"/>
                <w:szCs w:val="28"/>
                <w:lang w:val="en-US" w:eastAsia="zh-CN" w:bidi="ar-SA"/>
              </w:rPr>
              <w:t>支持。设立专属客服经理（需指定专人），并提供7×24小时电话热线以及远程支持，成交供应商应在接到报修或维护的通知后立即处理。若因产品本身或成交供应商的责任，使得出现系统故障，成交供应商须在1小时内故障响应，2小时内恢复。不能通过电话或远程管理解决故障，售后技术服务团队须在2小时内到达现场进行技术支持。</w:t>
            </w:r>
            <w:r>
              <w:rPr>
                <w:rFonts w:hint="default" w:ascii="Times New Roman" w:hAnsi="Times New Roman" w:eastAsia="仿宋_GB2312" w:cs="Times New Roman"/>
                <w:kern w:val="0"/>
                <w:sz w:val="28"/>
                <w:szCs w:val="28"/>
                <w:lang w:val="en-US" w:eastAsia="zh-CN" w:bidi="ar-SA"/>
              </w:rPr>
              <w:br w:type="textWrapping"/>
            </w:r>
            <w:r>
              <w:rPr>
                <w:rFonts w:hint="default" w:ascii="Times New Roman" w:hAnsi="Times New Roman" w:eastAsia="仿宋_GB2312" w:cs="Times New Roman"/>
                <w:kern w:val="0"/>
                <w:sz w:val="28"/>
                <w:szCs w:val="28"/>
                <w:lang w:val="en-US" w:eastAsia="zh-CN" w:bidi="ar-SA"/>
              </w:rPr>
              <w:t xml:space="preserve">  3.供应商在实施过程中须充分考虑医院业务连续性问题，做好相关应急备用方案，包括但不仅限于提供备用设备、相关设备的配件更换等方式。</w:t>
            </w:r>
          </w:p>
          <w:p w14:paraId="301FD94E">
            <w:pPr>
              <w:pStyle w:val="11"/>
              <w:rPr>
                <w:rFonts w:hint="default" w:ascii="Times New Roman" w:hAnsi="Times New Roman" w:eastAsia="仿宋_GB2312" w:cs="Times New Roman"/>
                <w:kern w:val="0"/>
                <w:sz w:val="28"/>
                <w:szCs w:val="28"/>
                <w:lang w:val="en-US" w:eastAsia="zh-Hans" w:bidi="ar-SA"/>
              </w:rPr>
            </w:pPr>
          </w:p>
        </w:tc>
      </w:tr>
    </w:tbl>
    <w:p w14:paraId="3B7C6838">
      <w:pPr>
        <w:ind w:firstLine="560" w:firstLineChars="200"/>
        <w:rPr>
          <w:rFonts w:hint="default" w:ascii="Times New Roman" w:hAnsi="Times New Roman" w:eastAsia="仿宋_GB2312" w:cs="Times New Roman"/>
          <w:kern w:val="0"/>
          <w:sz w:val="28"/>
          <w:szCs w:val="28"/>
          <w:lang w:val="en-US" w:eastAsia="zh-CN" w:bidi="ar-SA"/>
        </w:rPr>
      </w:pPr>
      <w:r>
        <w:rPr>
          <w:rFonts w:hint="default" w:ascii="Times New Roman" w:hAnsi="Times New Roman" w:eastAsia="仿宋_GB2312" w:cs="Times New Roman"/>
          <w:kern w:val="0"/>
          <w:sz w:val="28"/>
          <w:szCs w:val="28"/>
          <w:lang w:val="en-US" w:eastAsia="zh-CN" w:bidi="ar-SA"/>
        </w:rPr>
        <w:t>★签订合同时，供应商应提供相应技术参数的检测报告及功能截图证明并附在合同附件中，无法提供的视为虚假响应，采购人有权取消供应商供货资格。提供的检测报告包括：</w:t>
      </w:r>
    </w:p>
    <w:p w14:paraId="69E7CC76">
      <w:pPr>
        <w:numPr>
          <w:ilvl w:val="0"/>
          <w:numId w:val="2"/>
        </w:numPr>
        <w:ind w:left="70" w:leftChars="0" w:firstLine="560" w:firstLineChars="0"/>
        <w:rPr>
          <w:rFonts w:hint="default" w:ascii="Times New Roman" w:hAnsi="Times New Roman" w:eastAsia="仿宋_GB2312" w:cs="Times New Roman"/>
          <w:kern w:val="0"/>
          <w:sz w:val="28"/>
          <w:szCs w:val="28"/>
          <w:lang w:val="en-US" w:eastAsia="zh-CN" w:bidi="ar-SA"/>
        </w:rPr>
      </w:pPr>
      <w:r>
        <w:rPr>
          <w:rFonts w:hint="default" w:ascii="Times New Roman" w:hAnsi="Times New Roman" w:eastAsia="仿宋_GB2312" w:cs="Times New Roman"/>
          <w:kern w:val="0"/>
          <w:sz w:val="28"/>
          <w:szCs w:val="28"/>
          <w:lang w:val="en-US" w:eastAsia="zh-CN" w:bidi="ar-SA"/>
        </w:rPr>
        <w:t>稳定性：为保障机器运行的稳定性，要求MTBF (平均无故障时间) ≥105万小时（提供国家认可的第三方检测佐证材料）。</w:t>
      </w:r>
    </w:p>
    <w:p w14:paraId="071D62D3">
      <w:pPr>
        <w:numPr>
          <w:ilvl w:val="0"/>
          <w:numId w:val="2"/>
        </w:numPr>
        <w:ind w:left="70" w:leftChars="0" w:firstLine="560" w:firstLineChars="0"/>
        <w:rPr>
          <w:rFonts w:hint="default" w:ascii="Times New Roman" w:hAnsi="Times New Roman" w:eastAsia="仿宋_GB2312" w:cs="Times New Roman"/>
          <w:kern w:val="0"/>
          <w:sz w:val="28"/>
          <w:szCs w:val="28"/>
          <w:lang w:val="en-US" w:eastAsia="zh-CN" w:bidi="ar-SA"/>
        </w:rPr>
      </w:pPr>
      <w:r>
        <w:rPr>
          <w:rFonts w:hint="default" w:ascii="Times New Roman" w:hAnsi="Times New Roman" w:eastAsia="仿宋_GB2312" w:cs="Times New Roman"/>
          <w:kern w:val="0"/>
          <w:sz w:val="28"/>
          <w:szCs w:val="28"/>
          <w:lang w:val="en-US" w:eastAsia="zh-CN" w:bidi="ar-SA"/>
        </w:rPr>
        <w:t>主板芯片：≥B760芯片组,</w:t>
      </w:r>
      <w:r>
        <w:rPr>
          <w:rFonts w:hint="eastAsia" w:ascii="Times New Roman" w:hAnsi="Times New Roman" w:eastAsia="仿宋_GB2312" w:cs="Times New Roman"/>
          <w:kern w:val="0"/>
          <w:sz w:val="28"/>
          <w:szCs w:val="28"/>
          <w:lang w:val="en-US" w:eastAsia="zh-CN" w:bidi="ar-SA"/>
        </w:rPr>
        <w:t xml:space="preserve"> </w:t>
      </w:r>
      <w:r>
        <w:rPr>
          <w:rFonts w:hint="default" w:ascii="Times New Roman" w:hAnsi="Times New Roman" w:eastAsia="仿宋_GB2312" w:cs="Times New Roman"/>
          <w:kern w:val="0"/>
          <w:sz w:val="28"/>
          <w:szCs w:val="28"/>
          <w:lang w:val="en-US" w:eastAsia="zh-CN" w:bidi="ar-SA"/>
        </w:rPr>
        <w:t xml:space="preserve">具备蜂鸣报警器，可根据长短音组合实现故障预警，方便维护（提供截图证明） </w:t>
      </w:r>
    </w:p>
    <w:p w14:paraId="3EE3D199">
      <w:pPr>
        <w:numPr>
          <w:ilvl w:val="0"/>
          <w:numId w:val="2"/>
        </w:numPr>
        <w:ind w:left="70" w:leftChars="0" w:firstLine="560" w:firstLineChars="0"/>
        <w:rPr>
          <w:rFonts w:hint="default" w:ascii="Times New Roman" w:hAnsi="Times New Roman" w:eastAsia="仿宋_GB2312" w:cs="Times New Roman"/>
          <w:kern w:val="0"/>
          <w:sz w:val="28"/>
          <w:szCs w:val="28"/>
          <w:lang w:val="en-US" w:eastAsia="zh-CN" w:bidi="ar-SA"/>
        </w:rPr>
      </w:pPr>
      <w:r>
        <w:rPr>
          <w:rFonts w:hint="default" w:ascii="Times New Roman" w:hAnsi="Times New Roman" w:eastAsia="仿宋_GB2312" w:cs="Times New Roman"/>
          <w:kern w:val="0"/>
          <w:sz w:val="28"/>
          <w:szCs w:val="28"/>
          <w:lang w:val="en-US" w:eastAsia="zh-CN" w:bidi="ar-SA"/>
        </w:rPr>
        <w:t>BIOS：简体中文BIOS，支持端口管控（提供截图证明）</w:t>
      </w:r>
    </w:p>
    <w:p w14:paraId="548B700B">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0F28ED32">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727157D8">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740EA608">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03633F66">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115EF419">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7B46BE6B">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2CAACFF2">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176B8C22">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73FBE134">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5117DF08">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1C9F45F4">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2CC7BB99">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201A726F">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0362CB50">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767E7ACF">
      <w:pPr>
        <w:keepNext w:val="0"/>
        <w:keepLines w:val="0"/>
        <w:pageBreakBefore w:val="0"/>
        <w:widowControl w:val="0"/>
        <w:kinsoku/>
        <w:wordWrap/>
        <w:overflowPunct/>
        <w:topLinePunct w:val="0"/>
        <w:autoSpaceDE/>
        <w:autoSpaceDN/>
        <w:bidi w:val="0"/>
        <w:adjustRightInd w:val="0"/>
        <w:snapToGrid/>
        <w:spacing w:line="576" w:lineRule="exact"/>
        <w:jc w:val="left"/>
        <w:textAlignment w:val="auto"/>
        <w:rPr>
          <w:rFonts w:hint="default" w:ascii="Times New Roman" w:hAnsi="Times New Roman" w:eastAsia="方正仿宋_GB2312" w:cs="Times New Roman"/>
          <w:kern w:val="2"/>
          <w:sz w:val="32"/>
          <w:szCs w:val="32"/>
          <w:lang w:val="en-US" w:eastAsia="zh-CN" w:bidi="ar-SA"/>
        </w:rPr>
      </w:pPr>
    </w:p>
    <w:p w14:paraId="5C55FBEC">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jc w:val="left"/>
        <w:textAlignment w:val="auto"/>
        <w:rPr>
          <w:rFonts w:hint="default" w:ascii="Times New Roman" w:hAnsi="Times New Roman" w:eastAsia="黑体" w:cs="Times New Roman"/>
          <w:kern w:val="2"/>
          <w:sz w:val="32"/>
          <w:szCs w:val="32"/>
          <w:lang w:val="en-US" w:eastAsia="zh-CN" w:bidi="ar-SA"/>
        </w:rPr>
      </w:pPr>
      <w:r>
        <w:rPr>
          <w:rFonts w:hint="default" w:ascii="Times New Roman" w:hAnsi="Times New Roman" w:eastAsia="黑体" w:cs="Times New Roman"/>
          <w:kern w:val="2"/>
          <w:sz w:val="32"/>
          <w:szCs w:val="32"/>
          <w:lang w:val="en-US" w:eastAsia="zh-CN" w:bidi="ar-SA"/>
        </w:rPr>
        <w:t xml:space="preserve">附件2 </w:t>
      </w:r>
    </w:p>
    <w:p w14:paraId="5E3A9DD0">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jc w:val="left"/>
        <w:textAlignment w:val="auto"/>
        <w:rPr>
          <w:rFonts w:hint="default" w:ascii="Times New Roman" w:hAnsi="Times New Roman" w:eastAsia="仿宋_GB2312" w:cs="Times New Roman"/>
          <w:kern w:val="2"/>
          <w:sz w:val="32"/>
          <w:szCs w:val="32"/>
          <w:lang w:val="en-US" w:eastAsia="zh-CN" w:bidi="ar-SA"/>
        </w:rPr>
      </w:pPr>
    </w:p>
    <w:p w14:paraId="3AD923CE">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jc w:val="center"/>
        <w:textAlignment w:val="auto"/>
        <w:rPr>
          <w:rFonts w:hint="default" w:ascii="Times New Roman" w:hAnsi="Times New Roman" w:eastAsia="方正小标宋简体" w:cs="Times New Roman"/>
          <w:kern w:val="2"/>
          <w:sz w:val="44"/>
          <w:szCs w:val="44"/>
          <w:lang w:val="en-US" w:eastAsia="zh-CN" w:bidi="ar-SA"/>
        </w:rPr>
      </w:pPr>
      <w:r>
        <w:rPr>
          <w:rFonts w:hint="default" w:ascii="Times New Roman" w:hAnsi="Times New Roman" w:eastAsia="方正小标宋简体" w:cs="Times New Roman"/>
          <w:kern w:val="2"/>
          <w:sz w:val="44"/>
          <w:szCs w:val="44"/>
          <w:lang w:val="en-US" w:eastAsia="zh-CN" w:bidi="ar-SA"/>
        </w:rPr>
        <w:t>供应商资质要求</w:t>
      </w:r>
    </w:p>
    <w:p w14:paraId="6EA0F9FE">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jc w:val="center"/>
        <w:textAlignment w:val="auto"/>
        <w:rPr>
          <w:rFonts w:hint="default" w:ascii="Times New Roman" w:hAnsi="Times New Roman" w:eastAsia="仿宋_GB2312" w:cs="Times New Roman"/>
          <w:kern w:val="2"/>
          <w:sz w:val="44"/>
          <w:szCs w:val="44"/>
          <w:lang w:val="en-US" w:eastAsia="zh-CN" w:bidi="ar-SA"/>
        </w:rPr>
      </w:pPr>
    </w:p>
    <w:p w14:paraId="5E195FFA">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在中国境内注册并具有独立承担民事责任的能力，公司设立并实际运营满一年期及以上；</w:t>
      </w:r>
    </w:p>
    <w:p w14:paraId="0A0A2D0E">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具有良好的商业信誉和健全的财务会计制度；​</w:t>
      </w:r>
    </w:p>
    <w:p w14:paraId="658214BE">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具有依法缴纳税收和社会保险资金的良好记录；​</w:t>
      </w:r>
    </w:p>
    <w:p w14:paraId="71F3BD7A">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具有履行合同所必需的设备和专业技术能力；​</w:t>
      </w:r>
    </w:p>
    <w:p w14:paraId="1C7B95C8">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参加本次征集活动前三年内，在经营活动中没有重大违法记录；​</w:t>
      </w:r>
    </w:p>
    <w:p w14:paraId="671AE024">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法律、行政法规规定的其他条件；​</w:t>
      </w:r>
    </w:p>
    <w:p w14:paraId="3D05B6C4">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在2022年1月1日至报名截止日期间，单位及法定代表人（经营者）不存在行贿行为；​</w:t>
      </w:r>
    </w:p>
    <w:p w14:paraId="24DA0AC9">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电脑类供应商应为生产厂家或者生产厂家授权供应商，需提供以下证明材料：​</w:t>
      </w:r>
    </w:p>
    <w:p w14:paraId="51AB5C06">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1）若为生产厂家，应提供产品品牌的《商标注册证》复印件，且《商标注册证》中的注册人应与供应商名称一致（若因工商登记信息变更导致名称不一致，需提供市场监管部门变更登记证明）；《商标注册证》核定使用商品分类应包含本次响应产品对应分类；提交材料时《商标注册证》应在有效期内，入围后需确保在项目要求工期内持续有效。​</w:t>
      </w:r>
    </w:p>
    <w:p w14:paraId="154AE8FA">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（2）若为生产厂家授权供应商，除提供上述生产厂家相关证明材料（需生产厂家加盖公章）外，还应提供授权文件复印件；​</w:t>
      </w:r>
    </w:p>
    <w:p w14:paraId="1F86F3D9">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业绩要求：​</w:t>
      </w:r>
    </w:p>
    <w:p w14:paraId="6374715A">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1）电脑类供应商：近3年（2022年1月1日至报名截止日前）至少已完成1个类似项目业绩（类似项目业绩指单项合同金额不低于75万元的计算机供应业绩，需提供合同协议书、供货完成证明材料，时间、供货类型、业绩金额以供货完成证明材料为准）；​</w:t>
      </w:r>
    </w:p>
    <w:p w14:paraId="14752A17">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（2）打印机类供应商：近3年（2022年1月1日至报名截止日前）至少已完成1个类似项目业绩（类似项目业绩指单项合同金额不低于</w:t>
      </w:r>
      <w:r>
        <w:rPr>
          <w:rFonts w:hint="eastAsia" w:ascii="Times New Roman" w:hAnsi="Times New Roman" w:eastAsia="仿宋_GB2312" w:cs="Times New Roman"/>
          <w:kern w:val="2"/>
          <w:sz w:val="32"/>
          <w:szCs w:val="32"/>
          <w:lang w:val="en-US" w:eastAsia="zh-CN" w:bidi="ar-SA"/>
        </w:rPr>
        <w:t>3万</w:t>
      </w:r>
      <w:r>
        <w:rPr>
          <w:rFonts w:hint="default" w:ascii="Times New Roman" w:hAnsi="Times New Roman" w:eastAsia="仿宋_GB2312" w:cs="Times New Roman"/>
          <w:kern w:val="2"/>
          <w:sz w:val="32"/>
          <w:szCs w:val="32"/>
          <w:lang w:val="en-US" w:eastAsia="zh-CN" w:bidi="ar-SA"/>
        </w:rPr>
        <w:t>元的打印机供应业绩，需提供合同协议书、供货完成证明材料，时间、供货类型、业绩金额以供货完成证明材料为准）；​</w:t>
      </w:r>
    </w:p>
    <w:p w14:paraId="22A45809">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不得存在以下不良状况或不良信用记录：​</w:t>
      </w:r>
    </w:p>
    <w:p w14:paraId="332BE616">
      <w:pPr>
        <w:keepNext w:val="0"/>
        <w:keepLines w:val="0"/>
        <w:pageBreakBefore w:val="0"/>
        <w:widowControl w:val="0"/>
        <w:numPr>
          <w:ilvl w:val="0"/>
          <w:numId w:val="4"/>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经查证，近3年执业过程中存在弄虚作假、恶意串通、营私舞弊等严重不诚信行为，或出具虚假或重大失实的业务报告，或因违反合同约定给委托方造成重大损失的；​</w:t>
      </w:r>
    </w:p>
    <w:p w14:paraId="1AFBC7A5">
      <w:pPr>
        <w:keepNext w:val="0"/>
        <w:keepLines w:val="0"/>
        <w:pageBreakBefore w:val="0"/>
        <w:widowControl w:val="0"/>
        <w:numPr>
          <w:ilvl w:val="0"/>
          <w:numId w:val="4"/>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分别接受利益相对方委托，就同一事项提供有利益冲突的服务的；​</w:t>
      </w:r>
    </w:p>
    <w:p w14:paraId="59BC950A">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（3）近3年内，因重大执业问题受到监管部门不良通报或禁用限制的；​</w:t>
      </w:r>
    </w:p>
    <w:p w14:paraId="4AF18016">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（4）被政府部门取消投标资格或禁止参与政府采购且处于有效期内的；​</w:t>
      </w:r>
    </w:p>
    <w:p w14:paraId="19F45A2A">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（5）被责令停业，暂扣或吊销执照，或吊销资质证书的；​</w:t>
      </w:r>
    </w:p>
    <w:p w14:paraId="5D38376D">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（6）进入清算程序，或被宣告破产，或其他丧失履约能力情形的；​</w:t>
      </w:r>
    </w:p>
    <w:p w14:paraId="592D08E0">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（7）</w:t>
      </w:r>
      <w:r>
        <w:rPr>
          <w:rFonts w:hint="default" w:ascii="Times New Roman" w:hAnsi="Times New Roman" w:eastAsia="仿宋_GB2312" w:cs="Times New Roman"/>
          <w:w w:val="97"/>
          <w:kern w:val="2"/>
          <w:sz w:val="32"/>
          <w:szCs w:val="32"/>
          <w:lang w:val="en-US" w:eastAsia="zh-CN" w:bidi="ar-SA"/>
        </w:rPr>
        <w:t>在国家企业信用信息公示系统（</w:t>
      </w:r>
      <w:r>
        <w:rPr>
          <w:rFonts w:hint="default" w:ascii="Times New Roman" w:hAnsi="Times New Roman" w:eastAsia="仿宋_GB2312" w:cs="Times New Roman"/>
          <w:w w:val="97"/>
          <w:kern w:val="2"/>
          <w:sz w:val="32"/>
          <w:szCs w:val="32"/>
          <w:lang w:val="en-US" w:eastAsia="zh-CN" w:bidi="ar-SA"/>
        </w:rPr>
        <w:fldChar w:fldCharType="begin"/>
      </w:r>
      <w:r>
        <w:rPr>
          <w:rFonts w:hint="default" w:ascii="Times New Roman" w:hAnsi="Times New Roman" w:eastAsia="仿宋_GB2312" w:cs="Times New Roman"/>
          <w:w w:val="97"/>
          <w:kern w:val="2"/>
          <w:sz w:val="32"/>
          <w:szCs w:val="32"/>
          <w:lang w:val="en-US" w:eastAsia="zh-CN" w:bidi="ar-SA"/>
        </w:rPr>
        <w:instrText xml:space="preserve"> HYPERLINK "http://www.gsxt.gov.cn/" \t "https://www.doubao.com/chat/_blank" </w:instrText>
      </w:r>
      <w:r>
        <w:rPr>
          <w:rFonts w:hint="default" w:ascii="Times New Roman" w:hAnsi="Times New Roman" w:eastAsia="仿宋_GB2312" w:cs="Times New Roman"/>
          <w:w w:val="97"/>
          <w:kern w:val="2"/>
          <w:sz w:val="32"/>
          <w:szCs w:val="32"/>
          <w:lang w:val="en-US" w:eastAsia="zh-CN" w:bidi="ar-SA"/>
        </w:rPr>
        <w:fldChar w:fldCharType="separate"/>
      </w:r>
      <w:r>
        <w:rPr>
          <w:rFonts w:hint="default" w:ascii="Times New Roman" w:hAnsi="Times New Roman" w:eastAsia="仿宋_GB2312" w:cs="Times New Roman"/>
          <w:w w:val="97"/>
          <w:kern w:val="2"/>
          <w:sz w:val="32"/>
          <w:szCs w:val="32"/>
          <w:lang w:val="en-US" w:eastAsia="zh-CN" w:bidi="ar-SA"/>
        </w:rPr>
        <w:t>http://www.gsxt.gov.cn/</w:t>
      </w:r>
      <w:r>
        <w:rPr>
          <w:rFonts w:hint="default" w:ascii="Times New Roman" w:hAnsi="Times New Roman" w:eastAsia="仿宋_GB2312" w:cs="Times New Roman"/>
          <w:w w:val="97"/>
          <w:kern w:val="2"/>
          <w:sz w:val="32"/>
          <w:szCs w:val="32"/>
          <w:lang w:val="en-US" w:eastAsia="zh-CN" w:bidi="ar-SA"/>
        </w:rPr>
        <w:fldChar w:fldCharType="end"/>
      </w:r>
      <w:r>
        <w:rPr>
          <w:rFonts w:hint="default" w:ascii="Times New Roman" w:hAnsi="Times New Roman" w:eastAsia="仿宋_GB2312" w:cs="Times New Roman"/>
          <w:w w:val="97"/>
          <w:kern w:val="2"/>
          <w:sz w:val="32"/>
          <w:szCs w:val="32"/>
          <w:lang w:val="en-US" w:eastAsia="zh-CN" w:bidi="ar-SA"/>
        </w:rPr>
        <w:t>）</w:t>
      </w:r>
      <w:r>
        <w:rPr>
          <w:rFonts w:hint="default" w:ascii="Times New Roman" w:hAnsi="Times New Roman" w:eastAsia="仿宋_GB2312" w:cs="Times New Roman"/>
          <w:kern w:val="2"/>
          <w:sz w:val="32"/>
          <w:szCs w:val="32"/>
          <w:lang w:val="en-US" w:eastAsia="zh-CN" w:bidi="ar-SA"/>
        </w:rPr>
        <w:t>中被列入严重违法失信企业名单的；​</w:t>
      </w:r>
    </w:p>
    <w:p w14:paraId="5FA9FF3E">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（8）在“信用中国” 网站（</w:t>
      </w:r>
      <w:r>
        <w:rPr>
          <w:rFonts w:hint="default" w:ascii="Times New Roman" w:hAnsi="Times New Roman" w:eastAsia="仿宋_GB2312" w:cs="Times New Roman"/>
          <w:kern w:val="2"/>
          <w:sz w:val="32"/>
          <w:szCs w:val="32"/>
          <w:lang w:val="en-US" w:eastAsia="zh-CN" w:bidi="ar-SA"/>
        </w:rPr>
        <w:fldChar w:fldCharType="begin"/>
      </w:r>
      <w:r>
        <w:rPr>
          <w:rFonts w:hint="default" w:ascii="Times New Roman" w:hAnsi="Times New Roman" w:eastAsia="仿宋_GB2312" w:cs="Times New Roman"/>
          <w:kern w:val="2"/>
          <w:sz w:val="32"/>
          <w:szCs w:val="32"/>
          <w:lang w:val="en-US" w:eastAsia="zh-CN" w:bidi="ar-SA"/>
        </w:rPr>
        <w:instrText xml:space="preserve"> HYPERLINK "http://www.creditchina.gov.cn/" \t "https://www.doubao.com/chat/_blank" </w:instrText>
      </w:r>
      <w:r>
        <w:rPr>
          <w:rFonts w:hint="default" w:ascii="Times New Roman" w:hAnsi="Times New Roman" w:eastAsia="仿宋_GB2312" w:cs="Times New Roman"/>
          <w:kern w:val="2"/>
          <w:sz w:val="32"/>
          <w:szCs w:val="32"/>
          <w:lang w:val="en-US" w:eastAsia="zh-CN" w:bidi="ar-SA"/>
        </w:rPr>
        <w:fldChar w:fldCharType="separate"/>
      </w:r>
      <w:r>
        <w:rPr>
          <w:rFonts w:hint="default" w:ascii="Times New Roman" w:hAnsi="Times New Roman" w:eastAsia="仿宋_GB2312" w:cs="Times New Roman"/>
          <w:kern w:val="2"/>
          <w:sz w:val="32"/>
          <w:szCs w:val="32"/>
          <w:lang w:val="en-US" w:eastAsia="zh-CN" w:bidi="ar-SA"/>
        </w:rPr>
        <w:t>http://www.creditchina.gov.cn/</w:t>
      </w:r>
      <w:r>
        <w:rPr>
          <w:rFonts w:hint="default" w:ascii="Times New Roman" w:hAnsi="Times New Roman" w:eastAsia="仿宋_GB2312" w:cs="Times New Roman"/>
          <w:kern w:val="2"/>
          <w:sz w:val="32"/>
          <w:szCs w:val="32"/>
          <w:lang w:val="en-US" w:eastAsia="zh-CN" w:bidi="ar-SA"/>
        </w:rPr>
        <w:fldChar w:fldCharType="end"/>
      </w:r>
      <w:r>
        <w:rPr>
          <w:rFonts w:hint="default" w:ascii="Times New Roman" w:hAnsi="Times New Roman" w:eastAsia="仿宋_GB2312" w:cs="Times New Roman"/>
          <w:kern w:val="2"/>
          <w:sz w:val="32"/>
          <w:szCs w:val="32"/>
          <w:lang w:val="en-US" w:eastAsia="zh-CN" w:bidi="ar-SA"/>
        </w:rPr>
        <w:t>）中被列入失信被执行人名单的；​</w:t>
      </w:r>
    </w:p>
    <w:p w14:paraId="3969985C">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（9）法律法规及相关规定的其他情形；​</w:t>
      </w:r>
    </w:p>
    <w:p w14:paraId="6537331A">
      <w:pPr>
        <w:keepNext w:val="0"/>
        <w:keepLines w:val="0"/>
        <w:pageBreakBefore w:val="0"/>
        <w:widowControl w:val="0"/>
        <w:numPr>
          <w:ilvl w:val="0"/>
          <w:numId w:val="3"/>
        </w:numPr>
        <w:kinsoku/>
        <w:wordWrap/>
        <w:overflowPunct/>
        <w:topLinePunct w:val="0"/>
        <w:autoSpaceDE/>
        <w:autoSpaceDN/>
        <w:bidi w:val="0"/>
        <w:adjustRightInd w:val="0"/>
        <w:snapToGrid/>
        <w:spacing w:line="576" w:lineRule="exact"/>
        <w:ind w:left="0" w:leftChars="0"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不得存在以下限制征集的情形：​</w:t>
      </w:r>
    </w:p>
    <w:p w14:paraId="11FA34A7">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（1）被责令停业的；​</w:t>
      </w:r>
    </w:p>
    <w:p w14:paraId="6A7C01BA">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 xml:space="preserve">（2）被暂停或取消投标资格、禁止参与政府采购的；​  </w:t>
      </w:r>
    </w:p>
    <w:p w14:paraId="442CA670">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（3）财产被接管或冻结的；​</w:t>
      </w:r>
    </w:p>
    <w:p w14:paraId="7705554C">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（4）最近3年内有骗取中标（成交）或严重违约的；​</w:t>
      </w:r>
    </w:p>
    <w:p w14:paraId="02913BB9">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（5）近半年内在招标、采购活动中或合同履行过程中被监督部门行政处罚的；​</w:t>
      </w:r>
    </w:p>
    <w:p w14:paraId="26E2CCD3">
      <w:pPr>
        <w:keepNext w:val="0"/>
        <w:keepLines w:val="0"/>
        <w:pageBreakBefore w:val="0"/>
        <w:widowControl w:val="0"/>
        <w:numPr>
          <w:ilvl w:val="0"/>
          <w:numId w:val="0"/>
        </w:numPr>
        <w:kinsoku/>
        <w:wordWrap/>
        <w:overflowPunct/>
        <w:topLinePunct w:val="0"/>
        <w:autoSpaceDE/>
        <w:autoSpaceDN/>
        <w:bidi w:val="0"/>
        <w:adjustRightInd w:val="0"/>
        <w:snapToGrid/>
        <w:spacing w:line="576" w:lineRule="exact"/>
        <w:ind w:firstLine="640" w:firstLineChars="200"/>
        <w:jc w:val="left"/>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（6）近3年内在招标、采购活动中或合同履行过程中有腐败行为并被司法机关认定为犯罪的。</w:t>
      </w:r>
    </w:p>
    <w:sectPr>
      <w:footerReference r:id="rId3" w:type="default"/>
      <w:pgSz w:w="11906" w:h="16838"/>
      <w:pgMar w:top="2154" w:right="1361" w:bottom="2041" w:left="147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A3EE51B-0D15-4689-B751-A9A25A0CB69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2" w:fontKey="{56753DFD-F049-40D0-A3A1-C4D337B84A34}"/>
  </w:font>
  <w:font w:name="方正小标宋简体">
    <w:panose1 w:val="03000509000000000000"/>
    <w:charset w:val="86"/>
    <w:family w:val="auto"/>
    <w:pitch w:val="default"/>
    <w:sig w:usb0="00000001" w:usb1="080E0000" w:usb2="00000000" w:usb3="00000000" w:csb0="00040000" w:csb1="00000000"/>
    <w:embedRegular r:id="rId3" w:fontKey="{C8781DA8-6F02-4110-AD65-3C125A4363E5}"/>
  </w:font>
  <w:font w:name="仿宋_GB2312">
    <w:panose1 w:val="02010609030101010101"/>
    <w:charset w:val="86"/>
    <w:family w:val="auto"/>
    <w:pitch w:val="default"/>
    <w:sig w:usb0="00000001" w:usb1="080E0000" w:usb2="00000000" w:usb3="00000000" w:csb0="00040000" w:csb1="00000000"/>
    <w:embedRegular r:id="rId4" w:fontKey="{F964354D-21A1-4315-B13B-E5B0E9E5CE00}"/>
  </w:font>
  <w:font w:name="WPSEMBED3">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80EC0">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BA370C">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BA370C">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A5B844"/>
    <w:multiLevelType w:val="singleLevel"/>
    <w:tmpl w:val="83A5B844"/>
    <w:lvl w:ilvl="0" w:tentative="0">
      <w:start w:val="1"/>
      <w:numFmt w:val="chineseCounting"/>
      <w:suff w:val="nothing"/>
      <w:lvlText w:val="%1、"/>
      <w:lvlJc w:val="left"/>
      <w:rPr>
        <w:rFonts w:hint="eastAsia"/>
      </w:rPr>
    </w:lvl>
  </w:abstractNum>
  <w:abstractNum w:abstractNumId="1">
    <w:nsid w:val="8FA3849F"/>
    <w:multiLevelType w:val="singleLevel"/>
    <w:tmpl w:val="8FA3849F"/>
    <w:lvl w:ilvl="0" w:tentative="0">
      <w:start w:val="1"/>
      <w:numFmt w:val="decimal"/>
      <w:suff w:val="nothing"/>
      <w:lvlText w:val="（%1）"/>
      <w:lvlJc w:val="left"/>
    </w:lvl>
  </w:abstractNum>
  <w:abstractNum w:abstractNumId="2">
    <w:nsid w:val="02CF29CB"/>
    <w:multiLevelType w:val="singleLevel"/>
    <w:tmpl w:val="02CF29CB"/>
    <w:lvl w:ilvl="0" w:tentative="0">
      <w:start w:val="1"/>
      <w:numFmt w:val="decimal"/>
      <w:suff w:val="nothing"/>
      <w:lvlText w:val="%1．"/>
      <w:lvlJc w:val="left"/>
      <w:pPr>
        <w:ind w:left="0" w:firstLine="400"/>
      </w:pPr>
      <w:rPr>
        <w:rFonts w:hint="default"/>
      </w:rPr>
    </w:lvl>
  </w:abstractNum>
  <w:abstractNum w:abstractNumId="3">
    <w:nsid w:val="57D29645"/>
    <w:multiLevelType w:val="singleLevel"/>
    <w:tmpl w:val="57D29645"/>
    <w:lvl w:ilvl="0" w:tentative="0">
      <w:start w:val="1"/>
      <w:numFmt w:val="decimal"/>
      <w:suff w:val="nothing"/>
      <w:lvlText w:val="%1、"/>
      <w:lvlJc w:val="left"/>
      <w:pPr>
        <w:ind w:left="70"/>
      </w:pPr>
      <w:rPr>
        <w:rFonts w:hint="default"/>
        <w:sz w:val="28"/>
        <w:szCs w:val="28"/>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361177"/>
    <w:rsid w:val="01AB3EB5"/>
    <w:rsid w:val="089B4514"/>
    <w:rsid w:val="0A7620CD"/>
    <w:rsid w:val="0B7D1FFD"/>
    <w:rsid w:val="0D6D057B"/>
    <w:rsid w:val="104906FF"/>
    <w:rsid w:val="10CF5A74"/>
    <w:rsid w:val="126E269F"/>
    <w:rsid w:val="15EB4733"/>
    <w:rsid w:val="16ED0036"/>
    <w:rsid w:val="175F6473"/>
    <w:rsid w:val="19D61256"/>
    <w:rsid w:val="1C913B5A"/>
    <w:rsid w:val="1F853634"/>
    <w:rsid w:val="20052895"/>
    <w:rsid w:val="23295A90"/>
    <w:rsid w:val="24A00DDE"/>
    <w:rsid w:val="24DE5462"/>
    <w:rsid w:val="251F61A7"/>
    <w:rsid w:val="2631651F"/>
    <w:rsid w:val="27247AA4"/>
    <w:rsid w:val="2A361177"/>
    <w:rsid w:val="2B430715"/>
    <w:rsid w:val="2E057F04"/>
    <w:rsid w:val="2ECA1E35"/>
    <w:rsid w:val="2FED0C50"/>
    <w:rsid w:val="2FED31AB"/>
    <w:rsid w:val="30295E73"/>
    <w:rsid w:val="316A07AA"/>
    <w:rsid w:val="318A5088"/>
    <w:rsid w:val="33505518"/>
    <w:rsid w:val="36174C78"/>
    <w:rsid w:val="38AF2F46"/>
    <w:rsid w:val="3CF61DD5"/>
    <w:rsid w:val="3D8250CD"/>
    <w:rsid w:val="3E155F41"/>
    <w:rsid w:val="41A35612"/>
    <w:rsid w:val="41D36D24"/>
    <w:rsid w:val="42817701"/>
    <w:rsid w:val="42FF3E34"/>
    <w:rsid w:val="445F3A72"/>
    <w:rsid w:val="44CA28A6"/>
    <w:rsid w:val="47DE7578"/>
    <w:rsid w:val="490438A5"/>
    <w:rsid w:val="4D0553D3"/>
    <w:rsid w:val="4DEE6626"/>
    <w:rsid w:val="50504BB7"/>
    <w:rsid w:val="51963298"/>
    <w:rsid w:val="53000B16"/>
    <w:rsid w:val="534529CD"/>
    <w:rsid w:val="54144CC4"/>
    <w:rsid w:val="54EA03CE"/>
    <w:rsid w:val="56FE103E"/>
    <w:rsid w:val="5AA46058"/>
    <w:rsid w:val="5C7811B4"/>
    <w:rsid w:val="5D7418B5"/>
    <w:rsid w:val="5DC42740"/>
    <w:rsid w:val="5E987E55"/>
    <w:rsid w:val="61BD341C"/>
    <w:rsid w:val="620A6B7E"/>
    <w:rsid w:val="624F5057"/>
    <w:rsid w:val="640502EF"/>
    <w:rsid w:val="64322AF9"/>
    <w:rsid w:val="66CD2AF0"/>
    <w:rsid w:val="69831701"/>
    <w:rsid w:val="6A6B466F"/>
    <w:rsid w:val="6B7721E4"/>
    <w:rsid w:val="6BED679D"/>
    <w:rsid w:val="71950224"/>
    <w:rsid w:val="72337E0B"/>
    <w:rsid w:val="72691F56"/>
    <w:rsid w:val="733D5CBE"/>
    <w:rsid w:val="74E120FE"/>
    <w:rsid w:val="75616D9B"/>
    <w:rsid w:val="7C1D466C"/>
    <w:rsid w:val="7D095941"/>
    <w:rsid w:val="7D180687"/>
    <w:rsid w:val="7DD5768F"/>
    <w:rsid w:val="7FA269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Body Text"/>
    <w:basedOn w:val="1"/>
    <w:next w:val="1"/>
    <w:qFormat/>
    <w:uiPriority w:val="1"/>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Hyperlink"/>
    <w:basedOn w:val="8"/>
    <w:qFormat/>
    <w:uiPriority w:val="0"/>
    <w:rPr>
      <w:color w:val="0000FF"/>
      <w:u w:val="single"/>
    </w:rPr>
  </w:style>
  <w:style w:type="paragraph" w:customStyle="1" w:styleId="1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1">
    <w:name w:val="null3"/>
    <w:hidden/>
    <w:qFormat/>
    <w:uiPriority w:val="0"/>
    <w:rPr>
      <w:rFonts w:hint="eastAsia" w:asciiTheme="minorHAnsi" w:hAnsiTheme="minorHAnsi" w:eastAsiaTheme="minorEastAsia" w:cstheme="minorBidi"/>
      <w:lang w:val="en-US" w:eastAsia="zh-Hans" w:bidi="ar-SA"/>
    </w:rPr>
  </w:style>
  <w:style w:type="paragraph" w:customStyle="1" w:styleId="12">
    <w:name w:val="Table Text"/>
    <w:basedOn w:val="1"/>
    <w:semiHidden/>
    <w:qFormat/>
    <w:uiPriority w:val="0"/>
    <w:rPr>
      <w:rFonts w:ascii="宋体" w:hAnsi="宋体" w:eastAsia="宋体" w:cs="宋体"/>
      <w:sz w:val="13"/>
      <w:szCs w:val="13"/>
      <w:lang w:val="en-US" w:eastAsia="en-US" w:bidi="ar-SA"/>
    </w:rPr>
  </w:style>
  <w:style w:type="table" w:customStyle="1" w:styleId="1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1451</Words>
  <Characters>1810</Characters>
  <Lines>0</Lines>
  <Paragraphs>0</Paragraphs>
  <TotalTime>0</TotalTime>
  <ScaleCrop>false</ScaleCrop>
  <LinksUpToDate>false</LinksUpToDate>
  <CharactersWithSpaces>1884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2025-05-20T05:15:00Z</dcterms:created>
  <dc:creator>熙熙的爸</dc:creator>
  <cp:lastModifiedBy>熙熙的爸</cp:lastModifiedBy>
  <dcterms:modified xsi:type="dcterms:W3CDTF">2025-09-08T03:20:50Z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AF73D29FC9E943A4B82EB8280047A3B2_13</vt:lpwstr>
  </property>
  <property fmtid="{D5CDD505-2E9C-101B-9397-08002B2CF9AE}" pid="4" name="KSOTemplateDocerSaveRecord">
    <vt:lpwstr>eyJoZGlkIjoiNmQyOTliZmUyOWZlMjQ0YmM3MTc3MGM3YjQyNjEwODciLCJ1c2VySWQiOiIxMjMzMDY4MzYyIn0=</vt:lpwstr>
  </property>
</Properties>
</file>