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20F8F">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凉山州现代房屋建筑集成制造有限公司</w:t>
      </w:r>
    </w:p>
    <w:p w14:paraId="16684A4E">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彩钢瓦，采光带采购合同</w:t>
      </w:r>
    </w:p>
    <w:p w14:paraId="47E1531F">
      <w:pPr>
        <w:snapToGrid w:val="0"/>
        <w:spacing w:line="500" w:lineRule="exact"/>
        <w:ind w:firstLine="3360" w:firstLineChars="1200"/>
        <w:rPr>
          <w:rFonts w:ascii="仿宋" w:hAnsi="仿宋" w:eastAsia="仿宋" w:cs="仿宋"/>
          <w:color w:val="000000" w:themeColor="text1"/>
          <w:sz w:val="28"/>
          <w:szCs w:val="28"/>
        </w:rPr>
      </w:pPr>
    </w:p>
    <w:p w14:paraId="5F5C10E7">
      <w:pPr>
        <w:snapToGrid w:val="0"/>
        <w:spacing w:line="500" w:lineRule="exact"/>
        <w:jc w:val="center"/>
        <w:rPr>
          <w:rFonts w:ascii="仿宋" w:hAnsi="仿宋" w:eastAsia="仿宋" w:cs="仿宋"/>
          <w:color w:val="000000" w:themeColor="text1"/>
          <w:sz w:val="28"/>
          <w:szCs w:val="28"/>
        </w:rPr>
      </w:pPr>
    </w:p>
    <w:p w14:paraId="78CAB74F">
      <w:pPr>
        <w:snapToGrid w:val="0"/>
        <w:spacing w:line="500" w:lineRule="exact"/>
        <w:jc w:val="center"/>
        <w:rPr>
          <w:rFonts w:ascii="仿宋" w:hAnsi="仿宋" w:eastAsia="仿宋" w:cs="仿宋"/>
          <w:color w:val="000000" w:themeColor="text1"/>
          <w:sz w:val="28"/>
          <w:szCs w:val="28"/>
        </w:rPr>
      </w:pPr>
    </w:p>
    <w:p w14:paraId="2559BBA9">
      <w:pPr>
        <w:snapToGrid w:val="0"/>
        <w:spacing w:line="500" w:lineRule="exact"/>
        <w:jc w:val="center"/>
        <w:rPr>
          <w:rFonts w:ascii="仿宋" w:hAnsi="仿宋" w:eastAsia="仿宋" w:cs="仿宋"/>
          <w:color w:val="000000" w:themeColor="text1"/>
          <w:sz w:val="28"/>
          <w:szCs w:val="28"/>
        </w:rPr>
      </w:pPr>
    </w:p>
    <w:p w14:paraId="546C134A">
      <w:pPr>
        <w:snapToGrid w:val="0"/>
        <w:spacing w:line="500" w:lineRule="exact"/>
        <w:jc w:val="center"/>
        <w:rPr>
          <w:rFonts w:ascii="仿宋" w:hAnsi="仿宋" w:eastAsia="仿宋" w:cs="仿宋"/>
          <w:color w:val="000000" w:themeColor="text1"/>
          <w:sz w:val="28"/>
          <w:szCs w:val="28"/>
          <w:u w:val="single"/>
        </w:rPr>
      </w:pPr>
    </w:p>
    <w:p w14:paraId="30737932">
      <w:pPr>
        <w:tabs>
          <w:tab w:val="left" w:pos="840"/>
        </w:tabs>
        <w:snapToGrid w:val="0"/>
        <w:spacing w:line="500" w:lineRule="exact"/>
        <w:jc w:val="center"/>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工程名称：凉山矿业红泥坡铜矿采选工程选厂钢结构制作项目</w:t>
      </w:r>
    </w:p>
    <w:p w14:paraId="47B88C5C">
      <w:pPr>
        <w:tabs>
          <w:tab w:val="left" w:pos="840"/>
        </w:tabs>
        <w:snapToGrid w:val="0"/>
        <w:spacing w:line="500" w:lineRule="exact"/>
        <w:rPr>
          <w:rFonts w:ascii="仿宋" w:hAnsi="仿宋" w:eastAsia="仿宋" w:cs="仿宋"/>
          <w:color w:val="000000" w:themeColor="text1"/>
          <w:sz w:val="28"/>
          <w:szCs w:val="28"/>
        </w:rPr>
      </w:pPr>
    </w:p>
    <w:p w14:paraId="3371210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031A8F90">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4E08C84D">
      <w:pPr>
        <w:tabs>
          <w:tab w:val="left" w:pos="840"/>
        </w:tabs>
        <w:snapToGrid w:val="0"/>
        <w:spacing w:line="500" w:lineRule="exact"/>
        <w:rPr>
          <w:rFonts w:ascii="仿宋" w:hAnsi="仿宋" w:eastAsia="仿宋" w:cs="仿宋"/>
          <w:color w:val="000000" w:themeColor="text1"/>
          <w:sz w:val="28"/>
          <w:szCs w:val="28"/>
        </w:rPr>
      </w:pPr>
    </w:p>
    <w:p w14:paraId="7B00CA3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5BF79DDE">
      <w:pPr>
        <w:tabs>
          <w:tab w:val="left" w:pos="840"/>
        </w:tabs>
        <w:snapToGrid w:val="0"/>
        <w:spacing w:line="500" w:lineRule="exact"/>
        <w:ind w:left="1050" w:leftChars="500" w:firstLine="560" w:firstLineChars="200"/>
        <w:rPr>
          <w:rFonts w:ascii="仿宋" w:hAnsi="仿宋" w:eastAsia="仿宋" w:cs="仿宋"/>
          <w:color w:val="000000" w:themeColor="text1"/>
          <w:sz w:val="28"/>
          <w:szCs w:val="28"/>
        </w:rPr>
      </w:pPr>
    </w:p>
    <w:p w14:paraId="39748C79">
      <w:pPr>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甲方（买方）：</w:t>
      </w:r>
      <w:r>
        <w:rPr>
          <w:rFonts w:hint="eastAsia" w:ascii="仿宋" w:hAnsi="仿宋" w:eastAsia="仿宋" w:cs="仿宋"/>
          <w:color w:val="000000" w:themeColor="text1"/>
          <w:sz w:val="28"/>
          <w:szCs w:val="28"/>
          <w:u w:val="single"/>
        </w:rPr>
        <w:t>凉山州现代房屋建筑集成制造有限公司</w:t>
      </w:r>
    </w:p>
    <w:p w14:paraId="12B52EE8">
      <w:pPr>
        <w:spacing w:line="500" w:lineRule="exact"/>
        <w:ind w:left="1890" w:leftChars="900"/>
        <w:rPr>
          <w:rFonts w:ascii="仿宋" w:hAnsi="仿宋" w:eastAsia="仿宋" w:cs="仿宋"/>
          <w:b/>
          <w:bCs/>
          <w:color w:val="000000" w:themeColor="text1"/>
          <w:sz w:val="28"/>
          <w:szCs w:val="28"/>
        </w:rPr>
      </w:pPr>
    </w:p>
    <w:p w14:paraId="33FD6643">
      <w:pPr>
        <w:spacing w:line="500" w:lineRule="exact"/>
        <w:ind w:left="1890" w:leftChars="900"/>
        <w:rPr>
          <w:rFonts w:ascii="仿宋" w:hAnsi="仿宋" w:eastAsia="仿宋" w:cs="仿宋"/>
          <w:bCs/>
          <w:color w:val="000000" w:themeColor="text1"/>
          <w:w w:val="99"/>
          <w:sz w:val="28"/>
          <w:szCs w:val="28"/>
          <w:u w:val="single"/>
        </w:rPr>
      </w:pPr>
      <w:r>
        <w:rPr>
          <w:rFonts w:hint="eastAsia" w:ascii="仿宋" w:hAnsi="仿宋" w:eastAsia="仿宋" w:cs="仿宋"/>
          <w:color w:val="000000" w:themeColor="text1"/>
          <w:sz w:val="28"/>
          <w:szCs w:val="28"/>
        </w:rPr>
        <w:t>乙方（卖方）：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p>
    <w:p w14:paraId="3ECEBC92">
      <w:pPr>
        <w:spacing w:line="500" w:lineRule="exact"/>
        <w:ind w:left="1890" w:leftChars="900" w:firstLine="1400" w:firstLineChars="500"/>
        <w:rPr>
          <w:rFonts w:ascii="仿宋" w:hAnsi="仿宋" w:eastAsia="仿宋" w:cs="仿宋"/>
          <w:color w:val="000000" w:themeColor="text1"/>
          <w:sz w:val="28"/>
          <w:szCs w:val="28"/>
          <w:u w:val="single"/>
        </w:rPr>
      </w:pPr>
    </w:p>
    <w:p w14:paraId="3FD1F7B6">
      <w:pPr>
        <w:tabs>
          <w:tab w:val="left" w:pos="840"/>
        </w:tabs>
        <w:snapToGrid w:val="0"/>
        <w:spacing w:line="500" w:lineRule="exact"/>
        <w:ind w:left="1890" w:leftChars="900"/>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签 订 时 间：</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年    月    日  </w:t>
      </w:r>
    </w:p>
    <w:p w14:paraId="4F955046">
      <w:pPr>
        <w:tabs>
          <w:tab w:val="left" w:pos="840"/>
        </w:tabs>
        <w:snapToGrid w:val="0"/>
        <w:spacing w:line="500" w:lineRule="exact"/>
        <w:ind w:left="1890" w:leftChars="900"/>
        <w:rPr>
          <w:rFonts w:ascii="仿宋" w:hAnsi="仿宋" w:eastAsia="仿宋" w:cs="仿宋"/>
          <w:color w:val="000000" w:themeColor="text1"/>
          <w:sz w:val="28"/>
          <w:szCs w:val="28"/>
          <w:u w:val="single"/>
        </w:rPr>
      </w:pPr>
    </w:p>
    <w:p w14:paraId="494D7AF6">
      <w:pPr>
        <w:tabs>
          <w:tab w:val="left" w:pos="840"/>
        </w:tabs>
        <w:snapToGrid w:val="0"/>
        <w:spacing w:line="500" w:lineRule="exact"/>
        <w:jc w:val="left"/>
        <w:rPr>
          <w:rFonts w:ascii="仿宋" w:hAnsi="仿宋" w:eastAsia="仿宋" w:cs="仿宋"/>
          <w:color w:val="000000" w:themeColor="text1"/>
          <w:sz w:val="28"/>
          <w:szCs w:val="28"/>
          <w:u w:val="single"/>
        </w:rPr>
      </w:pPr>
    </w:p>
    <w:p w14:paraId="4E384382">
      <w:pPr>
        <w:tabs>
          <w:tab w:val="left" w:pos="840"/>
        </w:tabs>
        <w:snapToGrid w:val="0"/>
        <w:spacing w:line="500" w:lineRule="exact"/>
        <w:jc w:val="center"/>
        <w:rPr>
          <w:rFonts w:ascii="仿宋" w:hAnsi="仿宋" w:eastAsia="仿宋" w:cs="仿宋"/>
          <w:color w:val="000000" w:themeColor="text1"/>
          <w:sz w:val="28"/>
          <w:szCs w:val="28"/>
          <w:u w:val="single"/>
        </w:rPr>
      </w:pPr>
    </w:p>
    <w:p w14:paraId="13314F04">
      <w:pPr>
        <w:tabs>
          <w:tab w:val="left" w:pos="840"/>
        </w:tabs>
        <w:snapToGrid w:val="0"/>
        <w:spacing w:line="500" w:lineRule="exact"/>
        <w:jc w:val="center"/>
        <w:rPr>
          <w:rFonts w:ascii="仿宋" w:hAnsi="仿宋" w:eastAsia="仿宋" w:cs="仿宋"/>
          <w:color w:val="000000" w:themeColor="text1"/>
          <w:sz w:val="28"/>
          <w:szCs w:val="28"/>
          <w:u w:val="single"/>
        </w:rPr>
      </w:pPr>
    </w:p>
    <w:p w14:paraId="01C8118A">
      <w:pPr>
        <w:tabs>
          <w:tab w:val="left" w:pos="840"/>
        </w:tabs>
        <w:snapToGrid w:val="0"/>
        <w:spacing w:line="500" w:lineRule="exact"/>
        <w:jc w:val="center"/>
        <w:rPr>
          <w:rFonts w:ascii="仿宋" w:hAnsi="仿宋" w:eastAsia="仿宋" w:cs="仿宋"/>
          <w:color w:val="000000" w:themeColor="text1"/>
          <w:sz w:val="28"/>
          <w:szCs w:val="28"/>
          <w:u w:val="single"/>
        </w:rPr>
      </w:pPr>
    </w:p>
    <w:p w14:paraId="43D984AD">
      <w:pPr>
        <w:tabs>
          <w:tab w:val="left" w:pos="840"/>
        </w:tabs>
        <w:snapToGrid w:val="0"/>
        <w:spacing w:line="500" w:lineRule="exact"/>
        <w:jc w:val="center"/>
        <w:rPr>
          <w:rFonts w:ascii="仿宋" w:hAnsi="仿宋" w:eastAsia="仿宋" w:cs="仿宋"/>
          <w:color w:val="000000" w:themeColor="text1"/>
          <w:sz w:val="28"/>
          <w:szCs w:val="28"/>
          <w:u w:val="single"/>
        </w:rPr>
      </w:pPr>
    </w:p>
    <w:p w14:paraId="356B770C">
      <w:pPr>
        <w:tabs>
          <w:tab w:val="left" w:pos="840"/>
        </w:tabs>
        <w:snapToGrid w:val="0"/>
        <w:spacing w:line="500" w:lineRule="exact"/>
        <w:rPr>
          <w:rFonts w:ascii="仿宋" w:hAnsi="仿宋" w:eastAsia="仿宋" w:cs="仿宋"/>
          <w:color w:val="000000" w:themeColor="text1"/>
          <w:sz w:val="28"/>
          <w:szCs w:val="28"/>
          <w:u w:val="single"/>
        </w:rPr>
      </w:pPr>
    </w:p>
    <w:p w14:paraId="08D07E23">
      <w:pPr>
        <w:pStyle w:val="2"/>
        <w:rPr>
          <w:rFonts w:ascii="仿宋" w:hAnsi="仿宋" w:eastAsia="仿宋" w:cs="仿宋"/>
          <w:color w:val="000000" w:themeColor="text1"/>
          <w:sz w:val="28"/>
          <w:szCs w:val="28"/>
          <w:u w:val="single"/>
        </w:rPr>
      </w:pPr>
    </w:p>
    <w:p w14:paraId="373AA6CB"/>
    <w:p w14:paraId="7DE6A983">
      <w:pPr>
        <w:snapToGrid w:val="0"/>
        <w:spacing w:line="500" w:lineRule="exact"/>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彩钢瓦，采光带材料采购合同</w:t>
      </w:r>
    </w:p>
    <w:p w14:paraId="4711D94A">
      <w:pPr>
        <w:snapToGrid w:val="0"/>
        <w:spacing w:line="500" w:lineRule="exact"/>
        <w:rPr>
          <w:rFonts w:ascii="仿宋" w:hAnsi="仿宋" w:eastAsia="仿宋" w:cs="仿宋"/>
          <w:color w:val="000000" w:themeColor="text1"/>
          <w:sz w:val="28"/>
          <w:szCs w:val="28"/>
        </w:rPr>
      </w:pPr>
    </w:p>
    <w:p w14:paraId="43725023">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甲方：</w:t>
      </w:r>
      <w:r>
        <w:rPr>
          <w:rFonts w:hint="eastAsia" w:ascii="仿宋" w:hAnsi="仿宋" w:eastAsia="仿宋" w:cs="仿宋"/>
          <w:color w:val="000000" w:themeColor="text1"/>
          <w:sz w:val="28"/>
          <w:szCs w:val="28"/>
          <w:u w:val="single"/>
        </w:rPr>
        <w:t>凉山州现代房屋建筑集成制造有限公司</w:t>
      </w:r>
      <w:r>
        <w:rPr>
          <w:rFonts w:hint="eastAsia" w:ascii="仿宋" w:hAnsi="仿宋" w:eastAsia="仿宋" w:cs="仿宋"/>
          <w:color w:val="000000" w:themeColor="text1"/>
          <w:sz w:val="28"/>
          <w:szCs w:val="28"/>
        </w:rPr>
        <w:t xml:space="preserve">  合同编号：  </w:t>
      </w:r>
    </w:p>
    <w:p w14:paraId="2630D72D">
      <w:pPr>
        <w:snapToGrid w:val="0"/>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签订地点：</w:t>
      </w:r>
    </w:p>
    <w:p w14:paraId="07C0BCD8">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依照《中华人民共和国民法典》及其它相关法律法规的规定，遵循平等、自愿、公平和诚实信用的原则，经双方协商一致，订立本合同，以资共同遵照执行。</w:t>
      </w:r>
    </w:p>
    <w:p w14:paraId="7A3CAD87">
      <w:pPr>
        <w:pStyle w:val="2"/>
      </w:pPr>
    </w:p>
    <w:p w14:paraId="4EC25B1A">
      <w:pPr>
        <w:numPr>
          <w:ilvl w:val="0"/>
          <w:numId w:val="1"/>
        </w:numPr>
        <w:spacing w:line="500" w:lineRule="exact"/>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物资描述：</w:t>
      </w:r>
    </w:p>
    <w:tbl>
      <w:tblPr>
        <w:tblStyle w:val="4"/>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3"/>
        <w:gridCol w:w="1425"/>
        <w:gridCol w:w="3624"/>
        <w:gridCol w:w="477"/>
        <w:gridCol w:w="869"/>
        <w:gridCol w:w="477"/>
        <w:gridCol w:w="477"/>
        <w:gridCol w:w="519"/>
        <w:gridCol w:w="667"/>
        <w:gridCol w:w="1097"/>
      </w:tblGrid>
      <w:tr w14:paraId="339E9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4C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5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物料名称</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2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C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21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暂估需求量</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A3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4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金额</w:t>
            </w: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F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品牌要求</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54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特别说明</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A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32862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44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E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压型屋面板</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50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屋面瓦型：YX54-410-820（180°咬合连接）；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屋面采用0.6mm厚热镀铝锌基板，正、反面公称镀锌重量≥60g/㎡，钢材的屈服强度不小于300Mpa。基板上采用20um厚高耐久性聚酯涂层。</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16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2E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605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D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61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A62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彩钢瓦甲方现场取样检测</w:t>
            </w: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6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颜色灰色，厂家提供色号供我方选择确定</w:t>
            </w:r>
          </w:p>
        </w:tc>
      </w:tr>
      <w:tr w14:paraId="1622F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F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F4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压型墙板1</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63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墙面采用0.6mm厚热镀铝锌基板，正、反面公称镀锌重量≥60g/㎡，钢材的屈服强度不小于300Mpa。基板上采用20um厚高耐久性聚酯涂层。</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0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D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16600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56381">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AF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06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99BC8">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80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25CD6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5"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A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DF5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压型墙板2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（过滤车间）</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2E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墙面瓦型：YX25-210-840型；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墙面采用0.6mm厚热镀铝锌基板，正、反面公称镀锌重量≥60g/㎡，钢材的屈服强度不小于300Mpa。基板采用高耐久性聚酯涂层，正面涂层2层,涂层厚度20μm，反面涂层1层,涂层厚度6μm。</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1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5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BE28">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5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7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B69D0">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72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7D308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B9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24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墙面采光带</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E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墙面采光带板型为YX25-210-840型；采光带采用1.5mm聚碳酸脂(PC)实心板，板材质采用抗黄变、抗老化澳洲进口树脂，透光率要求达到80%以上，抗紫外线率99%，并达到实验室高强度15000小时耐老化测试。</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0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9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CEBB">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38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89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7AFDC">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5C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颜色暂定透明色，厂家提供色号供我方选择确定</w:t>
            </w:r>
          </w:p>
        </w:tc>
      </w:tr>
      <w:tr w14:paraId="7B704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B8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E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收边件</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99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采用0.6mm厚热镀铝锌基板，正、反面公称镀锌重量≥60g/㎡；灰色</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5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4A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64F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6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A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AEF2">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4C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颜色灰色，厂家提供色号供我方选择确定</w:t>
            </w:r>
          </w:p>
        </w:tc>
      </w:tr>
      <w:tr w14:paraId="4D9D4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F0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A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收边件</w:t>
            </w:r>
          </w:p>
        </w:tc>
        <w:tc>
          <w:tcPr>
            <w:tcW w:w="3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1C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采用0.6mm厚热镀铝锌基板，正、反面公称镀锌重量≥60g/㎡；白色</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C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1467">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1E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B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9F39">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32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颜色白色，厂家提供色号供我方选择确定</w:t>
            </w:r>
          </w:p>
        </w:tc>
      </w:tr>
      <w:tr w14:paraId="6EC2D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C6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E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180°咬合连接固定支架</w:t>
            </w:r>
          </w:p>
        </w:tc>
        <w:tc>
          <w:tcPr>
            <w:tcW w:w="3624" w:type="dxa"/>
            <w:tcBorders>
              <w:top w:val="single" w:color="000000" w:sz="4" w:space="0"/>
              <w:left w:val="single" w:color="000000" w:sz="4" w:space="0"/>
              <w:bottom w:val="single" w:color="auto" w:sz="4" w:space="0"/>
              <w:right w:val="single" w:color="000000" w:sz="4" w:space="0"/>
            </w:tcBorders>
            <w:shd w:val="clear" w:color="auto" w:fill="auto"/>
            <w:vAlign w:val="center"/>
          </w:tcPr>
          <w:p w14:paraId="1D8D16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840暗扣</w:t>
            </w:r>
          </w:p>
        </w:tc>
        <w:tc>
          <w:tcPr>
            <w:tcW w:w="477" w:type="dxa"/>
            <w:tcBorders>
              <w:top w:val="single" w:color="000000" w:sz="4" w:space="0"/>
              <w:left w:val="single" w:color="000000" w:sz="4" w:space="0"/>
              <w:bottom w:val="single" w:color="auto" w:sz="4" w:space="0"/>
              <w:right w:val="single" w:color="000000" w:sz="4" w:space="0"/>
            </w:tcBorders>
            <w:shd w:val="clear" w:color="auto" w:fill="auto"/>
            <w:vAlign w:val="center"/>
          </w:tcPr>
          <w:p w14:paraId="1C863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869" w:type="dxa"/>
            <w:tcBorders>
              <w:top w:val="single" w:color="000000" w:sz="4" w:space="0"/>
              <w:left w:val="single" w:color="000000" w:sz="4" w:space="0"/>
              <w:bottom w:val="single" w:color="auto" w:sz="4" w:space="0"/>
              <w:right w:val="single" w:color="000000" w:sz="4" w:space="0"/>
            </w:tcBorders>
            <w:shd w:val="clear" w:color="auto" w:fill="auto"/>
            <w:vAlign w:val="center"/>
          </w:tcPr>
          <w:p w14:paraId="416550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14000</w:t>
            </w: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AEAD">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2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C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619A">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F8C6">
            <w:pPr>
              <w:jc w:val="center"/>
              <w:rPr>
                <w:rFonts w:hint="eastAsia" w:ascii="宋体" w:hAnsi="宋体" w:eastAsia="宋体" w:cs="宋体"/>
                <w:i w:val="0"/>
                <w:iCs w:val="0"/>
                <w:color w:val="000000"/>
                <w:sz w:val="24"/>
                <w:szCs w:val="24"/>
                <w:u w:val="none"/>
              </w:rPr>
            </w:pPr>
          </w:p>
        </w:tc>
      </w:tr>
      <w:tr w14:paraId="5BFA4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C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42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C0303A3">
            <w:pPr>
              <w:jc w:val="center"/>
              <w:rPr>
                <w:rFonts w:hint="eastAsia" w:ascii="宋体" w:hAnsi="宋体" w:eastAsia="宋体" w:cs="宋体"/>
                <w:i w:val="0"/>
                <w:iCs w:val="0"/>
                <w:color w:val="000000"/>
                <w:sz w:val="24"/>
                <w:szCs w:val="24"/>
                <w:u w:val="none"/>
              </w:rPr>
            </w:pPr>
          </w:p>
        </w:tc>
        <w:tc>
          <w:tcPr>
            <w:tcW w:w="3624" w:type="dxa"/>
            <w:tcBorders>
              <w:top w:val="single" w:color="auto" w:sz="4" w:space="0"/>
              <w:left w:val="single" w:color="auto" w:sz="4" w:space="0"/>
              <w:bottom w:val="single" w:color="auto" w:sz="4" w:space="0"/>
              <w:right w:val="single" w:color="auto" w:sz="4" w:space="0"/>
            </w:tcBorders>
            <w:shd w:val="clear" w:color="auto" w:fill="auto"/>
            <w:vAlign w:val="center"/>
          </w:tcPr>
          <w:p w14:paraId="0F039DD3">
            <w:pPr>
              <w:jc w:val="center"/>
              <w:rPr>
                <w:rFonts w:hint="eastAsia" w:ascii="宋体" w:hAnsi="宋体" w:eastAsia="宋体" w:cs="宋体"/>
                <w:i w:val="0"/>
                <w:iCs w:val="0"/>
                <w:color w:val="000000"/>
                <w:sz w:val="24"/>
                <w:szCs w:val="24"/>
                <w:u w:val="none"/>
              </w:rPr>
            </w:pPr>
          </w:p>
        </w:tc>
        <w:tc>
          <w:tcPr>
            <w:tcW w:w="477" w:type="dxa"/>
            <w:tcBorders>
              <w:top w:val="single" w:color="auto" w:sz="4" w:space="0"/>
              <w:left w:val="single" w:color="auto" w:sz="4" w:space="0"/>
              <w:bottom w:val="single" w:color="auto" w:sz="4" w:space="0"/>
              <w:right w:val="single" w:color="auto" w:sz="4" w:space="0"/>
            </w:tcBorders>
            <w:shd w:val="clear" w:color="auto" w:fill="auto"/>
            <w:vAlign w:val="center"/>
          </w:tcPr>
          <w:p w14:paraId="0F60DE4D">
            <w:pPr>
              <w:jc w:val="center"/>
              <w:rPr>
                <w:rFonts w:hint="eastAsia" w:ascii="宋体" w:hAnsi="宋体" w:eastAsia="宋体" w:cs="宋体"/>
                <w:i w:val="0"/>
                <w:iCs w:val="0"/>
                <w:color w:val="000000"/>
                <w:sz w:val="24"/>
                <w:szCs w:val="24"/>
                <w:u w:val="none"/>
              </w:rPr>
            </w:pPr>
          </w:p>
        </w:tc>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3776D6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52700</w:t>
            </w:r>
          </w:p>
        </w:tc>
        <w:tc>
          <w:tcPr>
            <w:tcW w:w="477" w:type="dxa"/>
            <w:tcBorders>
              <w:top w:val="single" w:color="000000" w:sz="4" w:space="0"/>
              <w:left w:val="single" w:color="auto" w:sz="4" w:space="0"/>
              <w:bottom w:val="single" w:color="000000" w:sz="4" w:space="0"/>
              <w:right w:val="single" w:color="000000" w:sz="4" w:space="0"/>
            </w:tcBorders>
            <w:shd w:val="clear" w:color="auto" w:fill="auto"/>
            <w:vAlign w:val="center"/>
          </w:tcPr>
          <w:p w14:paraId="29019563">
            <w:pPr>
              <w:jc w:val="center"/>
              <w:rPr>
                <w:rFonts w:hint="eastAsia" w:ascii="宋体" w:hAnsi="宋体" w:eastAsia="宋体" w:cs="宋体"/>
                <w:i w:val="0"/>
                <w:iCs w:val="0"/>
                <w:color w:val="000000"/>
                <w:sz w:val="24"/>
                <w:szCs w:val="24"/>
                <w:u w:val="none"/>
              </w:rPr>
            </w:pPr>
          </w:p>
        </w:tc>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C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EF68">
            <w:pPr>
              <w:jc w:val="center"/>
              <w:rPr>
                <w:rFonts w:hint="eastAsia" w:ascii="宋体" w:hAnsi="宋体" w:eastAsia="宋体" w:cs="宋体"/>
                <w:i w:val="0"/>
                <w:iCs w:val="0"/>
                <w:color w:val="000000"/>
                <w:sz w:val="24"/>
                <w:szCs w:val="24"/>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C524">
            <w:pPr>
              <w:jc w:val="center"/>
              <w:rPr>
                <w:rFonts w:hint="eastAsia" w:ascii="宋体" w:hAnsi="宋体" w:eastAsia="宋体" w:cs="宋体"/>
                <w:i w:val="0"/>
                <w:iCs w:val="0"/>
                <w:color w:val="000000"/>
                <w:sz w:val="24"/>
                <w:szCs w:val="24"/>
                <w:u w:val="none"/>
              </w:rPr>
            </w:pPr>
          </w:p>
        </w:tc>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8ED5">
            <w:pPr>
              <w:jc w:val="center"/>
              <w:rPr>
                <w:rFonts w:hint="eastAsia" w:ascii="宋体" w:hAnsi="宋体" w:eastAsia="宋体" w:cs="宋体"/>
                <w:i w:val="0"/>
                <w:iCs w:val="0"/>
                <w:color w:val="000000"/>
                <w:sz w:val="24"/>
                <w:szCs w:val="24"/>
                <w:u w:val="none"/>
              </w:rPr>
            </w:pPr>
          </w:p>
        </w:tc>
      </w:tr>
      <w:tr w14:paraId="0B81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25"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734D">
            <w:pPr>
              <w:jc w:val="left"/>
              <w:rPr>
                <w:rFonts w:hint="eastAsia" w:ascii="宋体" w:hAnsi="宋体" w:eastAsia="宋体" w:cs="宋体"/>
                <w:i w:val="0"/>
                <w:iCs w:val="0"/>
                <w:color w:val="000000"/>
                <w:sz w:val="24"/>
                <w:szCs w:val="24"/>
                <w:u w:val="none"/>
              </w:rPr>
            </w:pPr>
            <w:r>
              <w:rPr>
                <w:rFonts w:hint="eastAsia" w:ascii="宋体" w:hAnsi="宋体" w:cs="宋体"/>
                <w:b/>
                <w:bCs/>
                <w:color w:val="000000"/>
                <w:kern w:val="0"/>
                <w:sz w:val="24"/>
              </w:rPr>
              <w:t>大写金额：</w:t>
            </w:r>
          </w:p>
        </w:tc>
      </w:tr>
      <w:tr w14:paraId="3D1F5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325"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D818">
            <w:pPr>
              <w:rPr>
                <w:rFonts w:ascii="宋体" w:hAnsi="宋体" w:cs="宋体"/>
                <w:b/>
                <w:bCs/>
                <w:color w:val="000000"/>
                <w:kern w:val="0"/>
                <w:sz w:val="24"/>
              </w:rPr>
            </w:pPr>
            <w:r>
              <w:rPr>
                <w:rFonts w:hint="eastAsia" w:ascii="宋体" w:hAnsi="宋体" w:cs="宋体"/>
                <w:b/>
                <w:bCs/>
                <w:color w:val="000000"/>
                <w:kern w:val="0"/>
                <w:sz w:val="24"/>
              </w:rPr>
              <w:t>注：1、以上为暂定数量，以实际签收数量为准进行</w:t>
            </w:r>
            <w:bookmarkStart w:id="0" w:name="_GoBack"/>
            <w:bookmarkEnd w:id="0"/>
            <w:r>
              <w:rPr>
                <w:rFonts w:hint="eastAsia" w:ascii="宋体" w:hAnsi="宋体" w:cs="宋体"/>
                <w:b/>
                <w:bCs/>
                <w:color w:val="000000"/>
                <w:kern w:val="0"/>
                <w:sz w:val="24"/>
              </w:rPr>
              <w:t>结算</w:t>
            </w:r>
          </w:p>
          <w:p w14:paraId="266A8A04">
            <w:pPr>
              <w:rPr>
                <w:rFonts w:ascii="宋体" w:hAnsi="宋体" w:cs="宋体"/>
                <w:b/>
                <w:bCs/>
                <w:color w:val="000000"/>
                <w:kern w:val="0"/>
                <w:sz w:val="24"/>
              </w:rPr>
            </w:pPr>
            <w:r>
              <w:rPr>
                <w:rFonts w:hint="eastAsia" w:ascii="宋体" w:hAnsi="宋体" w:cs="宋体"/>
                <w:b/>
                <w:bCs/>
                <w:color w:val="000000"/>
                <w:kern w:val="0"/>
                <w:sz w:val="24"/>
              </w:rPr>
              <w:t>2、本次报价含13%税，含运费，含现场压瓦费用。</w:t>
            </w:r>
          </w:p>
          <w:p w14:paraId="60B05303">
            <w:pPr>
              <w:jc w:val="both"/>
              <w:rPr>
                <w:rFonts w:hint="eastAsia" w:ascii="宋体" w:hAnsi="宋体" w:eastAsia="宋体" w:cs="宋体"/>
                <w:i w:val="0"/>
                <w:iCs w:val="0"/>
                <w:color w:val="000000"/>
                <w:sz w:val="24"/>
                <w:szCs w:val="24"/>
                <w:u w:val="none"/>
              </w:rPr>
            </w:pPr>
            <w:r>
              <w:rPr>
                <w:rFonts w:hint="eastAsia" w:ascii="宋体" w:hAnsi="宋体" w:cs="宋体"/>
                <w:b/>
                <w:bCs/>
                <w:color w:val="000000"/>
                <w:kern w:val="0"/>
                <w:sz w:val="24"/>
                <w:lang w:val="en-US" w:eastAsia="zh-CN"/>
              </w:rPr>
              <w:t>3、</w:t>
            </w:r>
            <w:r>
              <w:rPr>
                <w:rFonts w:hint="eastAsia" w:ascii="宋体" w:hAnsi="宋体" w:cs="宋体"/>
                <w:b/>
                <w:bCs/>
                <w:color w:val="000000"/>
                <w:kern w:val="0"/>
                <w:sz w:val="24"/>
              </w:rPr>
              <w:t>付款方式：货到现场，验收合格，开具发票后7个工作日内付清全款。</w:t>
            </w:r>
          </w:p>
        </w:tc>
      </w:tr>
    </w:tbl>
    <w:p w14:paraId="1C409ED4">
      <w:pPr>
        <w:numPr>
          <w:ilvl w:val="0"/>
          <w:numId w:val="0"/>
        </w:numPr>
        <w:spacing w:line="500" w:lineRule="exact"/>
        <w:rPr>
          <w:rFonts w:ascii="仿宋" w:hAnsi="仿宋" w:eastAsia="仿宋" w:cs="仿宋"/>
          <w:b/>
          <w:color w:val="000000" w:themeColor="text1"/>
          <w:kern w:val="0"/>
          <w:sz w:val="28"/>
          <w:szCs w:val="28"/>
        </w:rPr>
      </w:pPr>
    </w:p>
    <w:p w14:paraId="10875A6E">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二、物资技术质量要求</w:t>
      </w:r>
      <w:r>
        <w:rPr>
          <w:rFonts w:hint="eastAsia" w:ascii="仿宋" w:hAnsi="仿宋" w:eastAsia="仿宋" w:cs="仿宋"/>
          <w:color w:val="000000" w:themeColor="text1"/>
          <w:sz w:val="28"/>
          <w:szCs w:val="28"/>
        </w:rPr>
        <w:t>：</w:t>
      </w:r>
    </w:p>
    <w:p w14:paraId="3E30AE9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乙方提供的物资必须符合现行国家标准的要求，乙方提供的随货附带材质证明书和合格证书以及甲方明确要求的质量证明资料，并且资料应加盖乙方公章。</w:t>
      </w:r>
    </w:p>
    <w:p w14:paraId="743B84E0">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三、交货时间和地点：</w:t>
      </w:r>
    </w:p>
    <w:p w14:paraId="51DB0D42">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3.1交货时间：合同签订日起，</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rPr>
        <w:t>日内开始供货</w:t>
      </w:r>
    </w:p>
    <w:p w14:paraId="7A4DF378">
      <w:pPr>
        <w:snapToGrid w:val="0"/>
        <w:spacing w:line="500" w:lineRule="exact"/>
        <w:ind w:firstLine="560" w:firstLineChars="200"/>
        <w:rPr>
          <w:rFonts w:hint="eastAsia" w:ascii="仿宋" w:hAnsi="仿宋" w:eastAsia="仿宋" w:cs="仿宋"/>
          <w:color w:val="000000" w:themeColor="text1"/>
          <w:sz w:val="28"/>
          <w:szCs w:val="28"/>
          <w:u w:val="single"/>
          <w:lang w:val="en-US" w:eastAsia="zh-CN"/>
        </w:rPr>
      </w:pPr>
      <w:r>
        <w:rPr>
          <w:rFonts w:hint="eastAsia" w:ascii="仿宋" w:hAnsi="仿宋" w:eastAsia="仿宋" w:cs="仿宋"/>
          <w:color w:val="000000" w:themeColor="text1"/>
          <w:sz w:val="28"/>
          <w:szCs w:val="28"/>
        </w:rPr>
        <w:t>3.2指定收货人：</w:t>
      </w:r>
      <w:r>
        <w:rPr>
          <w:rFonts w:hint="eastAsia" w:ascii="仿宋" w:hAnsi="仿宋" w:eastAsia="仿宋" w:cs="仿宋"/>
          <w:color w:val="000000" w:themeColor="text1"/>
          <w:sz w:val="28"/>
          <w:szCs w:val="28"/>
          <w:u w:val="single"/>
          <w:lang w:val="en-US" w:eastAsia="zh-CN"/>
        </w:rPr>
        <w:t xml:space="preserve">                              </w:t>
      </w:r>
    </w:p>
    <w:p w14:paraId="1843D8A0">
      <w:pPr>
        <w:snapToGrid w:val="0"/>
        <w:spacing w:line="500" w:lineRule="exact"/>
        <w:ind w:firstLine="560" w:firstLineChars="20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3.3交货地点：会理市绿水镇红泥坡项目部</w:t>
      </w:r>
    </w:p>
    <w:p w14:paraId="04B370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3.4乙方出具的出库单、送料单或提货单上的数量必须与实际送货数量相符，否则甲方有权拒收材料。</w:t>
      </w:r>
    </w:p>
    <w:p w14:paraId="64B5B77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3.5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7FCD20E3">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bCs/>
          <w:color w:val="000000" w:themeColor="text1"/>
          <w:sz w:val="28"/>
          <w:szCs w:val="28"/>
        </w:rPr>
        <w:t>3.6</w:t>
      </w:r>
      <w:r>
        <w:rPr>
          <w:rFonts w:hint="eastAsia" w:ascii="仿宋" w:hAnsi="仿宋" w:eastAsia="仿宋" w:cs="仿宋"/>
          <w:color w:val="000000" w:themeColor="text1"/>
          <w:sz w:val="28"/>
          <w:szCs w:val="28"/>
        </w:rPr>
        <w:t>交货时，乙方应随货提供符合产品要求的质量证明资料（包括但不限于产品的合格证、检测报告），需加盖乙方公章。未提供符合要求的质量证明材料的，甲方可拒绝收货。</w:t>
      </w:r>
    </w:p>
    <w:p w14:paraId="08F23105">
      <w:pPr>
        <w:numPr>
          <w:ilvl w:val="0"/>
          <w:numId w:val="2"/>
        </w:num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运输方式、装卸等费用负担：</w:t>
      </w:r>
    </w:p>
    <w:p w14:paraId="1A7A4E57">
      <w:pPr>
        <w:spacing w:line="500" w:lineRule="exact"/>
        <w:rPr>
          <w:rFonts w:ascii="仿宋" w:hAnsi="仿宋" w:eastAsia="仿宋" w:cs="仿宋"/>
          <w:b/>
          <w:color w:val="000000" w:themeColor="text1"/>
          <w:sz w:val="28"/>
          <w:szCs w:val="28"/>
        </w:rPr>
      </w:pPr>
      <w:r>
        <w:rPr>
          <w:rFonts w:hint="eastAsia" w:ascii="仿宋" w:hAnsi="仿宋" w:eastAsia="仿宋" w:cs="仿宋"/>
          <w:bCs/>
          <w:color w:val="000000" w:themeColor="text1"/>
          <w:sz w:val="28"/>
          <w:szCs w:val="28"/>
        </w:rPr>
        <w:t xml:space="preserve"> 4.1运输、装卸费用采用以下</w:t>
      </w:r>
      <w:r>
        <w:rPr>
          <w:rFonts w:hint="eastAsia" w:ascii="仿宋" w:hAnsi="仿宋" w:eastAsia="仿宋" w:cs="仿宋"/>
          <w:bCs/>
          <w:color w:val="000000" w:themeColor="text1"/>
          <w:sz w:val="28"/>
          <w:szCs w:val="28"/>
          <w:u w:val="single"/>
        </w:rPr>
        <w:t xml:space="preserve">第  </w:t>
      </w:r>
      <w:r>
        <w:rPr>
          <w:rFonts w:hint="eastAsia" w:ascii="仿宋" w:hAnsi="仿宋" w:eastAsia="仿宋" w:cs="仿宋"/>
          <w:color w:val="000000" w:themeColor="text1"/>
          <w:sz w:val="28"/>
          <w:szCs w:val="28"/>
          <w:u w:val="single"/>
        </w:rPr>
        <w:t>4.1.2</w:t>
      </w:r>
      <w:r>
        <w:rPr>
          <w:rFonts w:hint="eastAsia" w:ascii="仿宋" w:hAnsi="仿宋" w:eastAsia="仿宋" w:cs="仿宋"/>
          <w:bCs/>
          <w:color w:val="000000" w:themeColor="text1"/>
          <w:sz w:val="28"/>
          <w:szCs w:val="28"/>
          <w:u w:val="single"/>
        </w:rPr>
        <w:t xml:space="preserve">   种</w:t>
      </w:r>
      <w:r>
        <w:rPr>
          <w:rFonts w:hint="eastAsia" w:ascii="仿宋" w:hAnsi="仿宋" w:eastAsia="仿宋" w:cs="仿宋"/>
          <w:bCs/>
          <w:color w:val="000000" w:themeColor="text1"/>
          <w:sz w:val="28"/>
          <w:szCs w:val="28"/>
        </w:rPr>
        <w:t>方式：</w:t>
      </w:r>
    </w:p>
    <w:p w14:paraId="384B8F33">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4.1.1由乙方组织运输并承担运输费用并承担上车下车费用。乙方所承担费用已包含在合同单价内，不另行计算。</w:t>
      </w:r>
    </w:p>
    <w:p w14:paraId="768C465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4.1.2由乙方组织运输并承担运输费用并承担上车费用，货到甲方指定地点后，由甲方派人下车并自行承担下车费用。乙方所承担费用已包含在合同单价内，不另行计算。</w:t>
      </w:r>
    </w:p>
    <w:p w14:paraId="379B190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4.1.3 由乙方组织运输并承担上车费用，货到甲方指定收货地点，由甲方承担运输费及下车费用。乙方所承担费用已包含在合同单价内，不另行计算。</w:t>
      </w:r>
    </w:p>
    <w:p w14:paraId="688B70DA">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五、物资验收标准、方法及表面质量异议期限</w:t>
      </w:r>
      <w:r>
        <w:rPr>
          <w:rFonts w:hint="eastAsia" w:ascii="仿宋" w:hAnsi="仿宋" w:eastAsia="仿宋" w:cs="仿宋"/>
          <w:color w:val="000000" w:themeColor="text1"/>
          <w:sz w:val="28"/>
          <w:szCs w:val="28"/>
        </w:rPr>
        <w:t>：</w:t>
      </w:r>
    </w:p>
    <w:p w14:paraId="616219D1">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5.1</w:t>
      </w:r>
      <w:r>
        <w:rPr>
          <w:rFonts w:hint="eastAsia" w:ascii="仿宋" w:hAnsi="仿宋" w:eastAsia="仿宋" w:cs="仿宋"/>
          <w:bCs/>
          <w:color w:val="000000" w:themeColor="text1"/>
          <w:sz w:val="28"/>
          <w:szCs w:val="28"/>
        </w:rPr>
        <w:t>甲方指定的收货人仅为对数量和表面质量的初步收货，若在收货人签收后，</w:t>
      </w:r>
      <w:r>
        <w:rPr>
          <w:rFonts w:hint="eastAsia" w:ascii="仿宋" w:hAnsi="仿宋" w:eastAsia="仿宋" w:cs="仿宋"/>
          <w:color w:val="000000" w:themeColor="text1"/>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12070E2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5.2甲方提出表面质量异议的期限为收货后15天之内。</w:t>
      </w:r>
    </w:p>
    <w:p w14:paraId="017CFF1A">
      <w:pPr>
        <w:numPr>
          <w:ilvl w:val="0"/>
          <w:numId w:val="3"/>
        </w:numPr>
        <w:spacing w:line="500" w:lineRule="exact"/>
        <w:jc w:val="lef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货款结算方式</w:t>
      </w:r>
      <w:r>
        <w:rPr>
          <w:rFonts w:hint="eastAsia" w:ascii="仿宋" w:hAnsi="仿宋" w:eastAsia="仿宋" w:cs="仿宋"/>
          <w:b/>
          <w:bCs/>
          <w:color w:val="000000" w:themeColor="text1"/>
          <w:sz w:val="28"/>
          <w:szCs w:val="28"/>
        </w:rPr>
        <w:t>及</w:t>
      </w:r>
      <w:r>
        <w:rPr>
          <w:rFonts w:hint="eastAsia" w:ascii="仿宋" w:hAnsi="仿宋" w:eastAsia="仿宋" w:cs="仿宋"/>
          <w:b/>
          <w:color w:val="000000" w:themeColor="text1"/>
          <w:sz w:val="28"/>
          <w:szCs w:val="28"/>
        </w:rPr>
        <w:t>支付方式</w:t>
      </w:r>
    </w:p>
    <w:p w14:paraId="2F802123">
      <w:pPr>
        <w:snapToGrid w:val="0"/>
        <w:spacing w:line="600" w:lineRule="exact"/>
        <w:ind w:firstLine="562"/>
        <w:rPr>
          <w:rFonts w:ascii="仿宋" w:hAnsi="仿宋" w:eastAsia="仿宋" w:cs="仿宋"/>
          <w:bCs/>
          <w:strike/>
          <w:color w:val="000000" w:themeColor="text1"/>
          <w:sz w:val="28"/>
          <w:szCs w:val="28"/>
        </w:rPr>
      </w:pPr>
      <w:r>
        <w:rPr>
          <w:rFonts w:hint="eastAsia" w:ascii="仿宋" w:hAnsi="仿宋" w:eastAsia="仿宋" w:cs="仿宋"/>
          <w:bCs/>
          <w:color w:val="000000" w:themeColor="text1"/>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40EFD09B">
      <w:pPr>
        <w:snapToGrid w:val="0"/>
        <w:spacing w:line="500" w:lineRule="exact"/>
        <w:textAlignment w:val="baseline"/>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 xml:space="preserve">    6.2结算</w:t>
      </w:r>
      <w:r>
        <w:rPr>
          <w:rFonts w:hint="eastAsia" w:ascii="仿宋" w:hAnsi="仿宋" w:eastAsia="仿宋" w:cs="仿宋"/>
          <w:bCs/>
          <w:color w:val="000000" w:themeColor="text1"/>
          <w:sz w:val="28"/>
          <w:szCs w:val="28"/>
        </w:rPr>
        <w:t>方式：货到现场，验收合格，开具发票后</w:t>
      </w:r>
      <w:r>
        <w:rPr>
          <w:rFonts w:hint="eastAsia" w:ascii="仿宋" w:hAnsi="仿宋" w:eastAsia="仿宋" w:cs="仿宋"/>
          <w:bCs/>
          <w:color w:val="000000" w:themeColor="text1"/>
          <w:sz w:val="28"/>
          <w:szCs w:val="28"/>
          <w:highlight w:val="none"/>
          <w:u w:val="single"/>
          <w:lang w:val="en-US" w:eastAsia="zh-CN"/>
        </w:rPr>
        <w:t xml:space="preserve"> 7 </w:t>
      </w:r>
      <w:r>
        <w:rPr>
          <w:rFonts w:hint="eastAsia" w:ascii="仿宋" w:hAnsi="仿宋" w:eastAsia="仿宋" w:cs="仿宋"/>
          <w:bCs/>
          <w:color w:val="000000" w:themeColor="text1"/>
          <w:sz w:val="28"/>
          <w:szCs w:val="28"/>
        </w:rPr>
        <w:t>个工作日内付清全款。</w:t>
      </w:r>
    </w:p>
    <w:p w14:paraId="529B1EC1">
      <w:pPr>
        <w:snapToGrid w:val="0"/>
        <w:spacing w:line="500" w:lineRule="exact"/>
        <w:ind w:firstLine="560" w:firstLineChars="200"/>
        <w:textAlignment w:val="baseline"/>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6.3双方同意采用转帐方式支付货款。</w:t>
      </w:r>
    </w:p>
    <w:p w14:paraId="619F7B1B">
      <w:pPr>
        <w:snapToGrid w:val="0"/>
        <w:spacing w:line="500" w:lineRule="exact"/>
        <w:ind w:firstLine="562" w:firstLineChars="200"/>
        <w:textAlignment w:val="baseline"/>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6.4若乙方未提前开具足额增值税专用发票，则甲方可拒绝付款，并不承担违约责任。</w:t>
      </w:r>
    </w:p>
    <w:p w14:paraId="43EC056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七、质保</w:t>
      </w:r>
    </w:p>
    <w:p w14:paraId="0FF8511C">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从乙方质保金内扣除。乙方放弃对维修费、维修主体等真实性、合法性抗辩，对此不持任何异议，不足以抵扣的，乙方还应向甲方补足差额。</w:t>
      </w:r>
    </w:p>
    <w:p w14:paraId="0023B198">
      <w:pPr>
        <w:spacing w:line="500" w:lineRule="exact"/>
        <w:ind w:firstLine="562" w:firstLineChars="20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八、违约责任</w:t>
      </w:r>
      <w:r>
        <w:rPr>
          <w:rFonts w:hint="eastAsia" w:ascii="仿宋" w:hAnsi="仿宋" w:eastAsia="仿宋" w:cs="仿宋"/>
          <w:color w:val="000000" w:themeColor="text1"/>
          <w:sz w:val="28"/>
          <w:szCs w:val="28"/>
        </w:rPr>
        <w:t>：</w:t>
      </w:r>
    </w:p>
    <w:p w14:paraId="13148059">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8.1乙方逾期交货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向甲方支付合同总额</w:t>
      </w:r>
      <w:r>
        <w:rPr>
          <w:rFonts w:hint="eastAsia" w:ascii="仿宋" w:hAnsi="仿宋" w:eastAsia="仿宋" w:cs="仿宋"/>
          <w:color w:val="000000" w:themeColor="text1"/>
          <w:sz w:val="28"/>
          <w:szCs w:val="28"/>
          <w:u w:val="single"/>
        </w:rPr>
        <w:t xml:space="preserve"> 万分之三 </w:t>
      </w:r>
      <w:r>
        <w:rPr>
          <w:rFonts w:hint="eastAsia" w:ascii="仿宋" w:hAnsi="仿宋" w:eastAsia="仿宋" w:cs="仿宋"/>
          <w:color w:val="000000" w:themeColor="text1"/>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逾期交货超过</w:t>
      </w:r>
      <w:r>
        <w:rPr>
          <w:rFonts w:hint="eastAsia" w:ascii="仿宋" w:hAnsi="仿宋" w:eastAsia="仿宋" w:cs="仿宋"/>
          <w:color w:val="000000" w:themeColor="text1"/>
          <w:sz w:val="28"/>
          <w:szCs w:val="28"/>
          <w:u w:val="single"/>
        </w:rPr>
        <w:t xml:space="preserve"> 7 </w:t>
      </w:r>
      <w:r>
        <w:rPr>
          <w:rFonts w:hint="eastAsia" w:ascii="仿宋" w:hAnsi="仿宋" w:eastAsia="仿宋" w:cs="仿宋"/>
          <w:color w:val="000000" w:themeColor="text1"/>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甲方有权解除合同并要求乙方支付合同金额的</w:t>
      </w:r>
      <w:r>
        <w:rPr>
          <w:rFonts w:hint="eastAsia" w:ascii="仿宋" w:hAnsi="仿宋" w:eastAsia="仿宋" w:cs="仿宋"/>
          <w:color w:val="000000" w:themeColor="text1"/>
          <w:sz w:val="28"/>
          <w:szCs w:val="28"/>
          <w:u w:val="single"/>
        </w:rPr>
        <w:t xml:space="preserve"> 5 </w:t>
      </w:r>
      <w:r>
        <w:rPr>
          <w:rFonts w:hint="eastAsia" w:ascii="仿宋" w:hAnsi="仿宋" w:eastAsia="仿宋" w:cs="仿宋"/>
          <w:color w:val="000000" w:themeColor="text1"/>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p>
    <w:p w14:paraId="4BC1E80A">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8.2因乙方逾期交货或因产品质量原因给甲方造成的所有损失均由乙方承担。</w:t>
      </w:r>
    </w:p>
    <w:p w14:paraId="6E9F73A5">
      <w:pPr>
        <w:snapToGri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color w:val="000000" w:themeColor="text1"/>
          <w:sz w:val="28"/>
          <w:szCs w:val="28"/>
        </w:rPr>
        <w:t>，</w:t>
      </w:r>
      <w:r>
        <w:rPr>
          <w:rFonts w:hint="eastAsia" w:ascii="仿宋" w:hAnsi="仿宋" w:eastAsia="仿宋" w:cs="仿宋"/>
          <w:color w:val="000000" w:themeColor="text1"/>
          <w:sz w:val="28"/>
          <w:szCs w:val="28"/>
        </w:rPr>
        <w:fldChar w:fldCharType="end"/>
      </w:r>
      <w:r>
        <w:rPr>
          <w:rFonts w:hint="eastAsia" w:ascii="仿宋" w:hAnsi="仿宋" w:eastAsia="仿宋" w:cs="仿宋"/>
          <w:color w:val="000000" w:themeColor="text1"/>
          <w:sz w:val="28"/>
          <w:szCs w:val="28"/>
        </w:rPr>
        <w:t>甲方有权拒收货物，由此造成的损失由乙方自行承担。</w:t>
      </w:r>
    </w:p>
    <w:p w14:paraId="69CB5CF3">
      <w:pPr>
        <w:spacing w:line="50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九、解决合同纠纷方式</w:t>
      </w:r>
      <w:r>
        <w:rPr>
          <w:rFonts w:hint="eastAsia" w:ascii="仿宋" w:hAnsi="仿宋" w:eastAsia="仿宋" w:cs="仿宋"/>
          <w:color w:val="000000" w:themeColor="text1"/>
          <w:sz w:val="28"/>
          <w:szCs w:val="28"/>
        </w:rPr>
        <w:t>：</w:t>
      </w:r>
    </w:p>
    <w:p w14:paraId="3A58F1E3">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9.1在双方发生合同争议时，应本着平等互利、实事求是的原则协商解决，若在此前提下仍不能解决，选择向西昌市人民法院起诉。</w:t>
      </w:r>
    </w:p>
    <w:p w14:paraId="2E82E6DF">
      <w:pPr>
        <w:adjustRightInd w:val="0"/>
        <w:spacing w:line="6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11F2D6CE">
      <w:pPr>
        <w:adjustRightInd w:val="0"/>
        <w:spacing w:line="600" w:lineRule="exact"/>
        <w:ind w:firstLine="560" w:firstLineChars="200"/>
        <w:rPr>
          <w:rFonts w:ascii="仿宋" w:hAnsi="仿宋" w:eastAsia="仿宋" w:cs="仿宋"/>
          <w:bCs/>
          <w:color w:val="000000" w:themeColor="text1"/>
          <w:sz w:val="28"/>
          <w:szCs w:val="28"/>
        </w:rPr>
      </w:pPr>
      <w:r>
        <w:rPr>
          <w:rFonts w:hint="eastAsia" w:ascii="仿宋" w:hAnsi="仿宋" w:eastAsia="仿宋" w:cs="仿宋"/>
          <w:color w:val="000000" w:themeColor="text1"/>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085C2E22">
      <w:pPr>
        <w:spacing w:line="500" w:lineRule="exact"/>
        <w:ind w:left="63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十、特别提示</w:t>
      </w:r>
    </w:p>
    <w:p w14:paraId="74C23707">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56FCCA9C">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10.2本合同中甲方指定的所有人员超出其权限范围的行为或超出权限签署的文件无效，同时，甲方指定的所有人员均无权将其权限转授他人行使。若相关人员或人员权限嗣后发生变更，仅以加盖甲方公章（已在公安机关备案，本合同中均指此意）的书面变更文书为有效变更文书。</w:t>
      </w:r>
    </w:p>
    <w:p w14:paraId="39D6E280">
      <w:pPr>
        <w:snapToGrid w:val="0"/>
        <w:spacing w:line="600" w:lineRule="exact"/>
        <w:ind w:firstLine="562"/>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10.3除本合同有约定或者甲方加盖公章嗣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1457DA8C">
      <w:pPr>
        <w:spacing w:line="500" w:lineRule="exact"/>
        <w:ind w:left="630"/>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十一、其他约定</w:t>
      </w:r>
    </w:p>
    <w:p w14:paraId="0D52FFA8">
      <w:pPr>
        <w:adjustRightInd w:val="0"/>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6EB2D9FC">
      <w:pPr>
        <w:adjustRightInd w:val="0"/>
        <w:spacing w:line="500" w:lineRule="exact"/>
        <w:ind w:firstLine="560" w:firstLineChars="200"/>
        <w:rPr>
          <w:rFonts w:ascii="仿宋" w:hAnsi="仿宋" w:eastAsia="仿宋" w:cs="仿宋"/>
          <w:b/>
          <w:bCs/>
          <w:color w:val="000000" w:themeColor="text1"/>
          <w:sz w:val="28"/>
          <w:szCs w:val="28"/>
        </w:rPr>
      </w:pPr>
      <w:r>
        <w:rPr>
          <w:rFonts w:hint="eastAsia" w:ascii="仿宋" w:hAnsi="仿宋" w:eastAsia="仿宋" w:cs="仿宋"/>
          <w:color w:val="000000" w:themeColor="text1"/>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005B2135">
      <w:pPr>
        <w:numPr>
          <w:ilvl w:val="0"/>
          <w:numId w:val="4"/>
        </w:num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本合同自签字并盖章之日起生效，一式陆份，甲方肆份，乙方贰份，传真件具有同等法律效力。</w:t>
      </w:r>
    </w:p>
    <w:p w14:paraId="279ABDFB">
      <w:pPr>
        <w:spacing w:line="500" w:lineRule="exact"/>
        <w:rPr>
          <w:rFonts w:hint="eastAsia" w:ascii="仿宋" w:hAnsi="仿宋" w:eastAsia="仿宋" w:cs="仿宋"/>
          <w:color w:val="000000" w:themeColor="text1"/>
          <w:sz w:val="28"/>
          <w:szCs w:val="28"/>
          <w:u w:val="single"/>
          <w:lang w:val="en-US" w:eastAsia="zh-CN"/>
        </w:rPr>
      </w:pPr>
      <w:r>
        <w:rPr>
          <w:rFonts w:hint="eastAsia" w:ascii="仿宋" w:hAnsi="仿宋" w:eastAsia="仿宋" w:cs="仿宋"/>
          <w:sz w:val="24"/>
        </w:rPr>
        <w:t>甲方：</w:t>
      </w:r>
      <w:r>
        <w:rPr>
          <w:rFonts w:hint="eastAsia" w:ascii="仿宋" w:hAnsi="仿宋" w:eastAsia="仿宋" w:cs="仿宋"/>
          <w:sz w:val="24"/>
          <w:u w:val="single"/>
        </w:rPr>
        <w:t xml:space="preserve">凉山州现代房屋建筑集成制造有限公司 </w:t>
      </w:r>
      <w:r>
        <w:rPr>
          <w:rFonts w:hint="eastAsia" w:ascii="仿宋" w:hAnsi="仿宋" w:eastAsia="仿宋" w:cs="仿宋"/>
          <w:sz w:val="24"/>
        </w:rPr>
        <w:t xml:space="preserve">     乙方：</w:t>
      </w:r>
      <w:r>
        <w:rPr>
          <w:rFonts w:hint="eastAsia" w:ascii="仿宋" w:hAnsi="仿宋" w:eastAsia="仿宋" w:cs="仿宋"/>
          <w:color w:val="000000" w:themeColor="text1"/>
          <w:sz w:val="28"/>
          <w:szCs w:val="28"/>
          <w:u w:val="single"/>
          <w:lang w:val="en-US" w:eastAsia="zh-CN"/>
        </w:rPr>
        <w:t xml:space="preserve">                        </w:t>
      </w:r>
    </w:p>
    <w:p w14:paraId="0AE8A453">
      <w:pPr>
        <w:spacing w:line="500" w:lineRule="exact"/>
        <w:rPr>
          <w:rFonts w:ascii="仿宋" w:hAnsi="仿宋" w:eastAsia="仿宋" w:cs="仿宋"/>
          <w:sz w:val="28"/>
          <w:szCs w:val="28"/>
        </w:rPr>
      </w:pPr>
      <w:r>
        <w:rPr>
          <w:rFonts w:hint="eastAsia" w:ascii="仿宋" w:hAnsi="仿宋" w:eastAsia="仿宋" w:cs="仿宋"/>
          <w:sz w:val="28"/>
          <w:szCs w:val="28"/>
        </w:rPr>
        <w:t>法定代表人：                                法定代表人：</w:t>
      </w:r>
    </w:p>
    <w:p w14:paraId="7EC7C6AA">
      <w:pPr>
        <w:spacing w:line="500" w:lineRule="exact"/>
        <w:rPr>
          <w:rFonts w:ascii="仿宋" w:hAnsi="仿宋" w:eastAsia="仿宋" w:cs="仿宋"/>
          <w:sz w:val="28"/>
          <w:szCs w:val="28"/>
        </w:rPr>
      </w:pPr>
      <w:r>
        <w:rPr>
          <w:rFonts w:hint="eastAsia" w:ascii="仿宋" w:hAnsi="仿宋" w:eastAsia="仿宋" w:cs="仿宋"/>
          <w:sz w:val="28"/>
          <w:szCs w:val="28"/>
        </w:rPr>
        <w:t xml:space="preserve">委托代理人：                                委托代理人：                  </w:t>
      </w:r>
    </w:p>
    <w:p w14:paraId="7DC83462">
      <w:pPr>
        <w:spacing w:line="500" w:lineRule="exact"/>
        <w:rPr>
          <w:rFonts w:ascii="仿宋" w:hAnsi="仿宋" w:eastAsia="仿宋" w:cs="仿宋"/>
          <w:color w:val="000000" w:themeColor="text1"/>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   日</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14:paraId="4C7B765B">
      <w:pPr>
        <w:pStyle w:val="2"/>
        <w:rPr>
          <w:rFonts w:ascii="仿宋" w:hAnsi="仿宋" w:eastAsia="仿宋" w:cs="仿宋"/>
          <w:color w:val="000000" w:themeColor="text1"/>
          <w:sz w:val="28"/>
          <w:szCs w:val="28"/>
        </w:rPr>
      </w:pPr>
    </w:p>
    <w:p w14:paraId="053CB1A8"/>
    <w:p w14:paraId="21C174CD">
      <w:pPr>
        <w:spacing w:line="500" w:lineRule="exact"/>
        <w:jc w:val="center"/>
        <w:rPr>
          <w:rFonts w:hint="eastAsia" w:ascii="仿宋" w:hAnsi="仿宋" w:eastAsia="仿宋" w:cs="仿宋"/>
          <w:b/>
          <w:bCs/>
          <w:color w:val="000000" w:themeColor="text1"/>
          <w:kern w:val="0"/>
          <w:sz w:val="28"/>
          <w:szCs w:val="28"/>
        </w:rPr>
      </w:pPr>
    </w:p>
    <w:p w14:paraId="017BF609">
      <w:pPr>
        <w:spacing w:line="500" w:lineRule="exact"/>
        <w:jc w:val="center"/>
        <w:rPr>
          <w:rFonts w:hint="eastAsia" w:ascii="仿宋" w:hAnsi="仿宋" w:eastAsia="仿宋" w:cs="仿宋"/>
          <w:b/>
          <w:bCs/>
          <w:color w:val="000000" w:themeColor="text1"/>
          <w:kern w:val="0"/>
          <w:sz w:val="28"/>
          <w:szCs w:val="28"/>
        </w:rPr>
      </w:pPr>
    </w:p>
    <w:p w14:paraId="64EEBE39">
      <w:pPr>
        <w:spacing w:line="500" w:lineRule="exact"/>
        <w:jc w:val="center"/>
        <w:rPr>
          <w:rFonts w:hint="eastAsia" w:ascii="仿宋" w:hAnsi="仿宋" w:eastAsia="仿宋" w:cs="仿宋"/>
          <w:b/>
          <w:bCs/>
          <w:color w:val="000000" w:themeColor="text1"/>
          <w:kern w:val="0"/>
          <w:sz w:val="28"/>
          <w:szCs w:val="28"/>
        </w:rPr>
      </w:pPr>
    </w:p>
    <w:p w14:paraId="7A4E01C0">
      <w:pPr>
        <w:spacing w:line="500" w:lineRule="exact"/>
        <w:jc w:val="center"/>
        <w:rPr>
          <w:rFonts w:ascii="仿宋" w:hAnsi="仿宋" w:eastAsia="仿宋" w:cs="仿宋"/>
          <w:color w:val="000000" w:themeColor="text1"/>
          <w:kern w:val="0"/>
          <w:sz w:val="28"/>
          <w:szCs w:val="28"/>
        </w:rPr>
      </w:pPr>
      <w:r>
        <w:rPr>
          <w:rFonts w:hint="eastAsia" w:ascii="仿宋" w:hAnsi="仿宋" w:eastAsia="仿宋" w:cs="仿宋"/>
          <w:b/>
          <w:bCs/>
          <w:color w:val="000000" w:themeColor="text1"/>
          <w:kern w:val="0"/>
          <w:sz w:val="28"/>
          <w:szCs w:val="28"/>
        </w:rPr>
        <w:t>相关方环境和职业健康安全协议书</w:t>
      </w:r>
    </w:p>
    <w:p w14:paraId="577A961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甲方：</w:t>
      </w:r>
      <w:r>
        <w:rPr>
          <w:rFonts w:hint="eastAsia" w:ascii="仿宋" w:hAnsi="仿宋" w:eastAsia="仿宋" w:cs="仿宋"/>
          <w:color w:val="000000" w:themeColor="text1"/>
          <w:kern w:val="0"/>
          <w:sz w:val="28"/>
          <w:szCs w:val="28"/>
          <w:u w:val="single"/>
        </w:rPr>
        <w:t>凉山州现代房屋建筑集成制造有限公司</w:t>
      </w:r>
      <w:r>
        <w:rPr>
          <w:rFonts w:hint="eastAsia" w:ascii="仿宋" w:hAnsi="仿宋" w:eastAsia="仿宋" w:cs="仿宋"/>
          <w:color w:val="000000" w:themeColor="text1"/>
          <w:kern w:val="0"/>
          <w:sz w:val="28"/>
          <w:szCs w:val="28"/>
        </w:rPr>
        <w:t xml:space="preserve">  （以下简称甲方）</w:t>
      </w:r>
    </w:p>
    <w:p w14:paraId="297E648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乙方：</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kern w:val="0"/>
          <w:sz w:val="28"/>
          <w:szCs w:val="28"/>
        </w:rPr>
        <w:t>（以下简称乙方）</w:t>
      </w:r>
    </w:p>
    <w:p w14:paraId="07617B0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color w:val="000000" w:themeColor="text1"/>
          <w:sz w:val="28"/>
          <w:szCs w:val="28"/>
        </w:rPr>
        <w:t>甲乙双方依照《中华人民共和国民法典》及有关法律、法规的规定，在平等、自愿、协商一致的基础上</w:t>
      </w:r>
      <w:r>
        <w:rPr>
          <w:rFonts w:hint="eastAsia" w:ascii="仿宋" w:hAnsi="仿宋" w:eastAsia="仿宋" w:cs="仿宋"/>
          <w:color w:val="000000" w:themeColor="text1"/>
          <w:kern w:val="0"/>
          <w:sz w:val="28"/>
          <w:szCs w:val="28"/>
        </w:rPr>
        <w:t xml:space="preserve">，特签订此协议书，以期实现甲方现场良好的环境绩效及甲乙双方作业的职业健康安全。 </w:t>
      </w:r>
    </w:p>
    <w:p w14:paraId="66835253">
      <w:pPr>
        <w:spacing w:line="500" w:lineRule="exact"/>
        <w:ind w:firstLine="200"/>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 xml:space="preserve">  一、适用范围</w:t>
      </w:r>
    </w:p>
    <w:p w14:paraId="135A963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本协议适用于所有物资与服务的供应方、工程承包方、废弃物收购商、回收处理商、物流运输公司、服务商及个体供应商人员和车辆。</w:t>
      </w:r>
    </w:p>
    <w:p w14:paraId="49A09F0D">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二、甲方的权利</w:t>
      </w:r>
    </w:p>
    <w:p w14:paraId="393CF829">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1．甲方有权进入乙方生产作业场所检查环境卫生工作，调阅有关资料，向有关单位和人员了解情况，并可要求乙方负责人员对相关事宜作出解释。</w:t>
      </w:r>
    </w:p>
    <w:p w14:paraId="40A75B5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2．甲方有权检查乙方的资质和乙方特种从业人员是否持有从事该特种工作的上岗证。</w:t>
      </w:r>
    </w:p>
    <w:p w14:paraId="5C403B83">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3．甲方有权对检查中发现的污染环境、违章作业、危险作业等违法生产行为，当场予以纠正或者要求乙方限期改正。</w:t>
      </w:r>
    </w:p>
    <w:p w14:paraId="000F063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4.采用先进的施工设施、施工方法等，不得采用国家或地方已禁止使用的生产工艺，生产施工设备。在生产过程中，采取必要的措施降低噪声污染，对现场的废弃物妥善处置。</w:t>
      </w:r>
    </w:p>
    <w:p w14:paraId="4D0AE226">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5．甲方有权对检查中发现的事故隐患，责令乙方立即排除或者对乙方下达限期整改意见。</w:t>
      </w:r>
    </w:p>
    <w:p w14:paraId="38A79A51">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6．甲方有权对乙方在甲方管理范围内的访问和交流等可能影响甲方生产环境和安全的活动行为进行监督、管理和考核。</w:t>
      </w:r>
    </w:p>
    <w:p w14:paraId="41BE2463">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三、乙方的权利</w:t>
      </w:r>
    </w:p>
    <w:p w14:paraId="59FD31F2">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1．乙方有权依法自主开展环境和安全生产管理工作。</w:t>
      </w:r>
    </w:p>
    <w:p w14:paraId="7B3A9D1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2．乙方有权要求甲方统一协调涉及到双方的重大环境和安全生产问题。</w:t>
      </w:r>
    </w:p>
    <w:p w14:paraId="14A83CCB">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3．乙方有权要求被告知甲方的重大环境因素和高风险危险源。</w:t>
      </w:r>
    </w:p>
    <w:p w14:paraId="43171589">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四、甲方应承担的责任和义务</w:t>
      </w:r>
    </w:p>
    <w:p w14:paraId="0D78D7F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1．为乙方介绍项目的现场和周围环境，以及甲方的管理制度和要求。</w:t>
      </w:r>
    </w:p>
    <w:p w14:paraId="720668B7">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2．按照《中华人民共和国环境保护法》和《中华人民共和国安全生产法》的规定，对乙方的环境和安全生产工作统一协调、管理。</w:t>
      </w:r>
    </w:p>
    <w:p w14:paraId="19A4162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3．负责对乙方人员进行环境保护及职业健康安全方面的入厂教育。</w:t>
      </w:r>
    </w:p>
    <w:p w14:paraId="545E0EC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4．有责任将重大环境因素和高风险危险源告知乙方。</w:t>
      </w:r>
    </w:p>
    <w:p w14:paraId="090A0B76">
      <w:pPr>
        <w:spacing w:line="500" w:lineRule="exact"/>
        <w:ind w:firstLine="545" w:firstLineChars="194"/>
        <w:rPr>
          <w:rFonts w:ascii="仿宋" w:hAnsi="仿宋" w:eastAsia="仿宋" w:cs="仿宋"/>
          <w:b/>
          <w:color w:val="000000" w:themeColor="text1"/>
          <w:kern w:val="0"/>
          <w:sz w:val="28"/>
          <w:szCs w:val="28"/>
        </w:rPr>
      </w:pPr>
      <w:r>
        <w:rPr>
          <w:rFonts w:hint="eastAsia" w:ascii="仿宋" w:hAnsi="仿宋" w:eastAsia="仿宋" w:cs="仿宋"/>
          <w:b/>
          <w:color w:val="000000" w:themeColor="text1"/>
          <w:kern w:val="0"/>
          <w:sz w:val="28"/>
          <w:szCs w:val="28"/>
        </w:rPr>
        <w:t>五、乙方应承担的责任和义务</w:t>
      </w:r>
    </w:p>
    <w:p w14:paraId="4E747A7E">
      <w:pPr>
        <w:spacing w:line="500" w:lineRule="exact"/>
        <w:ind w:firstLine="406" w:firstLineChars="145"/>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（一）环境管理方面的义务</w:t>
      </w:r>
    </w:p>
    <w:p w14:paraId="15F5AE9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1．相关方（施工单位）负责落实施工阶段的环保要求及施工过程中环保措施，建立健全环境控制制度，主要包括：</w:t>
      </w:r>
    </w:p>
    <w:p w14:paraId="23718131">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（1）使用机械设备可能产生噪声污染时，向周围生活环境排放施工噪声应符合国家规定的建筑施工厂界环境噪声排放标准。</w:t>
      </w:r>
    </w:p>
    <w:p w14:paraId="5162A4D0">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（2）施工方案优先考虑采用无污染或少污染、无危害或少危害的生产工艺、生产与施工设备、先进的施工方法等，不得采用国家或地方已禁止使用的生产工艺与施工设备。</w:t>
      </w:r>
    </w:p>
    <w:p w14:paraId="08C97A52">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（3）保护施工现场周围的环境，防止对自然环境造成不应有的破坏。</w:t>
      </w:r>
    </w:p>
    <w:p w14:paraId="6DCDE344">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（4）防止粉尘、噪声、振动等对周围生活居住区的污染和危害。</w:t>
      </w:r>
    </w:p>
    <w:p w14:paraId="7EE2C313">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（5）合理处理建筑施工中产生的固体废弃物。工程竣工后，施工单位应当修整恢复在建设过程中受到破坏的环境。</w:t>
      </w:r>
    </w:p>
    <w:p w14:paraId="685145D8">
      <w:pPr>
        <w:spacing w:line="500" w:lineRule="exact"/>
        <w:ind w:firstLine="420" w:firstLineChars="1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（6）产生的生活垃圾集中放置所属工厂指定场所，以减轻对环境的影响，并根据规定将废物合理处理。按照工作岗位的工作区域确定环境管理责任人，明确管理责任。</w:t>
      </w:r>
    </w:p>
    <w:p w14:paraId="1D849055">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2．回收废旧物资的部门，应按规定提供相应的资质，回收物品处理时，避免二次污染。</w:t>
      </w:r>
    </w:p>
    <w:p w14:paraId="4DE5ABE2">
      <w:pPr>
        <w:spacing w:line="500" w:lineRule="exact"/>
        <w:ind w:firstLine="140" w:firstLineChars="5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3．储运过程中，应遵守交通运输法规，保证运输车辆状况良好，车辆排放的废气、噪声及车辆冲洗废水要符合国家规定的排放标准，不得扰乱厂区附近居民的生活。</w:t>
      </w:r>
    </w:p>
    <w:p w14:paraId="78888E7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4．所提供的产品及产品的原材料、生产过程、服务应满足（或设法满足）国家、地方、行业的有关环境保护方面的法律、法规要求，在保证质量的前提下，确保安全与环境性能，并减少包装材料的使用。</w:t>
      </w:r>
    </w:p>
    <w:p w14:paraId="20D6988A">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（二）安全管理方面的义务</w:t>
      </w:r>
    </w:p>
    <w:p w14:paraId="34984D4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1．相关方（施工单位）负责落实施工阶段的安全要求及施工过程中的安全措施，主要包括：</w:t>
      </w:r>
    </w:p>
    <w:p w14:paraId="6B558457">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（1）项目施工方</w:t>
      </w:r>
      <w:r>
        <w:rPr>
          <w:rFonts w:hint="eastAsia" w:ascii="仿宋" w:hAnsi="仿宋" w:eastAsia="仿宋" w:cs="仿宋"/>
          <w:color w:val="000000" w:themeColor="text1"/>
          <w:sz w:val="28"/>
          <w:szCs w:val="28"/>
        </w:rPr>
        <w:t>必须具备本项目的安全生产能力及相关资质。</w:t>
      </w:r>
    </w:p>
    <w:p w14:paraId="3503EED2">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（2）项目施工时制定严格的安全技术保障措施，教育自己的员工按照相应的安全操作规程操作，并遵守安全生产规章制度（包括甲方告知的制度及乙方自己的制度）。</w:t>
      </w:r>
    </w:p>
    <w:p w14:paraId="2F00F1FA">
      <w:pPr>
        <w:spacing w:line="500" w:lineRule="exact"/>
        <w:ind w:firstLine="280" w:firstLineChars="1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（3）施工现场人员必须按规定佩带合格的劳动防护用具（乙方自备），特种作业人员必须持证上岗，严格执行操作规程，并确保在指定地点作业。</w:t>
      </w:r>
    </w:p>
    <w:p w14:paraId="4DEA26D0">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2．进入厂区，必须遵守公司的安全生产管理规章制度。</w:t>
      </w:r>
    </w:p>
    <w:p w14:paraId="1C52117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3．必须主动接受公司的安全、防火教育和交底。</w:t>
      </w:r>
    </w:p>
    <w:p w14:paraId="1E588CE2">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4．外来人员进入生产现场，须有公司内业务负责人员陪同，并按照生产现场人行路线行走。</w:t>
      </w:r>
    </w:p>
    <w:p w14:paraId="5879811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5．进入生产现场，按要求穿戴好劳动防护用品，严禁坦胸露背、穿凉鞋、拖鞋。</w:t>
      </w:r>
    </w:p>
    <w:p w14:paraId="53C44973">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6．不能与同行人员打闹，酒后不能进入作业场所。</w:t>
      </w:r>
    </w:p>
    <w:p w14:paraId="073A625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7．不准随意移动作业区内的各类设备及工具。</w:t>
      </w:r>
    </w:p>
    <w:p w14:paraId="102AC64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8．运输危险化学品和易燃易爆品，要具备运输资质，采取一定的防护措施，避免运输途中产生泄漏，在搬运、装卸过程中注意轻拿轻放，避免野蛮装卸。</w:t>
      </w:r>
    </w:p>
    <w:p w14:paraId="177D7DB1">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9．经批准进入厂区的应注意观看各类警示标识，遵守警示标识的指令。不准在吊物下通过或停留。</w:t>
      </w:r>
    </w:p>
    <w:p w14:paraId="40B3D118">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10．外来车辆进入厂区内减速慢行，车辆右行，并按公司规定的线路行驶，不能并行，不得高声鸣笛。</w:t>
      </w:r>
    </w:p>
    <w:p w14:paraId="6777D28D">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11．厂区内全面禁止吸烟，凡吸烟者均按照1000元/次给予经济处罚。</w:t>
      </w:r>
    </w:p>
    <w:p w14:paraId="78C58984">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12．厂区内临时用电、动火必须制定详细的施工方案，并经甲方安全部门、保卫部门批准后方可作业。</w:t>
      </w:r>
    </w:p>
    <w:p w14:paraId="3451BE25">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（三）其他义务</w:t>
      </w:r>
    </w:p>
    <w:p w14:paraId="18048314">
      <w:pPr>
        <w:spacing w:line="500" w:lineRule="exact"/>
        <w:ind w:firstLine="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 xml:space="preserve">  1．乙方应主动配合甲方的相关检查，并对甲方要求其解释的事项作出口头或书面解释。</w:t>
      </w:r>
    </w:p>
    <w:p w14:paraId="079769ED">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2．乙方应对甲方提出的改进方案和建议积极响应，及时与甲方沟通、协调，共同解决问题。</w:t>
      </w:r>
    </w:p>
    <w:p w14:paraId="177BCBAB">
      <w:pPr>
        <w:spacing w:line="500" w:lineRule="exact"/>
        <w:ind w:firstLine="543" w:firstLineChars="194"/>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3．乙方在向甲方提供产品或服务的过程中</w:t>
      </w:r>
      <w:r>
        <w:rPr>
          <w:rFonts w:hint="eastAsia" w:ascii="仿宋" w:hAnsi="仿宋" w:eastAsia="仿宋" w:cs="仿宋"/>
          <w:color w:val="000000" w:themeColor="text1"/>
          <w:sz w:val="28"/>
          <w:szCs w:val="28"/>
        </w:rPr>
        <w:t>应最大限度保护好环境，确保工作人员的职业健康安全，满足甲方对乙方提出改进的要求。</w:t>
      </w:r>
    </w:p>
    <w:p w14:paraId="7FA0E2B6">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4．对项目过程中发生的事故，乙方负责及时向有关部门报告，建立处理事故的应急部门，并承担因事故所产生的所有经济损失。如果因事故给甲方造成损失的，乙方应承担全部赔偿责任。</w:t>
      </w:r>
    </w:p>
    <w:p w14:paraId="2C192AAC">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5．违反本协议造成的一切事故由乙方负责，给甲方造成的一切损失及相关部门的行政处罚和法律责任均由乙方承担。</w:t>
      </w:r>
    </w:p>
    <w:p w14:paraId="6C817CF5">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6．以上对甲方的环境保护及职业健康安全等相关要求由乙方的（具体负责人员）负责解释协调，甲方可随时与其沟通联系。</w:t>
      </w:r>
    </w:p>
    <w:p w14:paraId="40315EF2">
      <w:pPr>
        <w:spacing w:line="500" w:lineRule="exact"/>
        <w:ind w:firstLine="562" w:firstLineChars="200"/>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六、协议的生效、变更和解除</w:t>
      </w:r>
    </w:p>
    <w:p w14:paraId="04F8B46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kern w:val="0"/>
          <w:sz w:val="28"/>
          <w:szCs w:val="28"/>
        </w:rPr>
        <w:t>1.本协议一式三份,经双方代表签字并盖章后生效，甲方持两份,乙方持一份,协议有效期自</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年</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月</w:t>
      </w:r>
      <w:r>
        <w:rPr>
          <w:rFonts w:hint="eastAsia" w:ascii="仿宋" w:hAnsi="仿宋" w:eastAsia="仿宋" w:cs="仿宋"/>
          <w:color w:val="000000" w:themeColor="text1"/>
          <w:kern w:val="0"/>
          <w:sz w:val="28"/>
          <w:szCs w:val="28"/>
          <w:u w:val="single"/>
          <w:lang w:val="en-US" w:eastAsia="zh-CN"/>
        </w:rPr>
        <w:t xml:space="preserve">  </w:t>
      </w:r>
      <w:r>
        <w:rPr>
          <w:rFonts w:hint="eastAsia" w:ascii="仿宋" w:hAnsi="仿宋" w:eastAsia="仿宋" w:cs="仿宋"/>
          <w:color w:val="000000" w:themeColor="text1"/>
          <w:kern w:val="0"/>
          <w:sz w:val="28"/>
          <w:szCs w:val="28"/>
        </w:rPr>
        <w:t>日至</w:t>
      </w:r>
      <w:r>
        <w:rPr>
          <w:rFonts w:hint="eastAsia" w:ascii="仿宋" w:hAnsi="仿宋" w:eastAsia="仿宋" w:cs="仿宋"/>
          <w:color w:val="000000" w:themeColor="text1"/>
          <w:kern w:val="0"/>
          <w:sz w:val="28"/>
          <w:szCs w:val="28"/>
          <w:u w:val="single"/>
        </w:rPr>
        <w:t xml:space="preserve"> 工程完工</w:t>
      </w:r>
      <w:r>
        <w:rPr>
          <w:rFonts w:hint="eastAsia" w:ascii="仿宋" w:hAnsi="仿宋" w:eastAsia="仿宋" w:cs="仿宋"/>
          <w:color w:val="000000" w:themeColor="text1"/>
          <w:kern w:val="0"/>
          <w:sz w:val="28"/>
          <w:szCs w:val="28"/>
        </w:rPr>
        <w:t>。</w:t>
      </w:r>
    </w:p>
    <w:p w14:paraId="22E46C5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2．本协议经双方书面同意，可以予以修改、补充或调整。</w:t>
      </w:r>
    </w:p>
    <w:p w14:paraId="37EF971E">
      <w:pPr>
        <w:spacing w:line="50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3．本协议未尽事宜，双方应本着互惠互利、友好协商的原则另行约定，并应以附件或补充协议等书面形式体现。</w:t>
      </w:r>
    </w:p>
    <w:p w14:paraId="150714F1">
      <w:pPr>
        <w:spacing w:line="500" w:lineRule="exact"/>
        <w:rPr>
          <w:rFonts w:ascii="仿宋" w:hAnsi="仿宋" w:eastAsia="仿宋" w:cs="仿宋"/>
          <w:kern w:val="0"/>
          <w:sz w:val="28"/>
          <w:szCs w:val="28"/>
        </w:rPr>
      </w:pPr>
      <w:r>
        <w:rPr>
          <w:rFonts w:hint="eastAsia" w:ascii="仿宋" w:hAnsi="仿宋" w:eastAsia="仿宋" w:cs="仿宋"/>
          <w:kern w:val="0"/>
          <w:sz w:val="28"/>
          <w:szCs w:val="28"/>
        </w:rPr>
        <w:t>甲方单位（签章）：                          乙方单位（签章）：</w:t>
      </w:r>
    </w:p>
    <w:p w14:paraId="6C92E272">
      <w:pPr>
        <w:spacing w:line="500" w:lineRule="exact"/>
        <w:rPr>
          <w:rFonts w:ascii="仿宋" w:hAnsi="仿宋" w:eastAsia="仿宋" w:cs="仿宋"/>
          <w:kern w:val="0"/>
          <w:sz w:val="28"/>
          <w:szCs w:val="28"/>
        </w:rPr>
      </w:pPr>
    </w:p>
    <w:p w14:paraId="437949FE">
      <w:pPr>
        <w:spacing w:line="500" w:lineRule="exact"/>
        <w:jc w:val="left"/>
        <w:rPr>
          <w:rFonts w:ascii="仿宋" w:hAnsi="仿宋" w:eastAsia="仿宋" w:cs="仿宋"/>
          <w:color w:val="000000" w:themeColor="text1"/>
          <w:kern w:val="0"/>
          <w:sz w:val="28"/>
          <w:szCs w:val="28"/>
        </w:rPr>
      </w:pPr>
      <w:r>
        <w:rPr>
          <w:rFonts w:hint="eastAsia" w:ascii="仿宋" w:hAnsi="仿宋" w:eastAsia="仿宋" w:cs="仿宋"/>
          <w:kern w:val="0"/>
          <w:sz w:val="28"/>
          <w:szCs w:val="28"/>
        </w:rPr>
        <w:t>甲方代表（签字）：                          乙方代表（签字）：                                       日期：                                      日期：</w:t>
      </w:r>
    </w:p>
    <w:p w14:paraId="426F82F8">
      <w:pPr>
        <w:spacing w:line="500" w:lineRule="exact"/>
        <w:jc w:val="center"/>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供方诚信廉洁责任规范承诺</w:t>
      </w:r>
    </w:p>
    <w:p w14:paraId="61338290">
      <w:pPr>
        <w:spacing w:line="500" w:lineRule="exact"/>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一、</w:t>
      </w:r>
      <w:r>
        <w:rPr>
          <w:rFonts w:hint="eastAsia" w:ascii="仿宋" w:hAnsi="仿宋" w:eastAsia="仿宋" w:cs="仿宋"/>
          <w:b/>
          <w:color w:val="000000" w:themeColor="text1"/>
          <w:sz w:val="28"/>
          <w:szCs w:val="28"/>
        </w:rPr>
        <w:t>目的、范围：</w:t>
      </w:r>
    </w:p>
    <w:p w14:paraId="24F7400B">
      <w:pPr>
        <w:spacing w:line="500" w:lineRule="exact"/>
        <w:ind w:firstLine="57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为进一步改进和完善企业的物资采购管理，健全监督约束机制，规范凉山州现代房屋建筑集成制造有限公司布拖县分公司（以下简称需方）采购等人员行为，加强对采购工作的监督管理，本着诚信、互惠互利和依法经营的原则，实行供方诚信廉洁责任规范制度。本规范适用于与需方有业务往来的所有供方。</w:t>
      </w:r>
    </w:p>
    <w:p w14:paraId="2EDE604C">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二、职责：</w:t>
      </w:r>
    </w:p>
    <w:p w14:paraId="14AB3F15">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1、各业务部门为本规范的归口管理部门，负责本规范的有效实施。</w:t>
      </w:r>
    </w:p>
    <w:p w14:paraId="0CB9A3D4">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2、公司纪委为本规范实施的监督部门。</w:t>
      </w:r>
    </w:p>
    <w:p w14:paraId="1DC5461F">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三、管理内容：</w:t>
      </w:r>
    </w:p>
    <w:p w14:paraId="53CCE198">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（一）、供方行为规范:</w:t>
      </w:r>
    </w:p>
    <w:p w14:paraId="4DB262E6">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1、不准向需方提供已经知道或应该知道不合格（期、质、量）的物资，不准以次充好，以劣充优。</w:t>
      </w:r>
    </w:p>
    <w:p w14:paraId="0BB5942F">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2、不准向需方采购人员、领导干部等有关人员提供回扣、好处费、有价证券、信用卡、支付凭证或报销发票。</w:t>
      </w:r>
    </w:p>
    <w:p w14:paraId="5FF89554">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3、不准向需方采购人员、领导干部等有关人员提供高消费宴请、礼品、礼金和公款支付的娱乐性活动。</w:t>
      </w:r>
    </w:p>
    <w:p w14:paraId="59BF4ED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4、不准向需方采购人员、领导干部等有关人员提供借款作为私用。</w:t>
      </w:r>
    </w:p>
    <w:p w14:paraId="7F768AAD">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5、不准向需方采购人员、领导干部的配偶、子女、亲属、子女配偶的亲属、领导干部身边的工作人员等做出违反第2、3、4条的行为。</w:t>
      </w:r>
    </w:p>
    <w:p w14:paraId="56F80D0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6、不准安排采购人员、领导干部等人员的配偶、子女、亲属、子女配偶的亲属、领导干部身边的工作人员的亲属在供方企业就职谋业。</w:t>
      </w:r>
    </w:p>
    <w:p w14:paraId="3E78EF60">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7、对需方采购人员、领导干部等有关人员的行为进行监督，有责任对不良行为、损害企业利益、信誉等行为进行举报。不得瞒报、谎报。</w:t>
      </w:r>
    </w:p>
    <w:p w14:paraId="2E30BCA3">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8、不准损害需方的利益，对图纸、技术资料、价格、管理规定及管理流程、加工工艺等商业秘密负责保密。</w:t>
      </w:r>
    </w:p>
    <w:p w14:paraId="5890F44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9、对违规违纪问题的调查、取证予以全力配合。</w:t>
      </w:r>
    </w:p>
    <w:p w14:paraId="07D67F2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（二）、责任追究：</w:t>
      </w:r>
    </w:p>
    <w:p w14:paraId="6456108C">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1、违反第1条规定，对造成的经济损失由供方全额承担，并取消其供货资格。</w:t>
      </w:r>
    </w:p>
    <w:p w14:paraId="17F650D0">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2、违反第2、3、4、5、条规定的，一经核实，取消其供货资格。触犯法律的，移交司法机关处理。</w:t>
      </w:r>
    </w:p>
    <w:p w14:paraId="1561E586">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3、违反第6条规定，供方必须限期妥善解决，否则取消其供货资格。</w:t>
      </w:r>
    </w:p>
    <w:p w14:paraId="67BE612E">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4、违反第7条规定，故意隐瞒事实真相的，经核实后，取消其供货资格。</w:t>
      </w:r>
    </w:p>
    <w:p w14:paraId="4DF608F8">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5、违反第8条规定，给需方造成的一切经济损失由供方承担，需方视情节轻重给予取消供货资格或诉诸法律，追究责任。</w:t>
      </w:r>
    </w:p>
    <w:p w14:paraId="74E5DDE8">
      <w:pPr>
        <w:spacing w:line="50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6、对违规违纪问题，需方有向供方调查、取证的权利，供方应积极配合。如发生故意干扰、阻止调查、取证工作；故意提供虚假材料、作假证、为当事人解脱责任等行为，造成严重后果，需方将取消其供货资格。</w:t>
      </w:r>
    </w:p>
    <w:p w14:paraId="633038C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（三）、供方承诺：</w:t>
      </w:r>
    </w:p>
    <w:p w14:paraId="09D9DFD7">
      <w:pPr>
        <w:spacing w:line="500" w:lineRule="exact"/>
        <w:ind w:firstLine="63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对于上述行为规范，我方愿意遵守执行，做好物资供应工作，如有违反，我方愿意承担一切法律责任。</w:t>
      </w:r>
    </w:p>
    <w:p w14:paraId="612ABD57">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 四、本规范一式</w:t>
      </w:r>
      <w:r>
        <w:rPr>
          <w:rFonts w:hint="eastAsia" w:ascii="仿宋" w:hAnsi="仿宋" w:eastAsia="仿宋" w:cs="仿宋"/>
          <w:b/>
          <w:color w:val="000000" w:themeColor="text1"/>
          <w:sz w:val="28"/>
          <w:szCs w:val="28"/>
          <w:lang w:val="en-US" w:eastAsia="zh-CN"/>
        </w:rPr>
        <w:t>四</w:t>
      </w:r>
      <w:r>
        <w:rPr>
          <w:rFonts w:hint="eastAsia" w:ascii="仿宋" w:hAnsi="仿宋" w:eastAsia="仿宋" w:cs="仿宋"/>
          <w:b/>
          <w:color w:val="000000" w:themeColor="text1"/>
          <w:sz w:val="28"/>
          <w:szCs w:val="28"/>
        </w:rPr>
        <w:t>份，双方各执</w:t>
      </w:r>
      <w:r>
        <w:rPr>
          <w:rFonts w:hint="eastAsia" w:ascii="仿宋" w:hAnsi="仿宋" w:eastAsia="仿宋" w:cs="仿宋"/>
          <w:b/>
          <w:color w:val="000000" w:themeColor="text1"/>
          <w:sz w:val="28"/>
          <w:szCs w:val="28"/>
          <w:lang w:val="en-US" w:eastAsia="zh-CN"/>
        </w:rPr>
        <w:t>两</w:t>
      </w:r>
      <w:r>
        <w:rPr>
          <w:rFonts w:hint="eastAsia" w:ascii="仿宋" w:hAnsi="仿宋" w:eastAsia="仿宋" w:cs="仿宋"/>
          <w:b/>
          <w:color w:val="000000" w:themeColor="text1"/>
          <w:sz w:val="28"/>
          <w:szCs w:val="28"/>
        </w:rPr>
        <w:t>份。</w:t>
      </w:r>
    </w:p>
    <w:p w14:paraId="108B07FE">
      <w:pPr>
        <w:spacing w:line="500" w:lineRule="exact"/>
        <w:rPr>
          <w:rFonts w:ascii="仿宋" w:hAnsi="仿宋" w:eastAsia="仿宋" w:cs="仿宋"/>
          <w:color w:val="000000" w:themeColor="text1"/>
          <w:sz w:val="28"/>
          <w:szCs w:val="28"/>
        </w:rPr>
      </w:pPr>
    </w:p>
    <w:p w14:paraId="0D1384E9">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供方单位盖章：</w:t>
      </w:r>
    </w:p>
    <w:p w14:paraId="37F8D256">
      <w:pPr>
        <w:spacing w:line="500" w:lineRule="exact"/>
        <w:rPr>
          <w:rFonts w:ascii="仿宋" w:hAnsi="仿宋" w:eastAsia="仿宋" w:cs="仿宋"/>
          <w:color w:val="000000" w:themeColor="text1"/>
          <w:sz w:val="28"/>
          <w:szCs w:val="28"/>
        </w:rPr>
      </w:pPr>
    </w:p>
    <w:p w14:paraId="24F1A40D">
      <w:pPr>
        <w:spacing w:line="50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供方代表签字：</w:t>
      </w:r>
    </w:p>
    <w:p w14:paraId="04E5A31A">
      <w:pPr>
        <w:spacing w:line="5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年</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月   日</w:t>
      </w:r>
    </w:p>
    <w:p w14:paraId="0400A166">
      <w:pPr>
        <w:jc w:val="left"/>
        <w:sectPr>
          <w:pgSz w:w="11906" w:h="16838"/>
          <w:pgMar w:top="1440" w:right="850" w:bottom="1440" w:left="850" w:header="851" w:footer="992" w:gutter="0"/>
          <w:cols w:space="0" w:num="1"/>
          <w:docGrid w:type="lines" w:linePitch="312" w:charSpace="0"/>
        </w:sectPr>
      </w:pPr>
    </w:p>
    <w:p w14:paraId="67339BDC">
      <w:pPr>
        <w:rPr>
          <w:color w:val="000000" w:themeColor="text1"/>
        </w:rPr>
      </w:pPr>
    </w:p>
    <w:sectPr>
      <w:pgSz w:w="11906" w:h="16838"/>
      <w:pgMar w:top="1440" w:right="850" w:bottom="1440" w:left="85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AFDD0956"/>
    <w:multiLevelType w:val="singleLevel"/>
    <w:tmpl w:val="AFDD0956"/>
    <w:lvl w:ilvl="0" w:tentative="0">
      <w:start w:val="12"/>
      <w:numFmt w:val="chineseCounting"/>
      <w:suff w:val="nothing"/>
      <w:lvlText w:val="%1、"/>
      <w:lvlJc w:val="left"/>
      <w:rPr>
        <w:rFonts w:hint="eastAsia"/>
      </w:rPr>
    </w:lvl>
  </w:abstractNum>
  <w:abstractNum w:abstractNumId="2">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3">
    <w:nsid w:val="363933A5"/>
    <w:multiLevelType w:val="singleLevel"/>
    <w:tmpl w:val="363933A5"/>
    <w:lvl w:ilvl="0" w:tentative="0">
      <w:start w:val="1"/>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ZlYTJhZDRjZjFlNTk2Nzg2OTU0YmUxMTYyMzk4YjMifQ=="/>
  </w:docVars>
  <w:rsids>
    <w:rsidRoot w:val="4B617744"/>
    <w:rsid w:val="003A1F04"/>
    <w:rsid w:val="004756F7"/>
    <w:rsid w:val="00575054"/>
    <w:rsid w:val="00587E02"/>
    <w:rsid w:val="00697C4F"/>
    <w:rsid w:val="00834B79"/>
    <w:rsid w:val="008602ED"/>
    <w:rsid w:val="00897E28"/>
    <w:rsid w:val="008C5ED7"/>
    <w:rsid w:val="008D3657"/>
    <w:rsid w:val="00A22AA3"/>
    <w:rsid w:val="00A46BB9"/>
    <w:rsid w:val="00A75C6F"/>
    <w:rsid w:val="00B00ABC"/>
    <w:rsid w:val="00B201BB"/>
    <w:rsid w:val="00B20DF2"/>
    <w:rsid w:val="00B3404B"/>
    <w:rsid w:val="00B85787"/>
    <w:rsid w:val="00D6269A"/>
    <w:rsid w:val="00E5254B"/>
    <w:rsid w:val="00F01420"/>
    <w:rsid w:val="00F87FBC"/>
    <w:rsid w:val="00F96520"/>
    <w:rsid w:val="01233096"/>
    <w:rsid w:val="01CA3F1A"/>
    <w:rsid w:val="02D908B8"/>
    <w:rsid w:val="05380ED5"/>
    <w:rsid w:val="059F12F4"/>
    <w:rsid w:val="06C62E53"/>
    <w:rsid w:val="076B1446"/>
    <w:rsid w:val="08273E74"/>
    <w:rsid w:val="084F5D27"/>
    <w:rsid w:val="08F61D2E"/>
    <w:rsid w:val="092959CA"/>
    <w:rsid w:val="09BF1E8A"/>
    <w:rsid w:val="0A151142"/>
    <w:rsid w:val="0A560A40"/>
    <w:rsid w:val="0B304DED"/>
    <w:rsid w:val="0B436A06"/>
    <w:rsid w:val="0B7A250D"/>
    <w:rsid w:val="0D5374B9"/>
    <w:rsid w:val="0D98311E"/>
    <w:rsid w:val="0DDD5739"/>
    <w:rsid w:val="0E4273F1"/>
    <w:rsid w:val="0EC21BB4"/>
    <w:rsid w:val="0F0E7B3C"/>
    <w:rsid w:val="0F3D3F7D"/>
    <w:rsid w:val="0FA1450C"/>
    <w:rsid w:val="0FAC4C5F"/>
    <w:rsid w:val="0FC44EC9"/>
    <w:rsid w:val="11082369"/>
    <w:rsid w:val="121512EE"/>
    <w:rsid w:val="12174F59"/>
    <w:rsid w:val="127D19B3"/>
    <w:rsid w:val="132E4905"/>
    <w:rsid w:val="145F6743"/>
    <w:rsid w:val="150115A9"/>
    <w:rsid w:val="152F77BA"/>
    <w:rsid w:val="154C3211"/>
    <w:rsid w:val="15D66ED9"/>
    <w:rsid w:val="176C18A3"/>
    <w:rsid w:val="179A6406"/>
    <w:rsid w:val="18673E19"/>
    <w:rsid w:val="193C265E"/>
    <w:rsid w:val="19B85279"/>
    <w:rsid w:val="1B391A9C"/>
    <w:rsid w:val="1BCF41AF"/>
    <w:rsid w:val="1C8C6B54"/>
    <w:rsid w:val="1CF06AD2"/>
    <w:rsid w:val="1D21589A"/>
    <w:rsid w:val="1D886D0B"/>
    <w:rsid w:val="1F7E63E4"/>
    <w:rsid w:val="201025BC"/>
    <w:rsid w:val="21963C10"/>
    <w:rsid w:val="21BA145D"/>
    <w:rsid w:val="21E309B4"/>
    <w:rsid w:val="22E70030"/>
    <w:rsid w:val="23C14D25"/>
    <w:rsid w:val="241A61E3"/>
    <w:rsid w:val="24B71C84"/>
    <w:rsid w:val="25034EC9"/>
    <w:rsid w:val="25873D4C"/>
    <w:rsid w:val="26265313"/>
    <w:rsid w:val="27407E14"/>
    <w:rsid w:val="27FF7BCA"/>
    <w:rsid w:val="283A473E"/>
    <w:rsid w:val="28812CD5"/>
    <w:rsid w:val="2A6B7798"/>
    <w:rsid w:val="2F1403FE"/>
    <w:rsid w:val="30640F12"/>
    <w:rsid w:val="32CB171C"/>
    <w:rsid w:val="32CF5583"/>
    <w:rsid w:val="32E26A66"/>
    <w:rsid w:val="33527747"/>
    <w:rsid w:val="34452E08"/>
    <w:rsid w:val="34B955A4"/>
    <w:rsid w:val="35733E95"/>
    <w:rsid w:val="36EF34FF"/>
    <w:rsid w:val="37A21969"/>
    <w:rsid w:val="37B3277F"/>
    <w:rsid w:val="38B870EE"/>
    <w:rsid w:val="39007AA1"/>
    <w:rsid w:val="39C600D4"/>
    <w:rsid w:val="3A190DC1"/>
    <w:rsid w:val="3A3A2CE3"/>
    <w:rsid w:val="3B681F85"/>
    <w:rsid w:val="3B954675"/>
    <w:rsid w:val="3BC41DC5"/>
    <w:rsid w:val="3C597D99"/>
    <w:rsid w:val="3CB054DF"/>
    <w:rsid w:val="3CC03974"/>
    <w:rsid w:val="3D6764E5"/>
    <w:rsid w:val="3E86299B"/>
    <w:rsid w:val="3ECD05CA"/>
    <w:rsid w:val="3FCB6396"/>
    <w:rsid w:val="3FCE06EC"/>
    <w:rsid w:val="405014B2"/>
    <w:rsid w:val="4101455B"/>
    <w:rsid w:val="412D5350"/>
    <w:rsid w:val="41782A6F"/>
    <w:rsid w:val="43827BD5"/>
    <w:rsid w:val="448B4867"/>
    <w:rsid w:val="45D73ADC"/>
    <w:rsid w:val="469B0FAE"/>
    <w:rsid w:val="477E5153"/>
    <w:rsid w:val="48403BBB"/>
    <w:rsid w:val="48F41C31"/>
    <w:rsid w:val="4AA06B93"/>
    <w:rsid w:val="4ABB577A"/>
    <w:rsid w:val="4B0C4228"/>
    <w:rsid w:val="4B617744"/>
    <w:rsid w:val="4C7B0A31"/>
    <w:rsid w:val="4CC34DBA"/>
    <w:rsid w:val="4DD03C33"/>
    <w:rsid w:val="4DF9707E"/>
    <w:rsid w:val="4F195165"/>
    <w:rsid w:val="5001582D"/>
    <w:rsid w:val="51413951"/>
    <w:rsid w:val="521C11F4"/>
    <w:rsid w:val="528A0854"/>
    <w:rsid w:val="531D31D9"/>
    <w:rsid w:val="55A06D87"/>
    <w:rsid w:val="56EA52B3"/>
    <w:rsid w:val="5BBD2FB3"/>
    <w:rsid w:val="5BD13050"/>
    <w:rsid w:val="5BF136F2"/>
    <w:rsid w:val="5C18017C"/>
    <w:rsid w:val="5C4B2CCE"/>
    <w:rsid w:val="5DB9023F"/>
    <w:rsid w:val="5EAF58AC"/>
    <w:rsid w:val="61500EBB"/>
    <w:rsid w:val="61DB4C28"/>
    <w:rsid w:val="61E433B1"/>
    <w:rsid w:val="61FF472F"/>
    <w:rsid w:val="625D388F"/>
    <w:rsid w:val="62922228"/>
    <w:rsid w:val="63365C8B"/>
    <w:rsid w:val="63F3132B"/>
    <w:rsid w:val="644C76BE"/>
    <w:rsid w:val="64B27796"/>
    <w:rsid w:val="651E0E49"/>
    <w:rsid w:val="656767D3"/>
    <w:rsid w:val="659B022A"/>
    <w:rsid w:val="664A237C"/>
    <w:rsid w:val="68D35B63"/>
    <w:rsid w:val="692073C4"/>
    <w:rsid w:val="697119CE"/>
    <w:rsid w:val="6A7A48B2"/>
    <w:rsid w:val="6A7F636D"/>
    <w:rsid w:val="6B282560"/>
    <w:rsid w:val="6C643A6C"/>
    <w:rsid w:val="6D0E5786"/>
    <w:rsid w:val="6D4713C4"/>
    <w:rsid w:val="707A1AB0"/>
    <w:rsid w:val="70910BA8"/>
    <w:rsid w:val="714125CE"/>
    <w:rsid w:val="714C1392"/>
    <w:rsid w:val="71A33B87"/>
    <w:rsid w:val="72E83B3F"/>
    <w:rsid w:val="733B0348"/>
    <w:rsid w:val="73D666DD"/>
    <w:rsid w:val="748922C2"/>
    <w:rsid w:val="74AC0B89"/>
    <w:rsid w:val="75D21A46"/>
    <w:rsid w:val="76C23869"/>
    <w:rsid w:val="77364257"/>
    <w:rsid w:val="780D6D66"/>
    <w:rsid w:val="783E40AA"/>
    <w:rsid w:val="786051E6"/>
    <w:rsid w:val="7A100D8F"/>
    <w:rsid w:val="7AA03EC1"/>
    <w:rsid w:val="7AF73062"/>
    <w:rsid w:val="7B39CB1D"/>
    <w:rsid w:val="7B6E5D6D"/>
    <w:rsid w:val="7BF70459"/>
    <w:rsid w:val="7CB71A4C"/>
    <w:rsid w:val="7D33726F"/>
    <w:rsid w:val="7D755AD9"/>
    <w:rsid w:val="7E582365"/>
    <w:rsid w:val="7F196D60"/>
    <w:rsid w:val="7F69341C"/>
    <w:rsid w:val="7FDD1714"/>
    <w:rsid w:val="AB6E8F76"/>
    <w:rsid w:val="DB75E73D"/>
    <w:rsid w:val="DD6A9FF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ind w:left="328"/>
    </w:pPr>
    <w:rPr>
      <w:szCs w:val="21"/>
    </w:rPr>
  </w:style>
  <w:style w:type="paragraph" w:styleId="3">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7596</Words>
  <Characters>7858</Characters>
  <Lines>64</Lines>
  <Paragraphs>18</Paragraphs>
  <TotalTime>3</TotalTime>
  <ScaleCrop>false</ScaleCrop>
  <LinksUpToDate>false</LinksUpToDate>
  <CharactersWithSpaces>8417</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2024-08-14T18:46:00Z</dcterms:created>
  <dc:creator>不做一米陌生人</dc:creator>
  <cp:lastModifiedBy>商波</cp:lastModifiedBy>
  <dcterms:modified xsi:type="dcterms:W3CDTF">2026-02-28T09:21:25Z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AA220A36D5F7432F968D3BAD752BF998_13</vt:lpwstr>
  </property>
  <property fmtid="{D5CDD505-2E9C-101B-9397-08002B2CF9AE}" pid="4" name="KSOTemplateDocerSaveRecord">
    <vt:lpwstr>eyJoZGlkIjoiYjhiMjZmMTBjNWFlNjdkZjYwZjgyMWJkMWI3OThhZDkiLCJ1c2VySWQiOiIxNzk2MzU5ODc2In0=</vt:lpwstr>
  </property>
</Properties>
</file>