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11E61E">
      <w:pPr>
        <w:jc w:val="center"/>
        <w:rPr>
          <w:rFonts w:hint="default"/>
          <w:b/>
          <w:bCs/>
          <w:lang w:val="en-US" w:eastAsia="zh-CN"/>
        </w:rPr>
      </w:pPr>
      <w:r>
        <w:rPr>
          <w:rFonts w:hint="eastAsia"/>
          <w:b/>
          <w:bCs/>
          <w:lang w:val="en-US" w:eastAsia="zh-CN"/>
        </w:rPr>
        <w:t>东山公园图纸答疑汇总篇2026.2.28</w:t>
      </w:r>
    </w:p>
    <w:p w14:paraId="0448B4C9">
      <w:pPr>
        <w:numPr>
          <w:ilvl w:val="0"/>
          <w:numId w:val="2"/>
        </w:numPr>
        <w:jc w:val="both"/>
        <w:rPr>
          <w:rFonts w:hint="eastAsia"/>
          <w:b/>
          <w:bCs/>
          <w:lang w:val="en-US" w:eastAsia="zh-CN"/>
        </w:rPr>
      </w:pPr>
      <w:r>
        <w:rPr>
          <w:rFonts w:hint="eastAsia"/>
          <w:b/>
          <w:bCs/>
          <w:lang w:val="en-US" w:eastAsia="zh-CN"/>
        </w:rPr>
        <w:t>道路</w:t>
      </w:r>
    </w:p>
    <w:p w14:paraId="1BA6BFD3">
      <w:pPr>
        <w:numPr>
          <w:ilvl w:val="0"/>
          <w:numId w:val="0"/>
        </w:numPr>
        <w:spacing w:line="360" w:lineRule="auto"/>
        <w:ind w:firstLine="482" w:firstLineChars="200"/>
        <w:jc w:val="both"/>
        <w:rPr>
          <w:rFonts w:hint="eastAsia" w:ascii="宋体" w:hAnsi="宋体" w:eastAsia="宋体" w:cs="宋体"/>
          <w:b/>
          <w:bCs/>
          <w:sz w:val="24"/>
          <w:szCs w:val="22"/>
          <w:lang w:val="en-US" w:eastAsia="zh-CN"/>
        </w:rPr>
      </w:pPr>
      <w:r>
        <w:rPr>
          <w:rFonts w:hint="eastAsia" w:ascii="宋体" w:hAnsi="宋体" w:eastAsia="宋体" w:cs="宋体"/>
          <w:b/>
          <w:bCs/>
          <w:sz w:val="24"/>
          <w:szCs w:val="22"/>
          <w:lang w:val="en-US" w:eastAsia="zh-CN"/>
        </w:rPr>
        <w:t>（一）、关于设计内容矛盾及表述错误的答疑要求</w:t>
      </w:r>
    </w:p>
    <w:p w14:paraId="3CB5B474">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1、设计明确本项目道路等级为生产步道（人行道），但横断面多次出现 “0.5 米硬路肩 + 人行道” 组合，硬路肩为车行道路配套设施，与纯人行步道功能定位冲突，且技术指标表中 “道路净空设置” 写 “主车道 2.5m”、“桥涵设计荷载” 写 “城 —B 级”，均与本项目无车行、无桥涵的实际情况不符，请明确；若保留请说明设计依据，并修正技术指标表中无关指标项。</w:t>
      </w:r>
    </w:p>
    <w:p w14:paraId="7EA0C372">
      <w:pPr>
        <w:numPr>
          <w:ilvl w:val="0"/>
          <w:numId w:val="0"/>
        </w:numPr>
        <w:spacing w:line="360" w:lineRule="auto"/>
        <w:ind w:firstLine="480" w:firstLineChars="200"/>
        <w:jc w:val="both"/>
        <w:rPr>
          <w:rFonts w:hint="default" w:ascii="宋体" w:hAnsi="宋体" w:eastAsia="宋体" w:cs="宋体"/>
          <w:sz w:val="24"/>
          <w:szCs w:val="22"/>
          <w:lang w:val="en-US" w:eastAsia="zh-CN"/>
        </w:rPr>
      </w:pPr>
      <w:r>
        <w:rPr>
          <w:rFonts w:hint="eastAsia" w:ascii="宋体" w:hAnsi="宋体" w:eastAsia="宋体" w:cs="宋体"/>
          <w:sz w:val="24"/>
          <w:szCs w:val="22"/>
          <w:lang w:val="en-US" w:eastAsia="zh-CN"/>
        </w:rPr>
        <w:t>回复：本次设计生产步道为人行道，但因有农业生产需求所以道路结构参照车行道设计，局部因排水需要设计有涵管排水。</w:t>
      </w:r>
    </w:p>
    <w:p w14:paraId="5D52A7F2">
      <w:pPr>
        <w:numPr>
          <w:ilvl w:val="0"/>
          <w:numId w:val="3"/>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原有混凝土路面结构描述中存在 “4 厘米厚 SBS 细粒式改性沥青混凝土 + 1cm 改性沥青同步碎石封层，有裂缝处铺设自粘式玻璃纤维格栅” ，且未明确同步碎石封层、玻璃纤维格栅（具体参数要求需明确）是所有旧混凝土路面必做，还是仅病害段做，请明确旧混凝土路面不同病害等级（无病害 / 轻微病害 / 严重病害）的差异化施工工艺要求。</w:t>
      </w:r>
    </w:p>
    <w:p w14:paraId="6F2B9742">
      <w:pPr>
        <w:numPr>
          <w:ilvl w:val="0"/>
          <w:numId w:val="0"/>
        </w:numPr>
        <w:spacing w:line="360" w:lineRule="auto"/>
        <w:jc w:val="both"/>
        <w:rPr>
          <w:rFonts w:hint="default" w:ascii="宋体" w:hAnsi="宋体" w:eastAsia="宋体" w:cs="宋体"/>
          <w:sz w:val="24"/>
          <w:szCs w:val="22"/>
          <w:lang w:val="en-US" w:eastAsia="zh-CN"/>
        </w:rPr>
      </w:pPr>
      <w:r>
        <w:rPr>
          <w:rFonts w:hint="eastAsia" w:ascii="宋体" w:hAnsi="宋体" w:eastAsia="宋体" w:cs="宋体"/>
          <w:sz w:val="24"/>
          <w:szCs w:val="22"/>
          <w:lang w:val="en-US" w:eastAsia="zh-CN"/>
        </w:rPr>
        <w:t xml:space="preserve">    回复：1cm 改性沥青同步碎石封层为旧混凝土路面均需铺设，玻璃纤维格栅在路面有裂缝处铺设。</w:t>
      </w:r>
    </w:p>
    <w:p w14:paraId="578FFC54">
      <w:pPr>
        <w:numPr>
          <w:ilvl w:val="0"/>
          <w:numId w:val="3"/>
        </w:numPr>
        <w:spacing w:line="360" w:lineRule="auto"/>
        <w:ind w:left="0" w:leftChars="0"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工程地质部分控制点 K2 高程标注为 “H=172.54m”，结合项目中山山地地貌及 K1 高程 1792.31m，该数值存在明显笔误，请提供K2 控制点正确的三维坐标（X/Y/H），并确认所有测量控制点的准确性。</w:t>
      </w:r>
    </w:p>
    <w:p w14:paraId="33D2EAE7">
      <w:pPr>
        <w:numPr>
          <w:ilvl w:val="0"/>
          <w:numId w:val="0"/>
        </w:numPr>
        <w:spacing w:line="360" w:lineRule="auto"/>
        <w:ind w:leftChars="200"/>
        <w:jc w:val="both"/>
        <w:rPr>
          <w:rFonts w:hint="default" w:ascii="宋体" w:hAnsi="宋体" w:eastAsia="宋体" w:cs="宋体"/>
          <w:sz w:val="24"/>
          <w:szCs w:val="22"/>
          <w:lang w:val="en-US" w:eastAsia="zh-CN"/>
        </w:rPr>
      </w:pPr>
      <w:r>
        <w:rPr>
          <w:rFonts w:hint="eastAsia" w:ascii="宋体" w:hAnsi="宋体" w:eastAsia="宋体" w:cs="宋体"/>
          <w:sz w:val="24"/>
          <w:szCs w:val="22"/>
          <w:lang w:val="en-US" w:eastAsia="zh-CN"/>
        </w:rPr>
        <w:t>回复：该问题需找测绘确定。</w:t>
      </w:r>
    </w:p>
    <w:p w14:paraId="2586A741">
      <w:pPr>
        <w:numPr>
          <w:ilvl w:val="0"/>
          <w:numId w:val="0"/>
        </w:numPr>
        <w:spacing w:line="360" w:lineRule="auto"/>
        <w:ind w:firstLine="482" w:firstLineChars="200"/>
        <w:jc w:val="both"/>
        <w:rPr>
          <w:rFonts w:hint="eastAsia" w:ascii="宋体" w:hAnsi="宋体" w:eastAsia="宋体" w:cs="宋体"/>
          <w:b/>
          <w:bCs/>
          <w:sz w:val="24"/>
          <w:szCs w:val="22"/>
          <w:lang w:val="en-US" w:eastAsia="zh-CN"/>
        </w:rPr>
      </w:pPr>
      <w:r>
        <w:rPr>
          <w:rFonts w:hint="eastAsia" w:ascii="宋体" w:hAnsi="宋体" w:eastAsia="宋体" w:cs="宋体"/>
          <w:b/>
          <w:bCs/>
          <w:sz w:val="24"/>
          <w:szCs w:val="22"/>
          <w:lang w:val="en-US" w:eastAsia="zh-CN"/>
        </w:rPr>
        <w:t>（二）、关于关键施工参数模糊的答疑要求</w:t>
      </w:r>
    </w:p>
    <w:p w14:paraId="4F5E666D">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1、路基处理相关参数</w:t>
      </w:r>
    </w:p>
    <w:p w14:paraId="1BCC450B">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1.1低填路基要求 “换填砂砾等透水材料”，请明确砂砾的级配要求、含泥量限值、最大粒径，及换填的具体厚度（路床范围及超挖部分）；特殊路基 “连砂石或级配碎石换填”，请明确连砂石的质量指标（含泥量、粒径范围、压实度）。</w:t>
      </w:r>
    </w:p>
    <w:p w14:paraId="59701FF0">
      <w:pPr>
        <w:pStyle w:val="4"/>
        <w:keepNext w:val="0"/>
        <w:keepLines w:val="0"/>
        <w:widowControl/>
        <w:suppressLineNumbers w:val="0"/>
        <w:spacing w:beforeAutospacing="0" w:afterAutospacing="0"/>
        <w:rPr>
          <w:rFonts w:hint="eastAsia" w:ascii="宋体" w:hAnsi="宋体" w:eastAsia="宋体" w:cs="宋体"/>
          <w:color w:val="FF0000"/>
          <w:sz w:val="24"/>
          <w:szCs w:val="22"/>
          <w:lang w:val="en-US" w:eastAsia="zh-CN"/>
        </w:rPr>
      </w:pPr>
      <w:r>
        <w:rPr>
          <w:rFonts w:hint="eastAsia" w:ascii="宋体" w:hAnsi="宋体" w:eastAsia="宋体" w:cs="宋体"/>
          <w:color w:val="FF0000"/>
          <w:sz w:val="24"/>
          <w:szCs w:val="22"/>
          <w:lang w:val="en-US" w:eastAsia="zh-CN"/>
        </w:rPr>
        <w:t>回复：</w:t>
      </w:r>
    </w:p>
    <w:p w14:paraId="3228112A">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低填路基</w:t>
      </w:r>
    </w:p>
    <w:p w14:paraId="4B4D7C0E">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砂砾级配要求:</w:t>
      </w:r>
    </w:p>
    <w:p w14:paraId="70256136">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优先采用天然级配砂砾。若无天然级配料，可使用碎石或卵石与砂人工掺配，确保级配连续。</w:t>
      </w:r>
    </w:p>
    <w:p w14:paraId="567EE5B1">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推荐级配范围 (%)</w:t>
      </w:r>
    </w:p>
    <w:tbl>
      <w:tblPr>
        <w:tblStyle w:val="6"/>
        <w:tblW w:w="8408" w:type="dxa"/>
        <w:jc w:val="center"/>
        <w:tblCellSpacing w:w="15"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555"/>
        <w:gridCol w:w="470"/>
        <w:gridCol w:w="930"/>
        <w:gridCol w:w="810"/>
        <w:gridCol w:w="810"/>
        <w:gridCol w:w="810"/>
        <w:gridCol w:w="810"/>
        <w:gridCol w:w="810"/>
        <w:gridCol w:w="690"/>
        <w:gridCol w:w="713"/>
      </w:tblGrid>
      <w:tr w14:paraId="049AD2B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shd w:val="clear" w:color="auto" w:fill="auto"/>
          <w:tblCellMar>
            <w:top w:w="15" w:type="dxa"/>
            <w:left w:w="15" w:type="dxa"/>
            <w:bottom w:w="15" w:type="dxa"/>
            <w:right w:w="15" w:type="dxa"/>
          </w:tblCellMar>
        </w:tblPrEx>
        <w:trPr>
          <w:trHeight w:val="0" w:hRule="atLeast"/>
          <w:tblCellSpacing w:w="15" w:type="dxa"/>
          <w:jc w:val="center"/>
        </w:trPr>
        <w:tc>
          <w:tcPr>
            <w:tcW w:w="1510" w:type="dxa"/>
            <w:tcBorders>
              <w:top w:val="single" w:color="000000" w:sz="4" w:space="0"/>
              <w:left w:val="nil"/>
              <w:bottom w:val="single" w:color="000000" w:sz="4" w:space="0"/>
              <w:right w:val="nil"/>
              <w:tl2br w:val="nil"/>
            </w:tcBorders>
            <w:shd w:val="clear" w:color="auto" w:fill="FFFFFF"/>
            <w:vAlign w:val="center"/>
          </w:tcPr>
          <w:p w14:paraId="3A3A3EDA">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筛孔尺寸 (mm)</w:t>
            </w:r>
          </w:p>
        </w:tc>
        <w:tc>
          <w:tcPr>
            <w:tcW w:w="440" w:type="dxa"/>
            <w:tcBorders>
              <w:top w:val="single" w:color="000000" w:sz="4" w:space="0"/>
              <w:left w:val="nil"/>
              <w:bottom w:val="single" w:color="000000" w:sz="4" w:space="0"/>
              <w:right w:val="nil"/>
            </w:tcBorders>
            <w:shd w:val="clear" w:color="auto" w:fill="FFFFFF"/>
            <w:vAlign w:val="center"/>
          </w:tcPr>
          <w:p w14:paraId="6958A221">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100</w:t>
            </w:r>
          </w:p>
        </w:tc>
        <w:tc>
          <w:tcPr>
            <w:tcW w:w="0" w:type="auto"/>
            <w:tcBorders>
              <w:top w:val="single" w:color="000000" w:sz="4" w:space="0"/>
              <w:left w:val="nil"/>
              <w:bottom w:val="single" w:color="000000" w:sz="4" w:space="0"/>
              <w:right w:val="nil"/>
            </w:tcBorders>
            <w:shd w:val="clear" w:color="auto" w:fill="FFFFFF"/>
            <w:vAlign w:val="center"/>
          </w:tcPr>
          <w:p w14:paraId="0DFE61AF">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50</w:t>
            </w:r>
          </w:p>
        </w:tc>
        <w:tc>
          <w:tcPr>
            <w:tcW w:w="0" w:type="auto"/>
            <w:tcBorders>
              <w:top w:val="single" w:color="000000" w:sz="4" w:space="0"/>
              <w:left w:val="nil"/>
              <w:bottom w:val="single" w:color="000000" w:sz="4" w:space="0"/>
              <w:right w:val="nil"/>
            </w:tcBorders>
            <w:shd w:val="clear" w:color="auto" w:fill="FFFFFF"/>
            <w:vAlign w:val="center"/>
          </w:tcPr>
          <w:p w14:paraId="1057D777">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40</w:t>
            </w:r>
          </w:p>
        </w:tc>
        <w:tc>
          <w:tcPr>
            <w:tcW w:w="0" w:type="auto"/>
            <w:tcBorders>
              <w:top w:val="single" w:color="000000" w:sz="4" w:space="0"/>
              <w:left w:val="nil"/>
              <w:bottom w:val="single" w:color="000000" w:sz="4" w:space="0"/>
              <w:right w:val="nil"/>
            </w:tcBorders>
            <w:shd w:val="clear" w:color="auto" w:fill="FFFFFF"/>
            <w:vAlign w:val="center"/>
          </w:tcPr>
          <w:p w14:paraId="1B551352">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20</w:t>
            </w:r>
          </w:p>
        </w:tc>
        <w:tc>
          <w:tcPr>
            <w:tcW w:w="0" w:type="auto"/>
            <w:tcBorders>
              <w:top w:val="single" w:color="000000" w:sz="4" w:space="0"/>
              <w:left w:val="nil"/>
              <w:bottom w:val="single" w:color="000000" w:sz="4" w:space="0"/>
              <w:right w:val="nil"/>
            </w:tcBorders>
            <w:shd w:val="clear" w:color="auto" w:fill="FFFFFF"/>
            <w:vAlign w:val="center"/>
          </w:tcPr>
          <w:p w14:paraId="01C37C8F">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10</w:t>
            </w:r>
          </w:p>
        </w:tc>
        <w:tc>
          <w:tcPr>
            <w:tcW w:w="0" w:type="auto"/>
            <w:tcBorders>
              <w:top w:val="single" w:color="000000" w:sz="4" w:space="0"/>
              <w:left w:val="nil"/>
              <w:bottom w:val="single" w:color="000000" w:sz="4" w:space="0"/>
              <w:right w:val="nil"/>
            </w:tcBorders>
            <w:shd w:val="clear" w:color="auto" w:fill="FFFFFF"/>
            <w:vAlign w:val="center"/>
          </w:tcPr>
          <w:p w14:paraId="4A4CF357">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5.0</w:t>
            </w:r>
          </w:p>
        </w:tc>
        <w:tc>
          <w:tcPr>
            <w:tcW w:w="0" w:type="auto"/>
            <w:tcBorders>
              <w:top w:val="single" w:color="000000" w:sz="4" w:space="0"/>
              <w:left w:val="nil"/>
              <w:bottom w:val="single" w:color="000000" w:sz="4" w:space="0"/>
              <w:right w:val="nil"/>
            </w:tcBorders>
            <w:shd w:val="clear" w:color="auto" w:fill="FFFFFF"/>
            <w:vAlign w:val="center"/>
          </w:tcPr>
          <w:p w14:paraId="12A07B01">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2.0</w:t>
            </w:r>
          </w:p>
        </w:tc>
        <w:tc>
          <w:tcPr>
            <w:tcW w:w="0" w:type="auto"/>
            <w:tcBorders>
              <w:top w:val="single" w:color="000000" w:sz="4" w:space="0"/>
              <w:left w:val="nil"/>
              <w:bottom w:val="single" w:color="000000" w:sz="4" w:space="0"/>
              <w:right w:val="nil"/>
            </w:tcBorders>
            <w:shd w:val="clear" w:color="auto" w:fill="FFFFFF"/>
            <w:vAlign w:val="center"/>
          </w:tcPr>
          <w:p w14:paraId="34FA2BC5">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0.5</w:t>
            </w:r>
          </w:p>
        </w:tc>
        <w:tc>
          <w:tcPr>
            <w:tcW w:w="668" w:type="dxa"/>
            <w:tcBorders>
              <w:top w:val="single" w:color="000000" w:sz="4" w:space="0"/>
              <w:left w:val="nil"/>
              <w:bottom w:val="single" w:color="000000" w:sz="4" w:space="0"/>
              <w:right w:val="nil"/>
            </w:tcBorders>
            <w:shd w:val="clear" w:color="auto" w:fill="FFFFFF"/>
            <w:vAlign w:val="center"/>
          </w:tcPr>
          <w:p w14:paraId="69345930">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0.075</w:t>
            </w:r>
          </w:p>
        </w:tc>
      </w:tr>
      <w:tr w14:paraId="3D6269C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shd w:val="clear" w:color="auto" w:fill="auto"/>
          <w:tblCellMar>
            <w:top w:w="15" w:type="dxa"/>
            <w:left w:w="15" w:type="dxa"/>
            <w:bottom w:w="15" w:type="dxa"/>
            <w:right w:w="15" w:type="dxa"/>
          </w:tblCellMar>
        </w:tblPrEx>
        <w:trPr>
          <w:trHeight w:val="0" w:hRule="atLeast"/>
          <w:tblCellSpacing w:w="15" w:type="dxa"/>
          <w:jc w:val="center"/>
        </w:trPr>
        <w:tc>
          <w:tcPr>
            <w:tcW w:w="1510" w:type="dxa"/>
            <w:tcBorders>
              <w:top w:val="single" w:color="000000" w:sz="4" w:space="0"/>
              <w:left w:val="nil"/>
              <w:bottom w:val="single" w:color="000000" w:sz="4" w:space="0"/>
              <w:right w:val="nil"/>
            </w:tcBorders>
            <w:shd w:val="clear" w:color="auto" w:fill="FFFFFF"/>
            <w:vAlign w:val="center"/>
          </w:tcPr>
          <w:p w14:paraId="5A74661C">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通过率 (%)​</w:t>
            </w:r>
          </w:p>
        </w:tc>
        <w:tc>
          <w:tcPr>
            <w:tcW w:w="440" w:type="dxa"/>
            <w:tcBorders>
              <w:top w:val="single" w:color="000000" w:sz="4" w:space="0"/>
              <w:left w:val="nil"/>
              <w:bottom w:val="single" w:color="000000" w:sz="4" w:space="0"/>
              <w:right w:val="nil"/>
            </w:tcBorders>
            <w:shd w:val="clear" w:color="auto" w:fill="FFFFFF"/>
            <w:vAlign w:val="center"/>
          </w:tcPr>
          <w:p w14:paraId="4555E92F">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100</w:t>
            </w:r>
          </w:p>
        </w:tc>
        <w:tc>
          <w:tcPr>
            <w:tcW w:w="900" w:type="dxa"/>
            <w:tcBorders>
              <w:top w:val="single" w:color="000000" w:sz="4" w:space="0"/>
              <w:left w:val="nil"/>
              <w:bottom w:val="single" w:color="000000" w:sz="4" w:space="0"/>
              <w:right w:val="nil"/>
            </w:tcBorders>
            <w:shd w:val="clear" w:color="auto" w:fill="FFFFFF"/>
            <w:vAlign w:val="center"/>
          </w:tcPr>
          <w:p w14:paraId="4F26A22D">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90–100</w:t>
            </w:r>
          </w:p>
        </w:tc>
        <w:tc>
          <w:tcPr>
            <w:tcW w:w="780" w:type="dxa"/>
            <w:tcBorders>
              <w:top w:val="single" w:color="000000" w:sz="4" w:space="0"/>
              <w:left w:val="nil"/>
              <w:bottom w:val="single" w:color="000000" w:sz="4" w:space="0"/>
              <w:right w:val="nil"/>
            </w:tcBorders>
            <w:shd w:val="clear" w:color="auto" w:fill="FFFFFF"/>
            <w:vAlign w:val="center"/>
          </w:tcPr>
          <w:p w14:paraId="479007BE">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75–95</w:t>
            </w:r>
          </w:p>
        </w:tc>
        <w:tc>
          <w:tcPr>
            <w:tcW w:w="780" w:type="dxa"/>
            <w:tcBorders>
              <w:top w:val="single" w:color="000000" w:sz="4" w:space="0"/>
              <w:left w:val="nil"/>
              <w:bottom w:val="single" w:color="000000" w:sz="4" w:space="0"/>
              <w:right w:val="nil"/>
            </w:tcBorders>
            <w:shd w:val="clear" w:color="auto" w:fill="FFFFFF"/>
            <w:vAlign w:val="center"/>
          </w:tcPr>
          <w:p w14:paraId="11355F77">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55–85</w:t>
            </w:r>
          </w:p>
        </w:tc>
        <w:tc>
          <w:tcPr>
            <w:tcW w:w="780" w:type="dxa"/>
            <w:tcBorders>
              <w:top w:val="single" w:color="000000" w:sz="4" w:space="0"/>
              <w:left w:val="nil"/>
              <w:bottom w:val="single" w:color="000000" w:sz="4" w:space="0"/>
              <w:right w:val="nil"/>
            </w:tcBorders>
            <w:shd w:val="clear" w:color="auto" w:fill="FFFFFF"/>
            <w:vAlign w:val="center"/>
          </w:tcPr>
          <w:p w14:paraId="574692FA">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35–65</w:t>
            </w:r>
          </w:p>
        </w:tc>
        <w:tc>
          <w:tcPr>
            <w:tcW w:w="780" w:type="dxa"/>
            <w:tcBorders>
              <w:top w:val="single" w:color="000000" w:sz="4" w:space="0"/>
              <w:left w:val="nil"/>
              <w:bottom w:val="single" w:color="000000" w:sz="4" w:space="0"/>
              <w:right w:val="nil"/>
            </w:tcBorders>
            <w:shd w:val="clear" w:color="auto" w:fill="FFFFFF"/>
            <w:vAlign w:val="center"/>
          </w:tcPr>
          <w:p w14:paraId="6441AA9A">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20–50</w:t>
            </w:r>
          </w:p>
        </w:tc>
        <w:tc>
          <w:tcPr>
            <w:tcW w:w="780" w:type="dxa"/>
            <w:tcBorders>
              <w:top w:val="single" w:color="000000" w:sz="4" w:space="0"/>
              <w:left w:val="nil"/>
              <w:bottom w:val="single" w:color="000000" w:sz="4" w:space="0"/>
              <w:right w:val="nil"/>
            </w:tcBorders>
            <w:shd w:val="clear" w:color="auto" w:fill="FFFFFF"/>
            <w:vAlign w:val="center"/>
          </w:tcPr>
          <w:p w14:paraId="029EAAA3">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10–35</w:t>
            </w:r>
          </w:p>
        </w:tc>
        <w:tc>
          <w:tcPr>
            <w:tcW w:w="660" w:type="dxa"/>
            <w:tcBorders>
              <w:top w:val="single" w:color="000000" w:sz="4" w:space="0"/>
              <w:left w:val="nil"/>
              <w:bottom w:val="single" w:color="000000" w:sz="4" w:space="0"/>
              <w:right w:val="nil"/>
            </w:tcBorders>
            <w:shd w:val="clear" w:color="auto" w:fill="FFFFFF"/>
            <w:vAlign w:val="center"/>
          </w:tcPr>
          <w:p w14:paraId="6404B862">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5–20</w:t>
            </w:r>
          </w:p>
        </w:tc>
        <w:tc>
          <w:tcPr>
            <w:tcW w:w="668" w:type="dxa"/>
            <w:tcBorders>
              <w:top w:val="single" w:color="000000" w:sz="4" w:space="0"/>
              <w:left w:val="nil"/>
              <w:bottom w:val="single" w:color="000000" w:sz="4" w:space="0"/>
              <w:right w:val="nil"/>
            </w:tcBorders>
            <w:shd w:val="clear" w:color="auto" w:fill="FFFFFF"/>
            <w:vAlign w:val="center"/>
          </w:tcPr>
          <w:p w14:paraId="63A010FB">
            <w:pPr>
              <w:jc w:val="center"/>
              <w:rPr>
                <w:rFonts w:hint="eastAsia" w:ascii="宋体" w:hAnsi="宋体"/>
                <w:color w:val="000000"/>
                <w:sz w:val="16"/>
                <w:szCs w:val="15"/>
                <w:lang w:val="en-US" w:eastAsia="zh-CN"/>
              </w:rPr>
            </w:pPr>
            <w:r>
              <w:rPr>
                <w:rFonts w:hint="eastAsia" w:ascii="宋体" w:hAnsi="宋体"/>
                <w:color w:val="000000"/>
                <w:sz w:val="16"/>
                <w:szCs w:val="15"/>
                <w:lang w:val="en-US" w:eastAsia="zh-CN"/>
              </w:rPr>
              <w:t>2–10</w:t>
            </w:r>
          </w:p>
        </w:tc>
      </w:tr>
    </w:tbl>
    <w:p w14:paraId="0625F644">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含泥量：不应大于 5%</w:t>
      </w:r>
    </w:p>
    <w:p w14:paraId="0A72AE96">
      <w:pPr>
        <w:numPr>
          <w:ilvl w:val="0"/>
          <w:numId w:val="0"/>
        </w:numPr>
        <w:spacing w:line="360" w:lineRule="auto"/>
        <w:ind w:firstLine="422" w:firstLineChars="200"/>
        <w:jc w:val="both"/>
        <w:rPr>
          <w:rFonts w:hint="default" w:ascii="宋体" w:hAnsi="宋体" w:eastAsia="宋体" w:cs="宋体"/>
          <w:b/>
          <w:bCs/>
          <w:color w:val="FF0000"/>
          <w:sz w:val="21"/>
          <w:szCs w:val="20"/>
          <w:lang w:val="en-US" w:eastAsia="zh-CN"/>
        </w:rPr>
      </w:pPr>
      <w:r>
        <w:rPr>
          <w:rFonts w:hint="default" w:ascii="宋体" w:hAnsi="宋体" w:eastAsia="宋体" w:cs="宋体"/>
          <w:b/>
          <w:bCs/>
          <w:color w:val="FF0000"/>
          <w:sz w:val="21"/>
          <w:szCs w:val="20"/>
          <w:lang w:val="en-US" w:eastAsia="zh-CN"/>
        </w:rPr>
        <w:t>最大粒径</w:t>
      </w:r>
      <w:r>
        <w:rPr>
          <w:rFonts w:hint="eastAsia" w:ascii="宋体" w:hAnsi="宋体" w:eastAsia="宋体" w:cs="宋体"/>
          <w:b/>
          <w:bCs/>
          <w:color w:val="FF0000"/>
          <w:sz w:val="21"/>
          <w:szCs w:val="20"/>
          <w:lang w:val="en-US" w:eastAsia="zh-CN"/>
        </w:rPr>
        <w:t>：不超过100mm</w:t>
      </w:r>
    </w:p>
    <w:p w14:paraId="0C13109A">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特殊路基</w:t>
      </w:r>
    </w:p>
    <w:p w14:paraId="22AF6E47">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级配碎石应质地坚硬，含泥量不应大于碎石质量（粒径小于5mm）的10%，碎石颗粒中细长及扁平颗粒的含量不应超过20%，级配其颗粒组成应符合相应的试验规程的要求，且级配宜接近圆滑曲线。压实度（重型击实标准）要求不低于96%。</w:t>
      </w:r>
    </w:p>
    <w:p w14:paraId="6C1D2FE4">
      <w:pPr>
        <w:spacing w:line="360" w:lineRule="auto"/>
        <w:ind w:firstLine="480" w:firstLineChars="200"/>
        <w:jc w:val="center"/>
        <w:rPr>
          <w:rFonts w:hint="eastAsia" w:ascii="宋体" w:hAnsi="宋体"/>
          <w:sz w:val="24"/>
          <w:szCs w:val="24"/>
        </w:rPr>
      </w:pPr>
      <w:r>
        <w:rPr>
          <w:rFonts w:hint="eastAsia" w:ascii="宋体" w:hAnsi="宋体"/>
          <w:sz w:val="24"/>
          <w:szCs w:val="24"/>
        </w:rPr>
        <w:t>级配碎石混合料的级配组成</w:t>
      </w:r>
    </w:p>
    <w:tbl>
      <w:tblPr>
        <w:tblStyle w:val="6"/>
        <w:tblW w:w="516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9"/>
        <w:gridCol w:w="605"/>
        <w:gridCol w:w="577"/>
        <w:gridCol w:w="582"/>
        <w:gridCol w:w="582"/>
        <w:gridCol w:w="582"/>
        <w:gridCol w:w="582"/>
        <w:gridCol w:w="582"/>
        <w:gridCol w:w="582"/>
        <w:gridCol w:w="582"/>
        <w:gridCol w:w="582"/>
        <w:gridCol w:w="499"/>
        <w:gridCol w:w="499"/>
        <w:gridCol w:w="499"/>
        <w:gridCol w:w="573"/>
      </w:tblGrid>
      <w:tr w14:paraId="75453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510" w:type="pct"/>
            <w:noWrap w:val="0"/>
            <w:vAlign w:val="center"/>
          </w:tcPr>
          <w:p w14:paraId="58AE2E87">
            <w:pPr>
              <w:jc w:val="center"/>
              <w:rPr>
                <w:rFonts w:ascii="宋体" w:hAnsi="宋体"/>
                <w:color w:val="000000"/>
                <w:sz w:val="16"/>
                <w:szCs w:val="15"/>
              </w:rPr>
            </w:pPr>
            <w:r>
              <w:rPr>
                <w:rFonts w:hint="eastAsia" w:ascii="宋体" w:hAnsi="宋体"/>
                <w:color w:val="000000"/>
                <w:sz w:val="16"/>
                <w:szCs w:val="15"/>
              </w:rPr>
              <w:t>方筛孔尺寸（mm）</w:t>
            </w:r>
          </w:p>
        </w:tc>
        <w:tc>
          <w:tcPr>
            <w:tcW w:w="343" w:type="pct"/>
            <w:noWrap w:val="0"/>
            <w:vAlign w:val="center"/>
          </w:tcPr>
          <w:p w14:paraId="7B698669">
            <w:pPr>
              <w:jc w:val="center"/>
              <w:rPr>
                <w:rFonts w:ascii="Calibri" w:hAnsi="Calibri" w:cs="Calibri"/>
                <w:color w:val="000000"/>
                <w:sz w:val="13"/>
                <w:szCs w:val="18"/>
              </w:rPr>
            </w:pPr>
            <w:r>
              <w:rPr>
                <w:rFonts w:ascii="Calibri" w:hAnsi="Calibri" w:cs="Calibri"/>
                <w:color w:val="000000"/>
                <w:sz w:val="13"/>
                <w:szCs w:val="18"/>
              </w:rPr>
              <w:t>37.5</w:t>
            </w:r>
          </w:p>
        </w:tc>
        <w:tc>
          <w:tcPr>
            <w:tcW w:w="327" w:type="pct"/>
            <w:noWrap w:val="0"/>
            <w:vAlign w:val="center"/>
          </w:tcPr>
          <w:p w14:paraId="0CB34D6C">
            <w:pPr>
              <w:jc w:val="center"/>
              <w:rPr>
                <w:rFonts w:ascii="Calibri" w:hAnsi="Calibri" w:cs="Calibri"/>
                <w:color w:val="000000"/>
                <w:sz w:val="13"/>
                <w:szCs w:val="18"/>
              </w:rPr>
            </w:pPr>
            <w:r>
              <w:rPr>
                <w:rFonts w:ascii="Calibri" w:hAnsi="Calibri" w:cs="Calibri"/>
                <w:color w:val="000000"/>
                <w:sz w:val="13"/>
                <w:szCs w:val="18"/>
              </w:rPr>
              <w:t>31.5</w:t>
            </w:r>
          </w:p>
        </w:tc>
        <w:tc>
          <w:tcPr>
            <w:tcW w:w="330" w:type="pct"/>
            <w:noWrap w:val="0"/>
            <w:vAlign w:val="center"/>
          </w:tcPr>
          <w:p w14:paraId="15166D67">
            <w:pPr>
              <w:jc w:val="center"/>
              <w:rPr>
                <w:rFonts w:ascii="Calibri" w:hAnsi="Calibri" w:cs="Calibri"/>
                <w:color w:val="000000"/>
                <w:sz w:val="13"/>
                <w:szCs w:val="18"/>
              </w:rPr>
            </w:pPr>
            <w:r>
              <w:rPr>
                <w:rFonts w:ascii="Calibri" w:hAnsi="Calibri" w:cs="Calibri"/>
                <w:color w:val="000000"/>
                <w:sz w:val="13"/>
                <w:szCs w:val="18"/>
              </w:rPr>
              <w:t>26.5</w:t>
            </w:r>
          </w:p>
        </w:tc>
        <w:tc>
          <w:tcPr>
            <w:tcW w:w="330" w:type="pct"/>
            <w:noWrap w:val="0"/>
            <w:vAlign w:val="center"/>
          </w:tcPr>
          <w:p w14:paraId="053EBEE7">
            <w:pPr>
              <w:jc w:val="center"/>
              <w:rPr>
                <w:rFonts w:ascii="Calibri" w:hAnsi="Calibri" w:cs="Calibri"/>
                <w:color w:val="000000"/>
                <w:sz w:val="13"/>
                <w:szCs w:val="18"/>
              </w:rPr>
            </w:pPr>
            <w:r>
              <w:rPr>
                <w:rFonts w:ascii="Calibri" w:hAnsi="Calibri" w:cs="Calibri"/>
                <w:color w:val="000000"/>
                <w:sz w:val="13"/>
                <w:szCs w:val="18"/>
              </w:rPr>
              <w:t>19</w:t>
            </w:r>
          </w:p>
        </w:tc>
        <w:tc>
          <w:tcPr>
            <w:tcW w:w="330" w:type="pct"/>
            <w:noWrap w:val="0"/>
            <w:vAlign w:val="center"/>
          </w:tcPr>
          <w:p w14:paraId="02A5363C">
            <w:pPr>
              <w:jc w:val="center"/>
              <w:rPr>
                <w:rFonts w:ascii="Calibri" w:hAnsi="Calibri" w:cs="Calibri"/>
                <w:color w:val="000000"/>
                <w:sz w:val="13"/>
                <w:szCs w:val="18"/>
              </w:rPr>
            </w:pPr>
            <w:r>
              <w:rPr>
                <w:rFonts w:ascii="Calibri" w:hAnsi="Calibri" w:cs="Calibri"/>
                <w:color w:val="000000"/>
                <w:sz w:val="13"/>
                <w:szCs w:val="18"/>
              </w:rPr>
              <w:t>16</w:t>
            </w:r>
          </w:p>
        </w:tc>
        <w:tc>
          <w:tcPr>
            <w:tcW w:w="330" w:type="pct"/>
            <w:noWrap w:val="0"/>
            <w:vAlign w:val="center"/>
          </w:tcPr>
          <w:p w14:paraId="208FF519">
            <w:pPr>
              <w:jc w:val="center"/>
              <w:rPr>
                <w:rFonts w:ascii="Calibri" w:hAnsi="Calibri" w:cs="Calibri"/>
                <w:color w:val="000000"/>
                <w:sz w:val="13"/>
                <w:szCs w:val="18"/>
              </w:rPr>
            </w:pPr>
            <w:r>
              <w:rPr>
                <w:rFonts w:ascii="Calibri" w:hAnsi="Calibri" w:cs="Calibri"/>
                <w:color w:val="000000"/>
                <w:sz w:val="13"/>
                <w:szCs w:val="18"/>
              </w:rPr>
              <w:t>13.2</w:t>
            </w:r>
          </w:p>
        </w:tc>
        <w:tc>
          <w:tcPr>
            <w:tcW w:w="330" w:type="pct"/>
            <w:noWrap w:val="0"/>
            <w:vAlign w:val="center"/>
          </w:tcPr>
          <w:p w14:paraId="7B4AD938">
            <w:pPr>
              <w:jc w:val="center"/>
              <w:rPr>
                <w:rFonts w:ascii="Calibri" w:hAnsi="Calibri" w:cs="Calibri"/>
                <w:color w:val="000000"/>
                <w:sz w:val="13"/>
                <w:szCs w:val="18"/>
              </w:rPr>
            </w:pPr>
            <w:r>
              <w:rPr>
                <w:rFonts w:ascii="Calibri" w:hAnsi="Calibri" w:cs="Calibri"/>
                <w:color w:val="000000"/>
                <w:sz w:val="13"/>
                <w:szCs w:val="18"/>
              </w:rPr>
              <w:t>9.5</w:t>
            </w:r>
          </w:p>
        </w:tc>
        <w:tc>
          <w:tcPr>
            <w:tcW w:w="330" w:type="pct"/>
            <w:noWrap w:val="0"/>
            <w:vAlign w:val="center"/>
          </w:tcPr>
          <w:p w14:paraId="52C6305F">
            <w:pPr>
              <w:jc w:val="center"/>
              <w:rPr>
                <w:rFonts w:ascii="Calibri" w:hAnsi="Calibri" w:cs="Calibri"/>
                <w:color w:val="000000"/>
                <w:sz w:val="13"/>
                <w:szCs w:val="18"/>
              </w:rPr>
            </w:pPr>
            <w:r>
              <w:rPr>
                <w:rFonts w:ascii="Calibri" w:hAnsi="Calibri" w:cs="Calibri"/>
                <w:color w:val="000000"/>
                <w:sz w:val="13"/>
                <w:szCs w:val="18"/>
              </w:rPr>
              <w:t>4.75</w:t>
            </w:r>
          </w:p>
        </w:tc>
        <w:tc>
          <w:tcPr>
            <w:tcW w:w="330" w:type="pct"/>
            <w:noWrap w:val="0"/>
            <w:vAlign w:val="center"/>
          </w:tcPr>
          <w:p w14:paraId="60C4D28C">
            <w:pPr>
              <w:jc w:val="center"/>
              <w:rPr>
                <w:rFonts w:ascii="Calibri" w:hAnsi="Calibri" w:cs="Calibri"/>
                <w:color w:val="000000"/>
                <w:sz w:val="13"/>
                <w:szCs w:val="18"/>
              </w:rPr>
            </w:pPr>
            <w:r>
              <w:rPr>
                <w:rFonts w:ascii="Calibri" w:hAnsi="Calibri" w:cs="Calibri"/>
                <w:color w:val="000000"/>
                <w:sz w:val="13"/>
                <w:szCs w:val="18"/>
              </w:rPr>
              <w:t>2.36</w:t>
            </w:r>
          </w:p>
        </w:tc>
        <w:tc>
          <w:tcPr>
            <w:tcW w:w="330" w:type="pct"/>
            <w:noWrap w:val="0"/>
            <w:vAlign w:val="center"/>
          </w:tcPr>
          <w:p w14:paraId="79312A2E">
            <w:pPr>
              <w:jc w:val="center"/>
              <w:rPr>
                <w:rFonts w:ascii="Calibri" w:hAnsi="Calibri" w:cs="Calibri"/>
                <w:color w:val="000000"/>
                <w:sz w:val="13"/>
                <w:szCs w:val="18"/>
              </w:rPr>
            </w:pPr>
            <w:r>
              <w:rPr>
                <w:rFonts w:ascii="Calibri" w:hAnsi="Calibri" w:cs="Calibri"/>
                <w:color w:val="000000"/>
                <w:sz w:val="13"/>
                <w:szCs w:val="18"/>
              </w:rPr>
              <w:t>1.18</w:t>
            </w:r>
          </w:p>
        </w:tc>
        <w:tc>
          <w:tcPr>
            <w:tcW w:w="283" w:type="pct"/>
            <w:noWrap w:val="0"/>
            <w:vAlign w:val="center"/>
          </w:tcPr>
          <w:p w14:paraId="44A74507">
            <w:pPr>
              <w:jc w:val="center"/>
              <w:rPr>
                <w:rFonts w:ascii="Calibri" w:hAnsi="Calibri" w:cs="Calibri"/>
                <w:color w:val="000000"/>
                <w:sz w:val="13"/>
                <w:szCs w:val="18"/>
              </w:rPr>
            </w:pPr>
            <w:r>
              <w:rPr>
                <w:rFonts w:ascii="Calibri" w:hAnsi="Calibri" w:cs="Calibri"/>
                <w:color w:val="000000"/>
                <w:sz w:val="13"/>
                <w:szCs w:val="18"/>
              </w:rPr>
              <w:t>0.6</w:t>
            </w:r>
          </w:p>
        </w:tc>
        <w:tc>
          <w:tcPr>
            <w:tcW w:w="283" w:type="pct"/>
            <w:noWrap w:val="0"/>
            <w:vAlign w:val="center"/>
          </w:tcPr>
          <w:p w14:paraId="4D1ADC3A">
            <w:pPr>
              <w:jc w:val="center"/>
              <w:rPr>
                <w:rFonts w:ascii="Calibri" w:hAnsi="Calibri" w:cs="Calibri"/>
                <w:color w:val="000000"/>
                <w:sz w:val="13"/>
                <w:szCs w:val="18"/>
              </w:rPr>
            </w:pPr>
            <w:r>
              <w:rPr>
                <w:rFonts w:ascii="Calibri" w:hAnsi="Calibri" w:cs="Calibri"/>
                <w:color w:val="000000"/>
                <w:sz w:val="13"/>
                <w:szCs w:val="18"/>
              </w:rPr>
              <w:t>0.3</w:t>
            </w:r>
          </w:p>
        </w:tc>
        <w:tc>
          <w:tcPr>
            <w:tcW w:w="283" w:type="pct"/>
            <w:noWrap w:val="0"/>
            <w:vAlign w:val="center"/>
          </w:tcPr>
          <w:p w14:paraId="514637E6">
            <w:pPr>
              <w:jc w:val="center"/>
              <w:rPr>
                <w:rFonts w:ascii="Calibri" w:hAnsi="Calibri" w:cs="Calibri"/>
                <w:color w:val="000000"/>
                <w:sz w:val="13"/>
                <w:szCs w:val="18"/>
              </w:rPr>
            </w:pPr>
            <w:r>
              <w:rPr>
                <w:rFonts w:ascii="Calibri" w:hAnsi="Calibri" w:cs="Calibri"/>
                <w:color w:val="000000"/>
                <w:sz w:val="13"/>
                <w:szCs w:val="18"/>
              </w:rPr>
              <w:t>0.15</w:t>
            </w:r>
          </w:p>
        </w:tc>
        <w:tc>
          <w:tcPr>
            <w:tcW w:w="325" w:type="pct"/>
            <w:noWrap w:val="0"/>
            <w:vAlign w:val="center"/>
          </w:tcPr>
          <w:p w14:paraId="1E18539F">
            <w:pPr>
              <w:jc w:val="center"/>
              <w:rPr>
                <w:rFonts w:ascii="Calibri" w:hAnsi="Calibri" w:cs="Calibri"/>
                <w:color w:val="000000"/>
                <w:sz w:val="13"/>
                <w:szCs w:val="18"/>
              </w:rPr>
            </w:pPr>
            <w:r>
              <w:rPr>
                <w:rFonts w:ascii="Calibri" w:hAnsi="Calibri" w:cs="Calibri"/>
                <w:color w:val="000000"/>
                <w:sz w:val="13"/>
                <w:szCs w:val="18"/>
              </w:rPr>
              <w:t>0.075</w:t>
            </w:r>
          </w:p>
        </w:tc>
      </w:tr>
      <w:tr w14:paraId="70D1E8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6" w:hRule="atLeast"/>
          <w:jc w:val="center"/>
        </w:trPr>
        <w:tc>
          <w:tcPr>
            <w:tcW w:w="510" w:type="pct"/>
            <w:noWrap w:val="0"/>
            <w:vAlign w:val="center"/>
          </w:tcPr>
          <w:p w14:paraId="5049860D">
            <w:pPr>
              <w:jc w:val="center"/>
              <w:rPr>
                <w:rFonts w:hint="eastAsia" w:ascii="宋体" w:hAnsi="宋体"/>
                <w:color w:val="000000"/>
                <w:sz w:val="16"/>
                <w:szCs w:val="15"/>
              </w:rPr>
            </w:pPr>
            <w:r>
              <w:rPr>
                <w:rFonts w:hint="eastAsia" w:ascii="宋体" w:hAnsi="宋体"/>
                <w:color w:val="000000"/>
                <w:sz w:val="16"/>
                <w:szCs w:val="15"/>
              </w:rPr>
              <w:t>通过质量百分率</w:t>
            </w:r>
          </w:p>
          <w:p w14:paraId="38534DF2">
            <w:pPr>
              <w:jc w:val="center"/>
              <w:rPr>
                <w:rFonts w:ascii="宋体" w:hAnsi="宋体"/>
                <w:color w:val="000000"/>
                <w:sz w:val="16"/>
                <w:szCs w:val="15"/>
              </w:rPr>
            </w:pPr>
            <w:r>
              <w:rPr>
                <w:rFonts w:hint="eastAsia" w:ascii="宋体" w:hAnsi="宋体"/>
                <w:color w:val="000000"/>
                <w:sz w:val="16"/>
                <w:szCs w:val="15"/>
              </w:rPr>
              <w:t>（%）</w:t>
            </w:r>
          </w:p>
        </w:tc>
        <w:tc>
          <w:tcPr>
            <w:tcW w:w="343" w:type="pct"/>
            <w:noWrap w:val="0"/>
            <w:vAlign w:val="center"/>
          </w:tcPr>
          <w:p w14:paraId="10CF0B46">
            <w:pPr>
              <w:jc w:val="center"/>
              <w:rPr>
                <w:rFonts w:ascii="Calibri" w:hAnsi="Calibri" w:cs="Calibri"/>
                <w:color w:val="000000"/>
                <w:sz w:val="13"/>
                <w:szCs w:val="18"/>
              </w:rPr>
            </w:pPr>
            <w:r>
              <w:rPr>
                <w:rFonts w:ascii="Calibri" w:hAnsi="Calibri" w:cs="Calibri"/>
                <w:color w:val="000000"/>
                <w:sz w:val="13"/>
                <w:szCs w:val="18"/>
              </w:rPr>
              <w:t>95-100</w:t>
            </w:r>
          </w:p>
        </w:tc>
        <w:tc>
          <w:tcPr>
            <w:tcW w:w="327" w:type="pct"/>
            <w:noWrap w:val="0"/>
            <w:vAlign w:val="center"/>
          </w:tcPr>
          <w:p w14:paraId="71D29BE4">
            <w:pPr>
              <w:jc w:val="center"/>
              <w:rPr>
                <w:rFonts w:ascii="Calibri" w:hAnsi="Calibri" w:cs="Calibri"/>
                <w:color w:val="000000"/>
                <w:sz w:val="13"/>
                <w:szCs w:val="18"/>
              </w:rPr>
            </w:pPr>
            <w:r>
              <w:rPr>
                <w:rFonts w:ascii="Calibri" w:hAnsi="Calibri" w:cs="Calibri"/>
                <w:color w:val="000000"/>
                <w:sz w:val="13"/>
                <w:szCs w:val="18"/>
              </w:rPr>
              <w:t>85-95</w:t>
            </w:r>
          </w:p>
        </w:tc>
        <w:tc>
          <w:tcPr>
            <w:tcW w:w="330" w:type="pct"/>
            <w:noWrap w:val="0"/>
            <w:vAlign w:val="center"/>
          </w:tcPr>
          <w:p w14:paraId="4F3140C7">
            <w:pPr>
              <w:jc w:val="center"/>
              <w:rPr>
                <w:rFonts w:ascii="Calibri" w:hAnsi="Calibri" w:cs="Calibri"/>
                <w:color w:val="000000"/>
                <w:sz w:val="13"/>
                <w:szCs w:val="18"/>
              </w:rPr>
            </w:pPr>
            <w:r>
              <w:rPr>
                <w:rFonts w:ascii="Calibri" w:hAnsi="Calibri" w:cs="Calibri"/>
                <w:color w:val="000000"/>
                <w:sz w:val="13"/>
                <w:szCs w:val="18"/>
              </w:rPr>
              <w:t>75-90</w:t>
            </w:r>
          </w:p>
        </w:tc>
        <w:tc>
          <w:tcPr>
            <w:tcW w:w="330" w:type="pct"/>
            <w:noWrap w:val="0"/>
            <w:vAlign w:val="center"/>
          </w:tcPr>
          <w:p w14:paraId="5D778722">
            <w:pPr>
              <w:jc w:val="center"/>
              <w:rPr>
                <w:rFonts w:ascii="Calibri" w:hAnsi="Calibri" w:cs="Calibri"/>
                <w:color w:val="000000"/>
                <w:sz w:val="13"/>
                <w:szCs w:val="18"/>
              </w:rPr>
            </w:pPr>
            <w:r>
              <w:rPr>
                <w:rFonts w:ascii="Calibri" w:hAnsi="Calibri" w:cs="Calibri"/>
                <w:color w:val="000000"/>
                <w:sz w:val="13"/>
                <w:szCs w:val="18"/>
              </w:rPr>
              <w:t>60-82</w:t>
            </w:r>
          </w:p>
        </w:tc>
        <w:tc>
          <w:tcPr>
            <w:tcW w:w="330" w:type="pct"/>
            <w:noWrap w:val="0"/>
            <w:vAlign w:val="center"/>
          </w:tcPr>
          <w:p w14:paraId="61D66340">
            <w:pPr>
              <w:jc w:val="center"/>
              <w:rPr>
                <w:rFonts w:ascii="Calibri" w:hAnsi="Calibri" w:cs="Calibri"/>
                <w:color w:val="000000"/>
                <w:sz w:val="13"/>
                <w:szCs w:val="18"/>
              </w:rPr>
            </w:pPr>
            <w:r>
              <w:rPr>
                <w:rFonts w:ascii="Calibri" w:hAnsi="Calibri" w:cs="Calibri"/>
                <w:color w:val="000000"/>
                <w:sz w:val="13"/>
                <w:szCs w:val="18"/>
              </w:rPr>
              <w:t>53-78</w:t>
            </w:r>
          </w:p>
        </w:tc>
        <w:tc>
          <w:tcPr>
            <w:tcW w:w="330" w:type="pct"/>
            <w:noWrap w:val="0"/>
            <w:vAlign w:val="center"/>
          </w:tcPr>
          <w:p w14:paraId="42DED2D6">
            <w:pPr>
              <w:jc w:val="center"/>
              <w:rPr>
                <w:rFonts w:ascii="Calibri" w:hAnsi="Calibri" w:cs="Calibri"/>
                <w:color w:val="000000"/>
                <w:sz w:val="13"/>
                <w:szCs w:val="18"/>
              </w:rPr>
            </w:pPr>
            <w:r>
              <w:rPr>
                <w:rFonts w:ascii="Calibri" w:hAnsi="Calibri" w:cs="Calibri"/>
                <w:color w:val="000000"/>
                <w:sz w:val="13"/>
                <w:szCs w:val="18"/>
              </w:rPr>
              <w:t>48-74</w:t>
            </w:r>
          </w:p>
        </w:tc>
        <w:tc>
          <w:tcPr>
            <w:tcW w:w="330" w:type="pct"/>
            <w:noWrap w:val="0"/>
            <w:vAlign w:val="center"/>
          </w:tcPr>
          <w:p w14:paraId="34A4FEE7">
            <w:pPr>
              <w:jc w:val="center"/>
              <w:rPr>
                <w:rFonts w:ascii="Calibri" w:hAnsi="Calibri" w:cs="Calibri"/>
                <w:color w:val="000000"/>
                <w:sz w:val="13"/>
                <w:szCs w:val="18"/>
              </w:rPr>
            </w:pPr>
            <w:r>
              <w:rPr>
                <w:rFonts w:ascii="Calibri" w:hAnsi="Calibri" w:cs="Calibri"/>
                <w:color w:val="000000"/>
                <w:sz w:val="13"/>
                <w:szCs w:val="18"/>
              </w:rPr>
              <w:t>40-65</w:t>
            </w:r>
          </w:p>
        </w:tc>
        <w:tc>
          <w:tcPr>
            <w:tcW w:w="330" w:type="pct"/>
            <w:noWrap w:val="0"/>
            <w:vAlign w:val="center"/>
          </w:tcPr>
          <w:p w14:paraId="5EB1844F">
            <w:pPr>
              <w:jc w:val="center"/>
              <w:rPr>
                <w:rFonts w:ascii="Calibri" w:hAnsi="Calibri" w:cs="Calibri"/>
                <w:color w:val="000000"/>
                <w:sz w:val="13"/>
                <w:szCs w:val="18"/>
              </w:rPr>
            </w:pPr>
            <w:r>
              <w:rPr>
                <w:rFonts w:ascii="Calibri" w:hAnsi="Calibri" w:cs="Calibri"/>
                <w:color w:val="000000"/>
                <w:sz w:val="13"/>
                <w:szCs w:val="18"/>
              </w:rPr>
              <w:t>25-50</w:t>
            </w:r>
          </w:p>
        </w:tc>
        <w:tc>
          <w:tcPr>
            <w:tcW w:w="330" w:type="pct"/>
            <w:noWrap w:val="0"/>
            <w:vAlign w:val="center"/>
          </w:tcPr>
          <w:p w14:paraId="5ADBE1FD">
            <w:pPr>
              <w:jc w:val="center"/>
              <w:rPr>
                <w:rFonts w:ascii="Calibri" w:hAnsi="Calibri" w:cs="Calibri"/>
                <w:color w:val="000000"/>
                <w:sz w:val="13"/>
                <w:szCs w:val="18"/>
              </w:rPr>
            </w:pPr>
            <w:r>
              <w:rPr>
                <w:rFonts w:ascii="Calibri" w:hAnsi="Calibri" w:cs="Calibri"/>
                <w:color w:val="000000"/>
                <w:sz w:val="13"/>
                <w:szCs w:val="18"/>
              </w:rPr>
              <w:t>18-40</w:t>
            </w:r>
          </w:p>
        </w:tc>
        <w:tc>
          <w:tcPr>
            <w:tcW w:w="330" w:type="pct"/>
            <w:noWrap w:val="0"/>
            <w:vAlign w:val="center"/>
          </w:tcPr>
          <w:p w14:paraId="3F50B163">
            <w:pPr>
              <w:jc w:val="center"/>
              <w:rPr>
                <w:rFonts w:ascii="Calibri" w:hAnsi="Calibri" w:cs="Calibri"/>
                <w:color w:val="000000"/>
                <w:sz w:val="13"/>
                <w:szCs w:val="18"/>
              </w:rPr>
            </w:pPr>
            <w:r>
              <w:rPr>
                <w:rFonts w:ascii="Calibri" w:hAnsi="Calibri" w:cs="Calibri"/>
                <w:color w:val="000000"/>
                <w:sz w:val="13"/>
                <w:szCs w:val="18"/>
              </w:rPr>
              <w:t>13-32</w:t>
            </w:r>
          </w:p>
        </w:tc>
        <w:tc>
          <w:tcPr>
            <w:tcW w:w="283" w:type="pct"/>
            <w:noWrap w:val="0"/>
            <w:vAlign w:val="center"/>
          </w:tcPr>
          <w:p w14:paraId="13694B2B">
            <w:pPr>
              <w:jc w:val="center"/>
              <w:rPr>
                <w:rFonts w:ascii="Calibri" w:hAnsi="Calibri" w:cs="Calibri"/>
                <w:color w:val="000000"/>
                <w:sz w:val="13"/>
                <w:szCs w:val="18"/>
              </w:rPr>
            </w:pPr>
            <w:r>
              <w:rPr>
                <w:rFonts w:ascii="Calibri" w:hAnsi="Calibri" w:cs="Calibri"/>
                <w:color w:val="000000"/>
                <w:sz w:val="13"/>
                <w:szCs w:val="18"/>
              </w:rPr>
              <w:t>9-25</w:t>
            </w:r>
          </w:p>
        </w:tc>
        <w:tc>
          <w:tcPr>
            <w:tcW w:w="283" w:type="pct"/>
            <w:noWrap w:val="0"/>
            <w:vAlign w:val="center"/>
          </w:tcPr>
          <w:p w14:paraId="6E6AEFAF">
            <w:pPr>
              <w:jc w:val="center"/>
              <w:rPr>
                <w:rFonts w:ascii="Calibri" w:hAnsi="Calibri" w:cs="Calibri"/>
                <w:color w:val="000000"/>
                <w:sz w:val="13"/>
                <w:szCs w:val="18"/>
              </w:rPr>
            </w:pPr>
            <w:r>
              <w:rPr>
                <w:rFonts w:ascii="Calibri" w:hAnsi="Calibri" w:cs="Calibri"/>
                <w:color w:val="000000"/>
                <w:sz w:val="13"/>
                <w:szCs w:val="18"/>
              </w:rPr>
              <w:t>6-20</w:t>
            </w:r>
          </w:p>
        </w:tc>
        <w:tc>
          <w:tcPr>
            <w:tcW w:w="283" w:type="pct"/>
            <w:noWrap w:val="0"/>
            <w:vAlign w:val="center"/>
          </w:tcPr>
          <w:p w14:paraId="64337A41">
            <w:pPr>
              <w:jc w:val="center"/>
              <w:rPr>
                <w:rFonts w:ascii="Calibri" w:hAnsi="Calibri" w:cs="Calibri"/>
                <w:color w:val="000000"/>
                <w:sz w:val="13"/>
                <w:szCs w:val="18"/>
              </w:rPr>
            </w:pPr>
            <w:r>
              <w:rPr>
                <w:rFonts w:ascii="Calibri" w:hAnsi="Calibri" w:cs="Calibri"/>
                <w:color w:val="000000"/>
                <w:sz w:val="13"/>
                <w:szCs w:val="18"/>
              </w:rPr>
              <w:t>3-13</w:t>
            </w:r>
          </w:p>
        </w:tc>
        <w:tc>
          <w:tcPr>
            <w:tcW w:w="325" w:type="pct"/>
            <w:noWrap w:val="0"/>
            <w:vAlign w:val="center"/>
          </w:tcPr>
          <w:p w14:paraId="5FE63313">
            <w:pPr>
              <w:jc w:val="center"/>
              <w:rPr>
                <w:rFonts w:ascii="Calibri" w:hAnsi="Calibri" w:cs="Calibri"/>
                <w:color w:val="000000"/>
                <w:sz w:val="13"/>
                <w:szCs w:val="18"/>
              </w:rPr>
            </w:pPr>
            <w:r>
              <w:rPr>
                <w:rFonts w:ascii="Calibri" w:hAnsi="Calibri" w:cs="Calibri"/>
                <w:color w:val="000000"/>
                <w:sz w:val="13"/>
                <w:szCs w:val="18"/>
              </w:rPr>
              <w:t>0～7</w:t>
            </w:r>
          </w:p>
        </w:tc>
      </w:tr>
    </w:tbl>
    <w:p w14:paraId="77CB77C0">
      <w:pPr>
        <w:numPr>
          <w:ilvl w:val="0"/>
          <w:numId w:val="0"/>
        </w:numPr>
        <w:spacing w:line="360" w:lineRule="auto"/>
        <w:ind w:firstLine="422" w:firstLineChars="200"/>
        <w:jc w:val="both"/>
        <w:rPr>
          <w:rFonts w:hint="default" w:ascii="宋体" w:hAnsi="宋体" w:eastAsia="宋体" w:cs="宋体"/>
          <w:b/>
          <w:bCs/>
          <w:sz w:val="21"/>
          <w:szCs w:val="20"/>
          <w:lang w:val="en-US" w:eastAsia="zh-CN"/>
        </w:rPr>
      </w:pPr>
      <w:r>
        <w:rPr>
          <w:rFonts w:hint="eastAsia" w:ascii="宋体" w:hAnsi="宋体" w:eastAsia="宋体" w:cs="宋体"/>
          <w:b/>
          <w:bCs/>
          <w:sz w:val="21"/>
          <w:szCs w:val="20"/>
          <w:lang w:val="en-US" w:eastAsia="zh-CN"/>
        </w:rPr>
        <w:t>注：液限＜25%，塑限＜8%。</w:t>
      </w:r>
    </w:p>
    <w:p w14:paraId="74EEE338">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1.2填方路基 “地面横坡陡于 1:5 时开挖 2.5m 宽、向内倾斜 4% 的台阶”，请明确台阶的开挖方式（机械 / 人工）、台阶基底的压实度要求，及台阶搭接处的施工处理措施。</w:t>
      </w:r>
    </w:p>
    <w:p w14:paraId="6FE289B8">
      <w:pPr>
        <w:numPr>
          <w:ilvl w:val="0"/>
          <w:numId w:val="0"/>
        </w:numPr>
        <w:spacing w:line="360" w:lineRule="auto"/>
        <w:ind w:firstLine="480" w:firstLineChars="200"/>
        <w:jc w:val="both"/>
        <w:rPr>
          <w:rFonts w:hint="eastAsia" w:ascii="宋体" w:hAnsi="宋体" w:eastAsia="宋体" w:cs="宋体"/>
          <w:color w:val="FF0000"/>
          <w:sz w:val="24"/>
          <w:szCs w:val="22"/>
          <w:lang w:val="en-US" w:eastAsia="zh-CN"/>
        </w:rPr>
      </w:pPr>
      <w:r>
        <w:rPr>
          <w:rFonts w:hint="eastAsia" w:ascii="宋体" w:hAnsi="宋体" w:eastAsia="宋体" w:cs="宋体"/>
          <w:color w:val="FF0000"/>
          <w:sz w:val="24"/>
          <w:szCs w:val="22"/>
          <w:lang w:val="en-US" w:eastAsia="zh-CN"/>
        </w:rPr>
        <w:t>回复：</w:t>
      </w:r>
    </w:p>
    <w:p w14:paraId="408DF12B">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机械开完，人工修整。压实度不应低于93%（按重型击实标准）。</w:t>
      </w:r>
    </w:p>
    <w:p w14:paraId="7271BE74">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台阶搭接处施工处理措施：</w:t>
      </w:r>
    </w:p>
    <w:p w14:paraId="77BB5F46">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在填筑前，必须将台阶表面的松土、杂物彻底清除干净。台阶面应严格按向内倾斜2%-4%的横坡控制，以利排除表面积水。填筑必须从最低一层台阶开始，分层进行。每层填料摊铺后，压路机应先在台阶内侧的已压实路堤上横向碾压，然后向新铺填料区域纵向碾压，确保搭接处充分压实。碾压时，压路机应重叠碾压台阶宽度，防止接缝处漏压。上下两层路基的填筑接缝应错开，错开距离不宜小于2.0米，以增强整体性。</w:t>
      </w:r>
    </w:p>
    <w:p w14:paraId="2B2A8B70">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default" w:ascii="宋体" w:hAnsi="宋体" w:eastAsia="宋体" w:cs="宋体"/>
          <w:kern w:val="2"/>
          <w:sz w:val="24"/>
          <w:szCs w:val="22"/>
          <w:lang w:val="en-US" w:eastAsia="zh-CN" w:bidi="ar-SA"/>
        </w:rPr>
        <w:t>·</w:t>
      </w:r>
      <w:r>
        <w:rPr>
          <w:rFonts w:hint="eastAsia" w:ascii="宋体" w:hAnsi="宋体" w:eastAsia="宋体" w:cs="宋体"/>
          <w:sz w:val="24"/>
          <w:szCs w:val="22"/>
          <w:lang w:val="en-US" w:eastAsia="zh-CN"/>
        </w:rPr>
        <w:t>1.3路基填料要求选用支路标准，但其压实度、CBR 值等指标是针对车行道路，本项目为仅承受 2.5kN/㎡人群荷载的人行步道，请明确是否可降低路基填料的技术要求，若可降低请提供针对性的压实度、CBR 值、最大粒径指标。</w:t>
      </w:r>
    </w:p>
    <w:p w14:paraId="7DC5E38F">
      <w:pPr>
        <w:numPr>
          <w:ilvl w:val="0"/>
          <w:numId w:val="0"/>
        </w:numPr>
        <w:spacing w:line="360" w:lineRule="auto"/>
        <w:ind w:firstLine="480" w:firstLineChars="200"/>
        <w:jc w:val="both"/>
        <w:rPr>
          <w:rFonts w:hint="default" w:ascii="宋体" w:hAnsi="宋体" w:eastAsia="宋体" w:cs="宋体"/>
          <w:color w:val="FF0000"/>
          <w:sz w:val="24"/>
          <w:szCs w:val="22"/>
          <w:lang w:val="en-US" w:eastAsia="zh-CN"/>
        </w:rPr>
      </w:pPr>
      <w:r>
        <w:rPr>
          <w:rFonts w:hint="eastAsia" w:ascii="宋体" w:hAnsi="宋体" w:eastAsia="宋体" w:cs="宋体"/>
          <w:color w:val="FF0000"/>
          <w:sz w:val="24"/>
          <w:szCs w:val="22"/>
          <w:lang w:val="en-US" w:eastAsia="zh-CN"/>
        </w:rPr>
        <w:t>回复：本设计道路虽为人行道，但在实际生产过程中会有三轮车等生产载具通行所以保持现路基设计要求。</w:t>
      </w:r>
    </w:p>
    <w:p w14:paraId="6170D774">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2、沥青混合料及面层施工相关参数</w:t>
      </w:r>
    </w:p>
    <w:p w14:paraId="53343B8E">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2.1AC-13C 改性沥青混合料仅明确设计空隙率 3~4%，请提供本项目针对性的最佳沥青用量（OAC）、马歇尔稳定度上下限控制值；抗剥落剂掺量要求 2.5～4%，请明确本项目推荐掺量，及沥青与集料粘结力 4 级的现场检测方法和验收标准。</w:t>
      </w:r>
    </w:p>
    <w:p w14:paraId="607F59CF">
      <w:pPr>
        <w:numPr>
          <w:ilvl w:val="0"/>
          <w:numId w:val="0"/>
        </w:numPr>
        <w:spacing w:line="360" w:lineRule="auto"/>
        <w:ind w:firstLine="480" w:firstLineChars="200"/>
        <w:jc w:val="both"/>
        <w:rPr>
          <w:rFonts w:hint="default" w:ascii="宋体" w:hAnsi="宋体" w:eastAsia="宋体" w:cs="宋体"/>
          <w:sz w:val="24"/>
          <w:szCs w:val="22"/>
          <w:lang w:val="en-US" w:eastAsia="zh-CN"/>
        </w:rPr>
      </w:pPr>
      <w:r>
        <w:rPr>
          <w:rFonts w:hint="eastAsia" w:ascii="宋体" w:hAnsi="宋体" w:eastAsia="宋体" w:cs="宋体"/>
          <w:sz w:val="24"/>
          <w:szCs w:val="22"/>
          <w:lang w:val="en-US" w:eastAsia="zh-CN"/>
        </w:rPr>
        <w:t>回复：详见设计说明</w:t>
      </w:r>
    </w:p>
    <w:p w14:paraId="34180F2B">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2.2沥青路面施工仅明确 “气温低于 5℃不得施工”，请明确SBS 改性沥青混合料的到场温度、摊铺温度、初压 / 复压 / 终压温度，及碾压遍数、碾压速度等核心工艺参数。</w:t>
      </w:r>
    </w:p>
    <w:p w14:paraId="0B8CD887">
      <w:pPr>
        <w:numPr>
          <w:ilvl w:val="0"/>
          <w:numId w:val="0"/>
        </w:numPr>
        <w:spacing w:line="360" w:lineRule="auto"/>
        <w:ind w:firstLine="480" w:firstLineChars="200"/>
        <w:jc w:val="both"/>
        <w:rPr>
          <w:rFonts w:hint="eastAsia" w:ascii="宋体" w:hAnsi="宋体" w:eastAsia="宋体" w:cs="宋体"/>
          <w:color w:val="FF0000"/>
          <w:sz w:val="24"/>
          <w:szCs w:val="22"/>
          <w:lang w:val="en-US" w:eastAsia="zh-CN"/>
        </w:rPr>
      </w:pPr>
      <w:r>
        <w:rPr>
          <w:rFonts w:hint="eastAsia" w:ascii="宋体" w:hAnsi="宋体" w:eastAsia="宋体" w:cs="宋体"/>
          <w:color w:val="FF0000"/>
          <w:sz w:val="24"/>
          <w:szCs w:val="22"/>
          <w:lang w:val="en-US" w:eastAsia="zh-CN"/>
        </w:rPr>
        <w:t>回复：</w:t>
      </w:r>
    </w:p>
    <w:p w14:paraId="23F37F2E">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一、温度控制（关键指标）</w:t>
      </w:r>
    </w:p>
    <w:p w14:paraId="0917834C">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生产与到场温度：混合料出厂温度宜控制在175-185℃，运抵现场温度不得低于170℃。运输车辆需全程保温苫盖，到场温度低于160℃应予以废弃。</w:t>
      </w:r>
    </w:p>
    <w:p w14:paraId="2668AF6B">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摊铺温度：正常施工情况下，开始摊铺温度不应低于160℃；在低温、大风天气下，应提高至165℃以上。摊铺前须将熨平板预热至100℃以上。</w:t>
      </w:r>
    </w:p>
    <w:p w14:paraId="7531A956">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碾压温度：</w:t>
      </w:r>
    </w:p>
    <w:p w14:paraId="173EEC74">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初压开始温度：不低于150℃。</w:t>
      </w:r>
    </w:p>
    <w:p w14:paraId="6A0F8877">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复压进行温度：不低于140℃。</w:t>
      </w:r>
    </w:p>
    <w:p w14:paraId="4078C488">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终压进行温度：不低于90℃。</w:t>
      </w:r>
    </w:p>
    <w:p w14:paraId="51E869E7">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开放交通温度：路面应冷却至50℃以下方可开放交通。</w:t>
      </w:r>
    </w:p>
    <w:p w14:paraId="19DA5F79">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二、碾压工艺</w:t>
      </w:r>
    </w:p>
    <w:p w14:paraId="424BB695">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初压：紧随摊铺机后进行。采用双钢轮压路机​ 静压1-2遍（或轻振1遍），碾压速度宜为2-3 km/h。碾压应从道路低侧向高侧进行，驱动轮面向摊铺机。</w:t>
      </w:r>
    </w:p>
    <w:p w14:paraId="6D68C574">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复压：是压实的关键阶段。宜采用重型轮胎压路机或双钢轮振动压路机，碾压4-6遍，直至达到要求的压实度。碾压速度宜为3-5 km/h。使用轮胎压路机时，总质量不宜小于25吨，且应喷涂隔离剂（如洗衣粉水）防粘轮；使用振动压路机时应遵循“高频、低幅”原则。</w:t>
      </w:r>
    </w:p>
    <w:p w14:paraId="41F7DBD0">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终压：在复压后进行，以消除轮迹、提高平整度。采用双钢轮压路机静压收面1-2遍，碾压速度宜为3-6 km/h。</w:t>
      </w:r>
    </w:p>
    <w:p w14:paraId="0E592C5C">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三、摊铺与通用要求</w:t>
      </w:r>
    </w:p>
    <w:p w14:paraId="0202BF3A">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摊铺速度：应匀速、连续不间断，速度宜控制在2-6 m/min。建议采用非接触式平衡梁等装置控制厚度与平整度。</w:t>
      </w:r>
    </w:p>
    <w:p w14:paraId="715861F9">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碾压段长度：不宜过长，通常为20-30米，需根据现场降温情况动态调整，确保所有碾压工序在规定的温度范围内完成。</w:t>
      </w:r>
    </w:p>
    <w:p w14:paraId="52F8B1E6">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核心原则：施工应遵循“紧跟、慢压、高频、低幅”的原则。压路机不得在未成型路面上转向、调头、急刹车。</w:t>
      </w:r>
    </w:p>
    <w:p w14:paraId="2C507A53">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接缝处理：纵向缝宜采用热接缝；横向缝应为平接缝，需切割整齐并涂刷粘层油后再摊铺新料。</w:t>
      </w:r>
    </w:p>
    <w:p w14:paraId="68D1FEEB">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特殊天气：遇雨必须立即停止施工。气温低于5℃时，严禁施工。</w:t>
      </w:r>
    </w:p>
    <w:p w14:paraId="3372C8B9">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3、水泥稳定碎石基层相关参数</w:t>
      </w:r>
    </w:p>
    <w:p w14:paraId="656D720F">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水泥稳定碎石基层 7 天无侧限抗压强度要求 3-4MPa，请明确本项目的设计控制值（取中间值或固定值），及现场钻芯取样的检测频率、芯样完整度要求。</w:t>
      </w:r>
    </w:p>
    <w:p w14:paraId="232C5253">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要求 “基层养生采用薄膜覆盖并洒水养护”，请明确具体养生时长（7 天 / 14 天），养生结束后的弯沉检测标准及检测频率，及基层上铺设透层油的最佳施工时机。</w:t>
      </w:r>
    </w:p>
    <w:p w14:paraId="515AB71F">
      <w:pPr>
        <w:numPr>
          <w:ilvl w:val="0"/>
          <w:numId w:val="0"/>
        </w:numPr>
        <w:spacing w:line="360" w:lineRule="auto"/>
        <w:ind w:firstLine="480" w:firstLineChars="200"/>
        <w:jc w:val="both"/>
        <w:rPr>
          <w:rFonts w:hint="eastAsia" w:ascii="宋体" w:hAnsi="宋体" w:eastAsia="宋体" w:cs="宋体"/>
          <w:b/>
          <w:bCs/>
          <w:sz w:val="21"/>
          <w:szCs w:val="20"/>
          <w:lang w:val="en-US" w:eastAsia="zh-CN"/>
        </w:rPr>
      </w:pPr>
      <w:r>
        <w:rPr>
          <w:rFonts w:hint="eastAsia" w:ascii="宋体" w:hAnsi="宋体" w:eastAsia="宋体" w:cs="宋体"/>
          <w:color w:val="FF0000"/>
          <w:sz w:val="24"/>
          <w:szCs w:val="22"/>
          <w:lang w:val="en-US" w:eastAsia="zh-CN"/>
        </w:rPr>
        <w:t>回复：</w:t>
      </w:r>
      <w:r>
        <w:rPr>
          <w:rFonts w:hint="eastAsia" w:ascii="宋体" w:hAnsi="宋体" w:eastAsia="宋体" w:cs="宋体"/>
          <w:b/>
          <w:bCs/>
          <w:sz w:val="21"/>
          <w:szCs w:val="20"/>
          <w:lang w:val="en-US" w:eastAsia="zh-CN"/>
        </w:rPr>
        <w:t>7 天无侧限抗压强度要求按照规范控制在3—4MPa即可。</w:t>
      </w:r>
    </w:p>
    <w:p w14:paraId="19249AEA">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钻芯取样：检测频率：每一作业段（通常为单幅单层）钻取芯样数量不应少于9个。</w:t>
      </w:r>
    </w:p>
    <w:p w14:paraId="1DE6FC4E">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芯样完整度要求：</w:t>
      </w:r>
    </w:p>
    <w:p w14:paraId="5AA15288">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芯样应均匀、致密、完整，顶面及四周无松散、裂缝或明显离析。芯样实际高度应不小于该层设计（或摊铺）厚度的90%，部分规范要求不低于95%。若取不出完整芯样，应对相应路段进行返工处理</w:t>
      </w:r>
    </w:p>
    <w:p w14:paraId="39805BB0">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基层养生采用薄膜覆盖并洒水养护：</w:t>
      </w:r>
    </w:p>
    <w:p w14:paraId="3D747E8A">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养生时长：不应少于7天。碾压完成后应及时覆盖塑料薄膜或透水土工布，并定期洒水保持湿润。养生期间应完全封闭交通。</w:t>
      </w:r>
    </w:p>
    <w:p w14:paraId="7B9C2B66">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养生结束后弯沉检测</w:t>
      </w:r>
    </w:p>
    <w:p w14:paraId="6839EB13">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检测频率：按每车道每20米一个点进行检测，</w:t>
      </w:r>
    </w:p>
    <w:p w14:paraId="23410DFF">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透层油最佳施工时机宜紧接在基层碾压成型后、表面稍变干燥但尚未硬化时喷洒。</w:t>
      </w:r>
    </w:p>
    <w:p w14:paraId="0A2FA2A3">
      <w:pPr>
        <w:numPr>
          <w:ilvl w:val="0"/>
          <w:numId w:val="0"/>
        </w:numPr>
        <w:spacing w:line="360" w:lineRule="auto"/>
        <w:ind w:firstLine="422" w:firstLineChars="200"/>
        <w:jc w:val="both"/>
        <w:rPr>
          <w:rFonts w:hint="default" w:ascii="宋体" w:hAnsi="宋体" w:eastAsia="宋体" w:cs="宋体"/>
          <w:b/>
          <w:bCs/>
          <w:sz w:val="21"/>
          <w:szCs w:val="20"/>
          <w:lang w:val="en-US" w:eastAsia="zh-CN"/>
        </w:rPr>
      </w:pPr>
      <w:r>
        <w:rPr>
          <w:rFonts w:hint="eastAsia" w:ascii="宋体" w:hAnsi="宋体" w:eastAsia="宋体" w:cs="宋体"/>
          <w:b/>
          <w:bCs/>
          <w:sz w:val="21"/>
          <w:szCs w:val="20"/>
          <w:lang w:val="en-US" w:eastAsia="zh-CN"/>
        </w:rPr>
        <w:t>未尽事宜参照《公路路面基层施工技术细则》(JTG/T F20-2015）《公路工程质量检验评定标准》（JTG F80/1-2017）执行</w:t>
      </w:r>
    </w:p>
    <w:p w14:paraId="407C333A">
      <w:pPr>
        <w:numPr>
          <w:ilvl w:val="0"/>
          <w:numId w:val="0"/>
        </w:numPr>
        <w:spacing w:line="360" w:lineRule="auto"/>
        <w:ind w:firstLine="482" w:firstLineChars="200"/>
        <w:jc w:val="both"/>
        <w:rPr>
          <w:rFonts w:hint="eastAsia" w:ascii="宋体" w:hAnsi="宋体" w:eastAsia="宋体" w:cs="宋体"/>
          <w:b/>
          <w:bCs/>
          <w:sz w:val="24"/>
          <w:szCs w:val="22"/>
          <w:lang w:val="en-US" w:eastAsia="zh-CN"/>
        </w:rPr>
      </w:pPr>
      <w:r>
        <w:rPr>
          <w:rFonts w:hint="eastAsia" w:ascii="宋体" w:hAnsi="宋体" w:eastAsia="宋体" w:cs="宋体"/>
          <w:b/>
          <w:bCs/>
          <w:sz w:val="24"/>
          <w:szCs w:val="22"/>
          <w:lang w:val="en-US" w:eastAsia="zh-CN"/>
        </w:rPr>
        <w:t>（三）、关于施工工艺及工序衔接缺失的答疑要求</w:t>
      </w:r>
    </w:p>
    <w:p w14:paraId="77DEB801">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1、旧路面修复工艺</w:t>
      </w:r>
    </w:p>
    <w:p w14:paraId="5EC43C57">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针对 “修复原有混凝土路面后新铺沥青面层”，请明确混凝土路面病害的判定标准（如裂缝宽度≥多少需处理、板底脱空的检测方法）、拉毛的深度 / 粗糙度要求（如拉毛后表面构造深度最小值），及裂缝灌缝材料、板底压浆的水泥浆配比 / 压浆压力等具体工艺。</w:t>
      </w:r>
    </w:p>
    <w:p w14:paraId="013787DF">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原有沥青混凝土路面仅提及 “新铺沥青面层”，未明确旧沥青路面的处理工艺（如铣刨厚度、是否需要喷洒粘层油），请补充完善相关设计要求。</w:t>
      </w:r>
    </w:p>
    <w:p w14:paraId="172B1DD3">
      <w:pPr>
        <w:numPr>
          <w:ilvl w:val="0"/>
          <w:numId w:val="0"/>
        </w:numPr>
        <w:spacing w:line="360" w:lineRule="auto"/>
        <w:ind w:firstLine="480" w:firstLineChars="200"/>
        <w:jc w:val="both"/>
        <w:rPr>
          <w:rFonts w:hint="default"/>
          <w:lang w:val="en-US"/>
        </w:rPr>
      </w:pPr>
      <w:r>
        <w:rPr>
          <w:rFonts w:hint="eastAsia" w:ascii="宋体" w:hAnsi="宋体" w:eastAsia="宋体" w:cs="宋体"/>
          <w:color w:val="FF0000"/>
          <w:sz w:val="24"/>
          <w:szCs w:val="22"/>
          <w:lang w:val="en-US" w:eastAsia="zh-CN"/>
        </w:rPr>
        <w:t>回复：＜0.3mm为微裂缝，＞3mm需结构修补。其他详见设计图纸。</w:t>
      </w:r>
      <w:bookmarkStart w:id="0" w:name="_GoBack"/>
      <w:bookmarkEnd w:id="0"/>
    </w:p>
    <w:p w14:paraId="1E4C5FB3">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2、各结构层施工衔接</w:t>
      </w:r>
    </w:p>
    <w:p w14:paraId="65A98445">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新建道路路面结构为 “沥青面层 + 稀浆封层 + 透层油 + 水泥稳定碎石基层 + 砂砾垫层”，请明确砂砾垫层与原土基底之间是否需要设置处理层及各结构层之间的施工间隔时间要求。</w:t>
      </w:r>
    </w:p>
    <w:p w14:paraId="65553B3B">
      <w:pPr>
        <w:numPr>
          <w:ilvl w:val="0"/>
          <w:numId w:val="0"/>
        </w:numPr>
        <w:spacing w:line="360" w:lineRule="auto"/>
        <w:ind w:firstLine="480" w:firstLineChars="200"/>
        <w:jc w:val="both"/>
        <w:rPr>
          <w:rFonts w:hint="eastAsia" w:ascii="宋体" w:hAnsi="宋体" w:eastAsia="宋体" w:cs="宋体"/>
          <w:color w:val="FF0000"/>
          <w:sz w:val="24"/>
          <w:szCs w:val="22"/>
          <w:lang w:val="en-US" w:eastAsia="zh-CN"/>
        </w:rPr>
      </w:pPr>
      <w:r>
        <w:rPr>
          <w:rFonts w:hint="eastAsia" w:ascii="宋体" w:hAnsi="宋体" w:eastAsia="宋体" w:cs="宋体"/>
          <w:color w:val="FF0000"/>
          <w:sz w:val="24"/>
          <w:szCs w:val="22"/>
          <w:lang w:val="en-US" w:eastAsia="zh-CN"/>
        </w:rPr>
        <w:t>回复：</w:t>
      </w:r>
    </w:p>
    <w:p w14:paraId="0B8B5F18">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原土地基为良好土质（如砂性土、砾石土、低液限粘土等），且经检测其压实度、承载力（如CBR值）、弯沉值均满足设计及规范对路床顶面的要求时，在整平、压实后，可直接铺设砂砾垫层。</w:t>
      </w:r>
    </w:p>
    <w:p w14:paraId="73D8E23B">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需要设置处理层的特殊情况：</w:t>
      </w:r>
    </w:p>
    <w:p w14:paraId="3BB9BE3D">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土质不良：原土地基为淤泥、腐殖土、高液限粘土等不良土质，或含水量过高。</w:t>
      </w:r>
    </w:p>
    <w:p w14:paraId="39104E28">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承载力不足：原地基压实度或CBR值不达标，无法直接作为垫层基础。</w:t>
      </w:r>
    </w:p>
    <w:p w14:paraId="1A4EE64A">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处理措施：此时，必须先对原土地基进行处治。</w:t>
      </w:r>
    </w:p>
    <w:p w14:paraId="3B8E3693">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常见方法包括：</w:t>
      </w:r>
    </w:p>
    <w:p w14:paraId="45FE7825">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换填处理：挖除不良土层，换填符合要求的砂砾、碎石土等。</w:t>
      </w:r>
    </w:p>
    <w:p w14:paraId="431C3403">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掺灰（石灰/水泥）处理：改良土质，降低含水量，提高承载力。</w:t>
      </w:r>
    </w:p>
    <w:p w14:paraId="14580827">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铺设土工合成材料：如土工格栅、土工布，用于加筋、隔离或排水，防止垫层材料与地基土相互掺杂。</w:t>
      </w:r>
    </w:p>
    <w:p w14:paraId="1AA54D77">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砂砾垫层 → 水泥稳定碎石基层：垫层施工完成并检验合格后，可立即进行基层施工。需确保垫层顶面平整、坚实。</w:t>
      </w:r>
    </w:p>
    <w:p w14:paraId="0A59999D">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水泥稳定碎石基层 → 透层油：此为关键控制点。必须在基层养生期满（通常7天）后，且在其表面稍变干燥但尚未硬化污染前立即喷洒透层油。此窗口期是保证透层油有效渗透（≥5mm）的最佳时机。</w:t>
      </w:r>
    </w:p>
    <w:p w14:paraId="1C14C6F9">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透层油 → 稀浆封层：需待透层油完全渗透、破乳并水分蒸发后方可进行，通常需间隔24-48小时。应避免稀浆封层施工破坏未成膜的透层油。</w:t>
      </w:r>
    </w:p>
    <w:p w14:paraId="7123375F">
      <w:pPr>
        <w:numPr>
          <w:ilvl w:val="0"/>
          <w:numId w:val="0"/>
        </w:numPr>
        <w:spacing w:line="360" w:lineRule="auto"/>
        <w:ind w:firstLine="422" w:firstLineChars="200"/>
        <w:jc w:val="both"/>
        <w:rPr>
          <w:rFonts w:hint="eastAsia" w:ascii="宋体" w:hAnsi="宋体" w:eastAsia="宋体" w:cs="宋体"/>
          <w:b/>
          <w:bCs/>
          <w:sz w:val="21"/>
          <w:szCs w:val="20"/>
          <w:lang w:val="en-US" w:eastAsia="zh-CN"/>
        </w:rPr>
      </w:pPr>
      <w:r>
        <w:rPr>
          <w:rFonts w:hint="eastAsia" w:ascii="宋体" w:hAnsi="宋体" w:eastAsia="宋体" w:cs="宋体"/>
          <w:b/>
          <w:bCs/>
          <w:sz w:val="21"/>
          <w:szCs w:val="20"/>
          <w:lang w:val="en-US" w:eastAsia="zh-CN"/>
        </w:rPr>
        <w:t>稀浆封层 → 沥青面层：稀浆封层必须充分破乳、凝结并形成强度后才能铺筑沥青面层。最短养生时间不宜少于24小时，具体以封层能承受运料车行驶而不被粘起或破坏为准。养生期间应封闭交通。</w:t>
      </w:r>
    </w:p>
    <w:p w14:paraId="43B7E1D9">
      <w:pPr>
        <w:numPr>
          <w:ilvl w:val="0"/>
          <w:numId w:val="4"/>
        </w:numPr>
        <w:spacing w:line="360" w:lineRule="auto"/>
        <w:ind w:firstLine="482" w:firstLineChars="200"/>
        <w:jc w:val="both"/>
        <w:rPr>
          <w:rFonts w:hint="eastAsia" w:ascii="宋体" w:hAnsi="宋体" w:eastAsia="宋体" w:cs="宋体"/>
          <w:b/>
          <w:bCs/>
          <w:sz w:val="24"/>
          <w:szCs w:val="22"/>
          <w:lang w:val="en-US" w:eastAsia="zh-CN"/>
        </w:rPr>
      </w:pPr>
      <w:r>
        <w:rPr>
          <w:rFonts w:hint="eastAsia" w:ascii="宋体" w:hAnsi="宋体" w:eastAsia="宋体" w:cs="宋体"/>
          <w:b/>
          <w:bCs/>
          <w:sz w:val="24"/>
          <w:szCs w:val="22"/>
          <w:lang w:val="en-US" w:eastAsia="zh-CN"/>
        </w:rPr>
        <w:t>详图部分</w:t>
      </w:r>
    </w:p>
    <w:p w14:paraId="21F9116F">
      <w:pPr>
        <w:numPr>
          <w:ilvl w:val="0"/>
          <w:numId w:val="5"/>
        </w:numPr>
        <w:spacing w:line="360" w:lineRule="auto"/>
        <w:ind w:left="480" w:leftChars="0" w:firstLine="0" w:firstLineChars="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单向坡度是否可以统一改成朝排水沟流向，避免破坏路基。（见下图）</w:t>
      </w:r>
    </w:p>
    <w:tbl>
      <w:tblPr>
        <w:tblStyle w:val="7"/>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2A73AD1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2F6CCFDD">
            <w:pPr>
              <w:numPr>
                <w:ilvl w:val="0"/>
                <w:numId w:val="0"/>
              </w:numPr>
              <w:spacing w:line="360" w:lineRule="auto"/>
              <w:jc w:val="both"/>
              <w:rPr>
                <w:rFonts w:hint="default" w:ascii="宋体" w:hAnsi="宋体" w:eastAsia="宋体" w:cs="宋体"/>
                <w:sz w:val="24"/>
                <w:szCs w:val="22"/>
                <w:vertAlign w:val="baseline"/>
                <w:lang w:val="en-US" w:eastAsia="zh-CN"/>
              </w:rPr>
            </w:pPr>
            <w:r>
              <w:drawing>
                <wp:inline distT="0" distB="0" distL="114300" distR="114300">
                  <wp:extent cx="5265420" cy="2968625"/>
                  <wp:effectExtent l="0" t="0" r="508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
                          <a:stretch>
                            <a:fillRect/>
                          </a:stretch>
                        </pic:blipFill>
                        <pic:spPr>
                          <a:xfrm>
                            <a:off x="0" y="0"/>
                            <a:ext cx="5265420" cy="2968625"/>
                          </a:xfrm>
                          <a:prstGeom prst="rect">
                            <a:avLst/>
                          </a:prstGeom>
                          <a:noFill/>
                          <a:ln>
                            <a:noFill/>
                          </a:ln>
                        </pic:spPr>
                      </pic:pic>
                    </a:graphicData>
                  </a:graphic>
                </wp:inline>
              </w:drawing>
            </w:r>
          </w:p>
        </w:tc>
      </w:tr>
    </w:tbl>
    <w:p w14:paraId="16A3927F">
      <w:pPr>
        <w:numPr>
          <w:ilvl w:val="0"/>
          <w:numId w:val="0"/>
        </w:numPr>
        <w:spacing w:line="360" w:lineRule="auto"/>
        <w:ind w:firstLine="480" w:firstLineChars="200"/>
        <w:jc w:val="both"/>
        <w:rPr>
          <w:rFonts w:hint="default" w:ascii="宋体" w:hAnsi="宋体" w:eastAsia="宋体" w:cs="宋体"/>
          <w:sz w:val="24"/>
          <w:szCs w:val="22"/>
          <w:lang w:val="en-US" w:eastAsia="zh-CN"/>
        </w:rPr>
      </w:pPr>
      <w:r>
        <w:rPr>
          <w:rFonts w:hint="eastAsia" w:ascii="宋体" w:hAnsi="宋体" w:eastAsia="宋体" w:cs="宋体"/>
          <w:sz w:val="24"/>
          <w:szCs w:val="22"/>
          <w:lang w:val="en-US" w:eastAsia="zh-CN"/>
        </w:rPr>
        <w:t>回复：按照实际情况在有排水沟路段可向排水沟排向，无排水沟路段任向矮处排向。</w:t>
      </w:r>
    </w:p>
    <w:p w14:paraId="78AEA89A">
      <w:pPr>
        <w:numPr>
          <w:ilvl w:val="0"/>
          <w:numId w:val="5"/>
        </w:numPr>
        <w:spacing w:line="360" w:lineRule="auto"/>
        <w:ind w:left="480" w:leftChars="0" w:firstLine="0" w:firstLineChars="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图号S1-5,图示为双侧边沟（并且两侧有边坡），是否按图施工；</w:t>
      </w:r>
    </w:p>
    <w:p w14:paraId="74F03490">
      <w:pPr>
        <w:numPr>
          <w:ilvl w:val="0"/>
          <w:numId w:val="0"/>
        </w:numPr>
        <w:spacing w:line="360" w:lineRule="auto"/>
        <w:ind w:left="480" w:leftChars="0"/>
        <w:jc w:val="both"/>
        <w:rPr>
          <w:rFonts w:hint="default" w:ascii="宋体" w:hAnsi="宋体" w:eastAsia="宋体" w:cs="宋体"/>
          <w:sz w:val="24"/>
          <w:szCs w:val="22"/>
          <w:lang w:val="en-US" w:eastAsia="zh-CN"/>
        </w:rPr>
      </w:pPr>
      <w:r>
        <w:rPr>
          <w:rFonts w:hint="eastAsia" w:ascii="宋体" w:hAnsi="宋体" w:eastAsia="宋体" w:cs="宋体"/>
          <w:sz w:val="24"/>
          <w:szCs w:val="22"/>
          <w:lang w:val="en-US" w:eastAsia="zh-CN"/>
        </w:rPr>
        <w:t>回复：本次设计新建路设有单边沟，原有路则使用原有排水设施。</w:t>
      </w:r>
    </w:p>
    <w:tbl>
      <w:tblPr>
        <w:tblStyle w:val="7"/>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73CDFB0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1BB0C970">
            <w:pPr>
              <w:numPr>
                <w:ilvl w:val="0"/>
                <w:numId w:val="0"/>
              </w:numPr>
              <w:jc w:val="both"/>
              <w:rPr>
                <w:rFonts w:hint="default"/>
                <w:vertAlign w:val="baseline"/>
                <w:lang w:val="en-US" w:eastAsia="zh-CN"/>
              </w:rPr>
            </w:pPr>
            <w:r>
              <w:drawing>
                <wp:inline distT="0" distB="0" distL="114300" distR="114300">
                  <wp:extent cx="5272405" cy="3316605"/>
                  <wp:effectExtent l="0" t="0" r="10795" b="1079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
                          <a:stretch>
                            <a:fillRect/>
                          </a:stretch>
                        </pic:blipFill>
                        <pic:spPr>
                          <a:xfrm>
                            <a:off x="0" y="0"/>
                            <a:ext cx="5272405" cy="3316605"/>
                          </a:xfrm>
                          <a:prstGeom prst="rect">
                            <a:avLst/>
                          </a:prstGeom>
                          <a:noFill/>
                          <a:ln>
                            <a:noFill/>
                          </a:ln>
                        </pic:spPr>
                      </pic:pic>
                    </a:graphicData>
                  </a:graphic>
                </wp:inline>
              </w:drawing>
            </w:r>
          </w:p>
        </w:tc>
      </w:tr>
    </w:tbl>
    <w:p w14:paraId="62A6C4B7">
      <w:pPr>
        <w:numPr>
          <w:ilvl w:val="0"/>
          <w:numId w:val="5"/>
        </w:numPr>
        <w:ind w:left="480" w:leftChars="0" w:firstLine="0" w:firstLineChars="0"/>
        <w:jc w:val="both"/>
        <w:rPr>
          <w:rFonts w:hint="eastAsia"/>
          <w:lang w:val="en-US" w:eastAsia="zh-CN"/>
        </w:rPr>
      </w:pPr>
      <w:r>
        <w:rPr>
          <w:rFonts w:hint="eastAsia"/>
          <w:lang w:val="en-US" w:eastAsia="zh-CN"/>
        </w:rPr>
        <w:t>部分新建道路是否设置排水沟（单侧）</w:t>
      </w:r>
    </w:p>
    <w:p w14:paraId="567939E9">
      <w:pPr>
        <w:numPr>
          <w:ilvl w:val="0"/>
          <w:numId w:val="0"/>
        </w:numPr>
        <w:ind w:left="480" w:leftChars="0"/>
        <w:jc w:val="both"/>
        <w:rPr>
          <w:rFonts w:hint="default"/>
          <w:lang w:val="en-US" w:eastAsia="zh-CN"/>
        </w:rPr>
      </w:pPr>
      <w:r>
        <w:rPr>
          <w:rFonts w:hint="eastAsia"/>
          <w:lang w:val="en-US" w:eastAsia="zh-CN"/>
        </w:rPr>
        <w:t>回复：新建路均设计有单边边沟。</w:t>
      </w:r>
    </w:p>
    <w:p w14:paraId="756D379B">
      <w:pPr>
        <w:numPr>
          <w:ilvl w:val="0"/>
          <w:numId w:val="5"/>
        </w:numPr>
        <w:ind w:left="480" w:leftChars="0" w:firstLine="0" w:firstLineChars="0"/>
        <w:jc w:val="both"/>
        <w:rPr>
          <w:rFonts w:hint="eastAsia"/>
          <w:lang w:val="en-US" w:eastAsia="zh-CN"/>
        </w:rPr>
      </w:pPr>
      <w:r>
        <w:rPr>
          <w:rFonts w:hint="eastAsia"/>
          <w:lang w:val="en-US" w:eastAsia="zh-CN"/>
        </w:rPr>
        <w:t>排水沟底部垫层混为混凝土垫层，考虑现状道路和实际运输条件较为困难，是否可以自拌混凝土。</w:t>
      </w:r>
    </w:p>
    <w:p w14:paraId="45BA6712">
      <w:pPr>
        <w:numPr>
          <w:ilvl w:val="0"/>
          <w:numId w:val="0"/>
        </w:numPr>
        <w:ind w:left="480" w:leftChars="0"/>
        <w:jc w:val="both"/>
        <w:rPr>
          <w:rFonts w:hint="default"/>
          <w:lang w:val="en-US" w:eastAsia="zh-CN"/>
        </w:rPr>
      </w:pPr>
      <w:r>
        <w:rPr>
          <w:rFonts w:hint="eastAsia"/>
          <w:lang w:val="en-US" w:eastAsia="zh-CN"/>
        </w:rPr>
        <w:t>回复：此问题需与业主和监理现场确定。</w:t>
      </w:r>
    </w:p>
    <w:p w14:paraId="62F9E2D1">
      <w:pPr>
        <w:numPr>
          <w:ilvl w:val="0"/>
          <w:numId w:val="0"/>
        </w:numPr>
        <w:ind w:firstLine="560" w:firstLineChars="200"/>
        <w:jc w:val="both"/>
        <w:rPr>
          <w:rFonts w:hint="default"/>
          <w:lang w:val="en-US" w:eastAsia="zh-CN"/>
        </w:rPr>
      </w:pPr>
      <w:r>
        <w:rPr>
          <w:rFonts w:hint="eastAsia"/>
          <w:lang w:val="en-US" w:eastAsia="zh-CN"/>
        </w:rPr>
        <w:t>5、以12#道路为例，横断面图（两侧存在边坡部分）；图示宽度4米，含排水沟（0.5+0.2）+路肩（0.3）+道路+路肩（0.3）+排水沟（0.5+0.2），可知道路（沥青）宽度为2米。若单侧设置边沟，沥青道路宽度为（4-0.2-0.5-0.3-0.5=2.5米）。</w:t>
      </w:r>
      <w:r>
        <w:rPr>
          <w:rFonts w:hint="eastAsia"/>
          <w:color w:val="0000FF"/>
          <w:lang w:val="en-US" w:eastAsia="zh-CN"/>
        </w:rPr>
        <w:t>请设计确认。</w:t>
      </w:r>
    </w:p>
    <w:tbl>
      <w:tblPr>
        <w:tblStyle w:val="7"/>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7B8FB8D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786" w:hRule="atLeast"/>
        </w:trPr>
        <w:tc>
          <w:tcPr>
            <w:tcW w:w="8522" w:type="dxa"/>
            <w:tcBorders>
              <w:tl2br w:val="nil"/>
              <w:tr2bl w:val="nil"/>
            </w:tcBorders>
          </w:tcPr>
          <w:p w14:paraId="6B484A90">
            <w:pPr>
              <w:numPr>
                <w:ilvl w:val="0"/>
                <w:numId w:val="0"/>
              </w:numPr>
              <w:jc w:val="both"/>
              <w:rPr>
                <w:rFonts w:hint="default"/>
                <w:vertAlign w:val="baseline"/>
                <w:lang w:val="en-US" w:eastAsia="zh-CN"/>
              </w:rPr>
            </w:pPr>
            <w:r>
              <w:drawing>
                <wp:inline distT="0" distB="0" distL="114300" distR="114300">
                  <wp:extent cx="2484755" cy="2232025"/>
                  <wp:effectExtent l="0" t="0" r="4445"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stretch>
                            <a:fillRect/>
                          </a:stretch>
                        </pic:blipFill>
                        <pic:spPr>
                          <a:xfrm>
                            <a:off x="0" y="0"/>
                            <a:ext cx="2484755" cy="2232025"/>
                          </a:xfrm>
                          <a:prstGeom prst="rect">
                            <a:avLst/>
                          </a:prstGeom>
                          <a:noFill/>
                          <a:ln>
                            <a:noFill/>
                          </a:ln>
                        </pic:spPr>
                      </pic:pic>
                    </a:graphicData>
                  </a:graphic>
                </wp:inline>
              </w:drawing>
            </w:r>
            <w:r>
              <w:drawing>
                <wp:inline distT="0" distB="0" distL="114300" distR="114300">
                  <wp:extent cx="2767330" cy="2329815"/>
                  <wp:effectExtent l="0" t="0" r="127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tretch>
                            <a:fillRect/>
                          </a:stretch>
                        </pic:blipFill>
                        <pic:spPr>
                          <a:xfrm>
                            <a:off x="0" y="0"/>
                            <a:ext cx="2767330" cy="2329815"/>
                          </a:xfrm>
                          <a:prstGeom prst="rect">
                            <a:avLst/>
                          </a:prstGeom>
                          <a:noFill/>
                          <a:ln>
                            <a:noFill/>
                          </a:ln>
                        </pic:spPr>
                      </pic:pic>
                    </a:graphicData>
                  </a:graphic>
                </wp:inline>
              </w:drawing>
            </w:r>
          </w:p>
        </w:tc>
      </w:tr>
      <w:tr w14:paraId="39D269E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15AAA4A7">
            <w:pPr>
              <w:numPr>
                <w:ilvl w:val="0"/>
                <w:numId w:val="0"/>
              </w:numPr>
              <w:jc w:val="both"/>
              <w:rPr>
                <w:rFonts w:hint="default"/>
                <w:vertAlign w:val="baseline"/>
                <w:lang w:val="en-US" w:eastAsia="zh-CN"/>
              </w:rPr>
            </w:pPr>
            <w:r>
              <w:drawing>
                <wp:inline distT="0" distB="0" distL="114300" distR="114300">
                  <wp:extent cx="5265420" cy="2499360"/>
                  <wp:effectExtent l="0" t="0" r="508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a:stretch>
                            <a:fillRect/>
                          </a:stretch>
                        </pic:blipFill>
                        <pic:spPr>
                          <a:xfrm>
                            <a:off x="0" y="0"/>
                            <a:ext cx="5265420" cy="2499360"/>
                          </a:xfrm>
                          <a:prstGeom prst="rect">
                            <a:avLst/>
                          </a:prstGeom>
                          <a:noFill/>
                          <a:ln>
                            <a:noFill/>
                          </a:ln>
                        </pic:spPr>
                      </pic:pic>
                    </a:graphicData>
                  </a:graphic>
                </wp:inline>
              </w:drawing>
            </w:r>
          </w:p>
        </w:tc>
      </w:tr>
      <w:tr w14:paraId="3611A7C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36488F22">
            <w:pPr>
              <w:numPr>
                <w:ilvl w:val="0"/>
                <w:numId w:val="0"/>
              </w:numPr>
              <w:jc w:val="both"/>
              <w:rPr>
                <w:rFonts w:hint="default"/>
                <w:vertAlign w:val="baseline"/>
                <w:lang w:val="en-US" w:eastAsia="zh-CN"/>
              </w:rPr>
            </w:pPr>
            <w:r>
              <w:drawing>
                <wp:inline distT="0" distB="0" distL="114300" distR="114300">
                  <wp:extent cx="5270500" cy="2737485"/>
                  <wp:effectExtent l="0" t="0" r="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a:stretch>
                            <a:fillRect/>
                          </a:stretch>
                        </pic:blipFill>
                        <pic:spPr>
                          <a:xfrm>
                            <a:off x="0" y="0"/>
                            <a:ext cx="5270500" cy="2737485"/>
                          </a:xfrm>
                          <a:prstGeom prst="rect">
                            <a:avLst/>
                          </a:prstGeom>
                          <a:noFill/>
                          <a:ln>
                            <a:noFill/>
                          </a:ln>
                        </pic:spPr>
                      </pic:pic>
                    </a:graphicData>
                  </a:graphic>
                </wp:inline>
              </w:drawing>
            </w:r>
          </w:p>
        </w:tc>
      </w:tr>
    </w:tbl>
    <w:p w14:paraId="0A44DA25">
      <w:pPr>
        <w:numPr>
          <w:ilvl w:val="0"/>
          <w:numId w:val="0"/>
        </w:numPr>
        <w:jc w:val="both"/>
        <w:rPr>
          <w:rFonts w:hint="default"/>
          <w:lang w:val="en-US" w:eastAsia="zh-CN"/>
        </w:rPr>
      </w:pPr>
      <w:r>
        <w:rPr>
          <w:rFonts w:hint="eastAsia"/>
          <w:lang w:val="en-US" w:eastAsia="zh-CN"/>
        </w:rPr>
        <w:t>回复：道路在有边沟处断面为0.5+3+0.3+0.5+0.17米。</w:t>
      </w:r>
    </w:p>
    <w:p w14:paraId="7E723AB2">
      <w:pPr>
        <w:numPr>
          <w:ilvl w:val="0"/>
          <w:numId w:val="6"/>
        </w:numPr>
        <w:ind w:firstLine="560" w:firstLineChars="200"/>
        <w:jc w:val="both"/>
        <w:rPr>
          <w:rFonts w:hint="eastAsia"/>
          <w:lang w:val="en-US" w:eastAsia="zh-CN"/>
        </w:rPr>
      </w:pPr>
      <w:r>
        <w:rPr>
          <w:rFonts w:hint="eastAsia"/>
          <w:lang w:val="en-US" w:eastAsia="zh-CN"/>
        </w:rPr>
        <w:t>路基下边坡及截排水沟是否施工，若施工需明确排水沟尺寸；边沟距上边坡底部距离。</w:t>
      </w:r>
    </w:p>
    <w:tbl>
      <w:tblPr>
        <w:tblStyle w:val="7"/>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4863DE9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39A66BD9">
            <w:pPr>
              <w:numPr>
                <w:ilvl w:val="0"/>
                <w:numId w:val="0"/>
              </w:numPr>
              <w:jc w:val="both"/>
              <w:rPr>
                <w:rFonts w:hint="default"/>
                <w:vertAlign w:val="baseline"/>
                <w:lang w:val="en-US" w:eastAsia="zh-CN"/>
              </w:rPr>
            </w:pPr>
            <w:r>
              <w:drawing>
                <wp:inline distT="0" distB="0" distL="114300" distR="114300">
                  <wp:extent cx="5269230" cy="3139440"/>
                  <wp:effectExtent l="0" t="0" r="1270" b="1016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stretch>
                            <a:fillRect/>
                          </a:stretch>
                        </pic:blipFill>
                        <pic:spPr>
                          <a:xfrm>
                            <a:off x="0" y="0"/>
                            <a:ext cx="5269230" cy="3139440"/>
                          </a:xfrm>
                          <a:prstGeom prst="rect">
                            <a:avLst/>
                          </a:prstGeom>
                          <a:noFill/>
                          <a:ln>
                            <a:noFill/>
                          </a:ln>
                        </pic:spPr>
                      </pic:pic>
                    </a:graphicData>
                  </a:graphic>
                </wp:inline>
              </w:drawing>
            </w:r>
          </w:p>
        </w:tc>
      </w:tr>
      <w:tr w14:paraId="1336E7B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020B4151">
            <w:pPr>
              <w:numPr>
                <w:ilvl w:val="0"/>
                <w:numId w:val="0"/>
              </w:numPr>
              <w:jc w:val="both"/>
              <w:rPr>
                <w:rFonts w:hint="default"/>
                <w:vertAlign w:val="baseline"/>
                <w:lang w:val="en-US" w:eastAsia="zh-CN"/>
              </w:rPr>
            </w:pPr>
            <w:r>
              <w:drawing>
                <wp:inline distT="0" distB="0" distL="114300" distR="114300">
                  <wp:extent cx="5264785" cy="3813810"/>
                  <wp:effectExtent l="0" t="0" r="5715"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
                          <a:stretch>
                            <a:fillRect/>
                          </a:stretch>
                        </pic:blipFill>
                        <pic:spPr>
                          <a:xfrm>
                            <a:off x="0" y="0"/>
                            <a:ext cx="5264785" cy="3813810"/>
                          </a:xfrm>
                          <a:prstGeom prst="rect">
                            <a:avLst/>
                          </a:prstGeom>
                          <a:noFill/>
                          <a:ln>
                            <a:noFill/>
                          </a:ln>
                        </pic:spPr>
                      </pic:pic>
                    </a:graphicData>
                  </a:graphic>
                </wp:inline>
              </w:drawing>
            </w:r>
          </w:p>
        </w:tc>
      </w:tr>
    </w:tbl>
    <w:p w14:paraId="2E4E7222">
      <w:pPr>
        <w:numPr>
          <w:ilvl w:val="0"/>
          <w:numId w:val="0"/>
        </w:numPr>
        <w:jc w:val="both"/>
        <w:rPr>
          <w:rFonts w:hint="default"/>
          <w:lang w:val="en-US" w:eastAsia="zh-CN"/>
        </w:rPr>
      </w:pPr>
      <w:r>
        <w:rPr>
          <w:rFonts w:hint="eastAsia"/>
          <w:lang w:val="en-US" w:eastAsia="zh-CN"/>
        </w:rPr>
        <w:t>回复：如路基下存在建筑物区域需修边沟。</w:t>
      </w:r>
    </w:p>
    <w:p w14:paraId="0F7CCDEA">
      <w:pPr>
        <w:numPr>
          <w:ilvl w:val="0"/>
          <w:numId w:val="0"/>
        </w:numPr>
        <w:ind w:firstLine="560" w:firstLineChars="200"/>
        <w:jc w:val="both"/>
        <w:rPr>
          <w:rFonts w:hint="default"/>
          <w:lang w:val="en-US" w:eastAsia="zh-CN"/>
        </w:rPr>
      </w:pPr>
    </w:p>
    <w:p w14:paraId="3613DD66">
      <w:pPr>
        <w:numPr>
          <w:ilvl w:val="0"/>
          <w:numId w:val="6"/>
        </w:numPr>
        <w:ind w:left="0" w:leftChars="0" w:firstLine="560" w:firstLineChars="200"/>
        <w:jc w:val="both"/>
        <w:rPr>
          <w:rFonts w:hint="eastAsia"/>
          <w:lang w:val="en-US" w:eastAsia="zh-CN"/>
        </w:rPr>
      </w:pPr>
      <w:r>
        <w:rPr>
          <w:rFonts w:hint="eastAsia"/>
          <w:lang w:val="en-US" w:eastAsia="zh-CN"/>
        </w:rPr>
        <w:t>建议补充一份标准横断面及非标准横断面，需包含：挡墙、路肩、路面、排水沟、边坡等详细内容。</w:t>
      </w:r>
    </w:p>
    <w:p w14:paraId="624BD19D">
      <w:pPr>
        <w:numPr>
          <w:ilvl w:val="0"/>
          <w:numId w:val="0"/>
        </w:numPr>
        <w:ind w:leftChars="200"/>
        <w:jc w:val="both"/>
        <w:rPr>
          <w:rFonts w:hint="default"/>
          <w:lang w:val="en-US" w:eastAsia="zh-CN"/>
        </w:rPr>
      </w:pPr>
      <w:r>
        <w:rPr>
          <w:rFonts w:hint="eastAsia"/>
          <w:lang w:val="en-US" w:eastAsia="zh-CN"/>
        </w:rPr>
        <w:t>回复：详见设计图纸。</w:t>
      </w:r>
    </w:p>
    <w:p w14:paraId="75C0FD24">
      <w:pPr>
        <w:numPr>
          <w:ilvl w:val="0"/>
          <w:numId w:val="6"/>
        </w:numPr>
        <w:ind w:left="0" w:leftChars="0" w:firstLine="560" w:firstLineChars="200"/>
        <w:jc w:val="both"/>
        <w:rPr>
          <w:rFonts w:hint="default"/>
          <w:lang w:val="en-US" w:eastAsia="zh-CN"/>
        </w:rPr>
      </w:pPr>
      <w:r>
        <w:rPr>
          <w:rFonts w:hint="eastAsia"/>
          <w:lang w:val="en-US" w:eastAsia="zh-CN"/>
        </w:rPr>
        <w:t>错车道位置建议在设计平面图中示意明确位置。</w:t>
      </w:r>
    </w:p>
    <w:tbl>
      <w:tblPr>
        <w:tblStyle w:val="7"/>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2A6937E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6BC17281">
            <w:pPr>
              <w:numPr>
                <w:ilvl w:val="0"/>
                <w:numId w:val="0"/>
              </w:numPr>
              <w:jc w:val="both"/>
              <w:rPr>
                <w:rFonts w:hint="default"/>
                <w:vertAlign w:val="baseline"/>
                <w:lang w:val="en-US" w:eastAsia="zh-CN"/>
              </w:rPr>
            </w:pPr>
            <w:r>
              <w:drawing>
                <wp:inline distT="0" distB="0" distL="114300" distR="114300">
                  <wp:extent cx="5265420" cy="2042160"/>
                  <wp:effectExtent l="0" t="0" r="508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2"/>
                          <a:stretch>
                            <a:fillRect/>
                          </a:stretch>
                        </pic:blipFill>
                        <pic:spPr>
                          <a:xfrm>
                            <a:off x="0" y="0"/>
                            <a:ext cx="5265420" cy="2042160"/>
                          </a:xfrm>
                          <a:prstGeom prst="rect">
                            <a:avLst/>
                          </a:prstGeom>
                          <a:noFill/>
                          <a:ln>
                            <a:noFill/>
                          </a:ln>
                        </pic:spPr>
                      </pic:pic>
                    </a:graphicData>
                  </a:graphic>
                </wp:inline>
              </w:drawing>
            </w:r>
          </w:p>
        </w:tc>
      </w:tr>
    </w:tbl>
    <w:p w14:paraId="466BE4A5">
      <w:pPr>
        <w:numPr>
          <w:ilvl w:val="0"/>
          <w:numId w:val="0"/>
        </w:numPr>
        <w:ind w:leftChars="200"/>
        <w:jc w:val="both"/>
        <w:rPr>
          <w:rFonts w:hint="default"/>
          <w:lang w:val="en-US" w:eastAsia="zh-CN"/>
        </w:rPr>
      </w:pPr>
      <w:r>
        <w:rPr>
          <w:rFonts w:hint="eastAsia"/>
          <w:lang w:val="en-US" w:eastAsia="zh-CN"/>
        </w:rPr>
        <w:t>回复：详见平面图。</w:t>
      </w:r>
    </w:p>
    <w:p w14:paraId="1C91F44C">
      <w:pPr>
        <w:numPr>
          <w:ilvl w:val="0"/>
          <w:numId w:val="6"/>
        </w:numPr>
        <w:ind w:left="0" w:leftChars="0" w:firstLine="560" w:firstLineChars="200"/>
        <w:jc w:val="both"/>
        <w:rPr>
          <w:rFonts w:hint="eastAsia"/>
          <w:lang w:val="en-US" w:eastAsia="zh-CN"/>
        </w:rPr>
      </w:pPr>
      <w:r>
        <w:rPr>
          <w:rFonts w:hint="eastAsia"/>
          <w:lang w:val="en-US" w:eastAsia="zh-CN"/>
        </w:rPr>
        <w:t>波形护栏安设具体位置（桩号）。</w:t>
      </w:r>
    </w:p>
    <w:p w14:paraId="368A0F55">
      <w:pPr>
        <w:numPr>
          <w:ilvl w:val="0"/>
          <w:numId w:val="0"/>
        </w:numPr>
        <w:ind w:leftChars="200"/>
        <w:jc w:val="both"/>
        <w:rPr>
          <w:rFonts w:hint="default"/>
          <w:lang w:val="en-US" w:eastAsia="zh-CN"/>
        </w:rPr>
      </w:pPr>
      <w:r>
        <w:rPr>
          <w:rFonts w:hint="eastAsia"/>
          <w:lang w:val="en-US" w:eastAsia="zh-CN"/>
        </w:rPr>
        <w:t>回复：后续图纸补充。</w:t>
      </w:r>
    </w:p>
    <w:p w14:paraId="63B5EF5A">
      <w:pPr>
        <w:numPr>
          <w:ilvl w:val="0"/>
          <w:numId w:val="6"/>
        </w:numPr>
        <w:ind w:left="0" w:leftChars="0" w:firstLine="560" w:firstLineChars="200"/>
        <w:jc w:val="both"/>
        <w:rPr>
          <w:rFonts w:hint="default"/>
          <w:lang w:val="en-US" w:eastAsia="zh-CN"/>
        </w:rPr>
      </w:pPr>
      <w:r>
        <w:rPr>
          <w:rFonts w:hint="eastAsia"/>
          <w:lang w:val="en-US" w:eastAsia="zh-CN"/>
        </w:rPr>
        <w:t>前后描述不一致</w:t>
      </w:r>
    </w:p>
    <w:tbl>
      <w:tblPr>
        <w:tblStyle w:val="7"/>
        <w:tblpPr w:leftFromText="180" w:rightFromText="180" w:vertAnchor="text" w:horzAnchor="page" w:tblpX="2010" w:tblpY="378"/>
        <w:tblOverlap w:val="never"/>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4C743F2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049ED502">
            <w:pPr>
              <w:numPr>
                <w:ilvl w:val="0"/>
                <w:numId w:val="0"/>
              </w:numPr>
              <w:jc w:val="both"/>
              <w:rPr>
                <w:rFonts w:hint="default"/>
                <w:vertAlign w:val="baseline"/>
                <w:lang w:val="en-US" w:eastAsia="zh-CN"/>
              </w:rPr>
            </w:pPr>
            <w:r>
              <w:drawing>
                <wp:inline distT="0" distB="0" distL="114300" distR="114300">
                  <wp:extent cx="5268595" cy="1957705"/>
                  <wp:effectExtent l="0" t="0" r="1905" b="1079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3"/>
                          <a:stretch>
                            <a:fillRect/>
                          </a:stretch>
                        </pic:blipFill>
                        <pic:spPr>
                          <a:xfrm>
                            <a:off x="0" y="0"/>
                            <a:ext cx="5268595" cy="1957705"/>
                          </a:xfrm>
                          <a:prstGeom prst="rect">
                            <a:avLst/>
                          </a:prstGeom>
                          <a:noFill/>
                          <a:ln>
                            <a:noFill/>
                          </a:ln>
                        </pic:spPr>
                      </pic:pic>
                    </a:graphicData>
                  </a:graphic>
                </wp:inline>
              </w:drawing>
            </w:r>
          </w:p>
        </w:tc>
      </w:tr>
      <w:tr w14:paraId="425D791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21A857A6">
            <w:pPr>
              <w:numPr>
                <w:ilvl w:val="0"/>
                <w:numId w:val="0"/>
              </w:numPr>
              <w:jc w:val="both"/>
              <w:rPr>
                <w:rFonts w:hint="default"/>
                <w:vertAlign w:val="baseline"/>
                <w:lang w:val="en-US" w:eastAsia="zh-CN"/>
              </w:rPr>
            </w:pPr>
            <w:r>
              <w:drawing>
                <wp:inline distT="0" distB="0" distL="114300" distR="114300">
                  <wp:extent cx="5274310" cy="2254250"/>
                  <wp:effectExtent l="0" t="0" r="889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4"/>
                          <a:stretch>
                            <a:fillRect/>
                          </a:stretch>
                        </pic:blipFill>
                        <pic:spPr>
                          <a:xfrm>
                            <a:off x="0" y="0"/>
                            <a:ext cx="5274310" cy="2254250"/>
                          </a:xfrm>
                          <a:prstGeom prst="rect">
                            <a:avLst/>
                          </a:prstGeom>
                          <a:noFill/>
                          <a:ln>
                            <a:noFill/>
                          </a:ln>
                        </pic:spPr>
                      </pic:pic>
                    </a:graphicData>
                  </a:graphic>
                </wp:inline>
              </w:drawing>
            </w:r>
          </w:p>
        </w:tc>
      </w:tr>
    </w:tbl>
    <w:p w14:paraId="3512E23C">
      <w:pPr>
        <w:numPr>
          <w:ilvl w:val="0"/>
          <w:numId w:val="0"/>
        </w:numPr>
        <w:ind w:leftChars="0"/>
        <w:jc w:val="both"/>
        <w:rPr>
          <w:rFonts w:hint="default"/>
          <w:b/>
          <w:bCs/>
          <w:lang w:val="en-US" w:eastAsia="zh-CN"/>
        </w:rPr>
      </w:pPr>
      <w:r>
        <w:rPr>
          <w:rFonts w:hint="eastAsia"/>
          <w:b/>
          <w:bCs/>
          <w:lang w:val="en-US" w:eastAsia="zh-CN"/>
        </w:rPr>
        <w:t>回复：描述不同处，后续图纸修改。</w:t>
      </w:r>
    </w:p>
    <w:p w14:paraId="2C1E5C34">
      <w:pPr>
        <w:numPr>
          <w:ilvl w:val="0"/>
          <w:numId w:val="2"/>
        </w:numPr>
        <w:rPr>
          <w:b/>
          <w:bCs/>
        </w:rPr>
      </w:pPr>
      <w:r>
        <w:rPr>
          <w:rFonts w:hint="eastAsia"/>
          <w:b/>
          <w:bCs/>
        </w:rPr>
        <w:t>桥梁</w:t>
      </w:r>
    </w:p>
    <w:p w14:paraId="5739A4BB">
      <w:pPr>
        <w:numPr>
          <w:ilvl w:val="0"/>
          <w:numId w:val="7"/>
        </w:numPr>
        <w:ind w:firstLine="560" w:firstLineChars="200"/>
      </w:pPr>
      <w:r>
        <w:rPr>
          <w:rFonts w:hint="eastAsia"/>
        </w:rPr>
        <w:t>会太路现状人行天桥图纸未见施工做法，现状表面为混凝土面层。</w:t>
      </w:r>
    </w:p>
    <w:tbl>
      <w:tblPr>
        <w:tblStyle w:val="7"/>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1B3BA1B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6B4643D7">
            <w:r>
              <w:drawing>
                <wp:inline distT="0" distB="0" distL="114300" distR="114300">
                  <wp:extent cx="5271135" cy="3046095"/>
                  <wp:effectExtent l="0" t="0" r="5715"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5"/>
                          <a:stretch>
                            <a:fillRect/>
                          </a:stretch>
                        </pic:blipFill>
                        <pic:spPr>
                          <a:xfrm>
                            <a:off x="0" y="0"/>
                            <a:ext cx="5271135" cy="3046095"/>
                          </a:xfrm>
                          <a:prstGeom prst="rect">
                            <a:avLst/>
                          </a:prstGeom>
                          <a:noFill/>
                          <a:ln>
                            <a:noFill/>
                          </a:ln>
                        </pic:spPr>
                      </pic:pic>
                    </a:graphicData>
                  </a:graphic>
                </wp:inline>
              </w:drawing>
            </w:r>
          </w:p>
        </w:tc>
      </w:tr>
    </w:tbl>
    <w:p w14:paraId="200FCE6F">
      <w:pPr>
        <w:pStyle w:val="17"/>
        <w:numPr>
          <w:ilvl w:val="0"/>
          <w:numId w:val="7"/>
        </w:numPr>
        <w:ind w:firstLineChars="0"/>
      </w:pPr>
      <w:r>
        <w:rPr>
          <w:rFonts w:hint="eastAsia"/>
        </w:rPr>
        <w:t>桥面铺装为 20mm 环氧砂浆垫层 + 30mm 毛面芝麻灰花岗石，未明确环氧砂浆的材料配比、施工工艺要求，花岗石铺装的缝宽、填缝材料（耐候胶 / 水泥砂浆）及铺装固定方式，请明确并提供铺装构造大样图。</w:t>
      </w:r>
    </w:p>
    <w:p w14:paraId="51F5C985">
      <w:pPr>
        <w:pStyle w:val="17"/>
        <w:ind w:left="420" w:firstLine="0" w:firstLineChars="0"/>
        <w:rPr>
          <w:rFonts w:hint="eastAsia"/>
        </w:rPr>
      </w:pPr>
      <w:r>
        <w:rPr>
          <w:color w:val="4874CB" w:themeColor="accent1"/>
          <w14:textFill>
            <w14:solidFill>
              <w14:schemeClr w14:val="accent1"/>
            </w14:solidFill>
          </w14:textFill>
        </w:rPr>
        <w:t>回复：该项目并无特殊要求，理应满足现行规范要求。</w:t>
      </w:r>
    </w:p>
    <w:p w14:paraId="43166A93">
      <w:pPr>
        <w:ind w:firstLine="560" w:firstLineChars="200"/>
      </w:pPr>
      <w:r>
        <w:rPr>
          <w:rFonts w:hint="eastAsia"/>
        </w:rPr>
        <w:t>3、定制不锈钢管护栏仅明确桥面以上高度≥1.1m，未提供护栏的立柱间距、截面尺寸、横杆层数及尺寸，护栏与桥面的连接方式（预埋螺栓 / 焊接）。</w:t>
      </w:r>
    </w:p>
    <w:p w14:paraId="1CEED9F7">
      <w:pPr>
        <w:ind w:firstLine="560" w:firstLineChars="200"/>
        <w:rPr>
          <w:rFonts w:hint="eastAsia"/>
          <w:color w:val="4874CB" w:themeColor="accent1"/>
          <w14:textFill>
            <w14:solidFill>
              <w14:schemeClr w14:val="accent1"/>
            </w14:solidFill>
          </w14:textFill>
        </w:rPr>
      </w:pPr>
      <w:r>
        <w:rPr>
          <w:color w:val="4874CB" w:themeColor="accent1"/>
          <w14:textFill>
            <w14:solidFill>
              <w14:schemeClr w14:val="accent1"/>
            </w14:solidFill>
          </w14:textFill>
        </w:rPr>
        <w:t>回复：栏杆根据建设单位要求，考虑环境协调等因素，选购成品栏杆。</w:t>
      </w:r>
    </w:p>
    <w:p w14:paraId="129644F3">
      <w:pPr>
        <w:ind w:firstLine="560" w:firstLineChars="200"/>
      </w:pPr>
      <w:r>
        <w:rPr>
          <w:rFonts w:hint="eastAsia"/>
        </w:rPr>
        <w:t>4、设计提及采用板式橡胶支座，但未明确支座的承载力，支座与梁底 / 垫石的连接方式，上下支座板的尺寸及预埋要求；支座垫石的高度。</w:t>
      </w:r>
    </w:p>
    <w:tbl>
      <w:tblPr>
        <w:tblStyle w:val="7"/>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1EB620B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529F1C02">
            <w:r>
              <w:drawing>
                <wp:inline distT="0" distB="0" distL="114300" distR="114300">
                  <wp:extent cx="5271135" cy="2355215"/>
                  <wp:effectExtent l="0" t="0" r="5715" b="698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6"/>
                          <a:stretch>
                            <a:fillRect/>
                          </a:stretch>
                        </pic:blipFill>
                        <pic:spPr>
                          <a:xfrm>
                            <a:off x="0" y="0"/>
                            <a:ext cx="5271135" cy="2355215"/>
                          </a:xfrm>
                          <a:prstGeom prst="rect">
                            <a:avLst/>
                          </a:prstGeom>
                          <a:noFill/>
                          <a:ln>
                            <a:noFill/>
                          </a:ln>
                        </pic:spPr>
                      </pic:pic>
                    </a:graphicData>
                  </a:graphic>
                </wp:inline>
              </w:drawing>
            </w:r>
          </w:p>
        </w:tc>
      </w:tr>
    </w:tbl>
    <w:p w14:paraId="4B6B9567">
      <w:pPr>
        <w:ind w:firstLine="560" w:firstLineChars="200"/>
        <w:rPr>
          <w:rFonts w:hint="eastAsia"/>
          <w:color w:val="4874CB" w:themeColor="accent1"/>
          <w14:textFill>
            <w14:solidFill>
              <w14:schemeClr w14:val="accent1"/>
            </w14:solidFill>
          </w14:textFill>
        </w:rPr>
      </w:pPr>
      <w:r>
        <w:rPr>
          <w:color w:val="4874CB" w:themeColor="accent1"/>
          <w14:textFill>
            <w14:solidFill>
              <w14:schemeClr w14:val="accent1"/>
            </w14:solidFill>
          </w14:textFill>
        </w:rPr>
        <w:t>回复：支座系统总高度</w:t>
      </w:r>
      <w:r>
        <w:rPr>
          <w:rFonts w:hint="eastAsia"/>
          <w:color w:val="4874CB" w:themeColor="accent1"/>
          <w14:textFill>
            <w14:solidFill>
              <w14:schemeClr w14:val="accent1"/>
            </w14:solidFill>
          </w14:textFill>
        </w:rPr>
        <w:t>2</w:t>
      </w:r>
      <w:r>
        <w:rPr>
          <w:color w:val="4874CB" w:themeColor="accent1"/>
          <w14:textFill>
            <w14:solidFill>
              <w14:schemeClr w14:val="accent1"/>
            </w14:solidFill>
          </w14:textFill>
        </w:rPr>
        <w:t>0cm。垫板及预埋尺寸根据规范《</w:t>
      </w:r>
      <w:r>
        <w:rPr>
          <w:rFonts w:hint="eastAsia"/>
          <w:color w:val="4874CB" w:themeColor="accent1"/>
          <w14:textFill>
            <w14:solidFill>
              <w14:schemeClr w14:val="accent1"/>
            </w14:solidFill>
          </w14:textFill>
        </w:rPr>
        <w:t>公路桥梁板式橡胶支座</w:t>
      </w:r>
      <w:r>
        <w:rPr>
          <w:color w:val="4874CB" w:themeColor="accent1"/>
          <w14:textFill>
            <w14:solidFill>
              <w14:schemeClr w14:val="accent1"/>
            </w14:solidFill>
          </w14:textFill>
        </w:rPr>
        <w:t>》</w:t>
      </w:r>
      <w:r>
        <w:rPr>
          <w:rFonts w:hint="eastAsia"/>
          <w:color w:val="4874CB" w:themeColor="accent1"/>
          <w14:textFill>
            <w14:solidFill>
              <w14:schemeClr w14:val="accent1"/>
            </w14:solidFill>
          </w14:textFill>
        </w:rPr>
        <w:t>（JT-T4-2019）选用。调平钢板中心厚度1</w:t>
      </w:r>
      <w:r>
        <w:rPr>
          <w:color w:val="4874CB" w:themeColor="accent1"/>
          <w14:textFill>
            <w14:solidFill>
              <w14:schemeClr w14:val="accent1"/>
            </w14:solidFill>
          </w14:textFill>
        </w:rPr>
        <w:t>.5cm。</w:t>
      </w:r>
    </w:p>
    <w:p w14:paraId="3B7BDD80">
      <w:pPr>
        <w:ind w:firstLine="560" w:firstLineChars="200"/>
      </w:pPr>
      <w:r>
        <w:rPr>
          <w:rFonts w:hint="eastAsia"/>
        </w:rPr>
        <w:t>5、钢结构焊接要求 “钢板连接均采用 100％熔透焊，尽可能采用双面熔透焊”，未明确不同部位焊缝的焊脚尺寸、坡口形式（V 型 / X 型）、焊接层数，及厚板焊接的预热温度、后热保温时间，请明确具体焊接工艺参数。</w:t>
      </w:r>
    </w:p>
    <w:p w14:paraId="6CE3FE00">
      <w:pPr>
        <w:ind w:firstLine="560" w:firstLineChars="200"/>
        <w:rPr>
          <w:rFonts w:hint="eastAsia"/>
          <w:color w:val="4874CB" w:themeColor="accent1"/>
          <w14:textFill>
            <w14:solidFill>
              <w14:schemeClr w14:val="accent1"/>
            </w14:solidFill>
          </w14:textFill>
        </w:rPr>
      </w:pPr>
      <w:r>
        <w:rPr>
          <w:color w:val="4874CB" w:themeColor="accent1"/>
          <w14:textFill>
            <w14:solidFill>
              <w14:schemeClr w14:val="accent1"/>
            </w14:solidFill>
          </w14:textFill>
        </w:rPr>
        <w:t>回复：焊缝详见钢主梁焊缝大样。焊缝等级为一级焊缝，施工参数及焊接工艺参数由施工单位自行确定。</w:t>
      </w:r>
    </w:p>
    <w:p w14:paraId="463FE255">
      <w:pPr>
        <w:ind w:firstLine="560" w:firstLineChars="200"/>
      </w:pPr>
      <w:r>
        <w:rPr>
          <w:rFonts w:hint="eastAsia"/>
        </w:rPr>
        <w:t>6、钢箱梁预拼装要求 “采用平面辗转局部试装法”，未明确预拼装的允许偏差（轴线、标高、截面尺寸），预拼装合格后的验收标准，节段拼接处的临时固定措施，请明确预拼装及验收的具体参数。</w:t>
      </w:r>
    </w:p>
    <w:p w14:paraId="0C8CC6BC">
      <w:pPr>
        <w:ind w:firstLine="560" w:firstLineChars="200"/>
        <w:rPr>
          <w:color w:val="4874CB" w:themeColor="accent1"/>
          <w14:textFill>
            <w14:solidFill>
              <w14:schemeClr w14:val="accent1"/>
            </w14:solidFill>
          </w14:textFill>
        </w:rPr>
      </w:pPr>
      <w:r>
        <w:rPr>
          <w:color w:val="4874CB" w:themeColor="accent1"/>
          <w14:textFill>
            <w14:solidFill>
              <w14:schemeClr w14:val="accent1"/>
            </w14:solidFill>
          </w14:textFill>
        </w:rPr>
        <w:t>回复：钢箱梁允许偏差及验算合规应该满足《</w:t>
      </w:r>
      <w:r>
        <w:rPr>
          <w:rFonts w:hint="eastAsia"/>
          <w:color w:val="4874CB" w:themeColor="accent1"/>
          <w14:textFill>
            <w14:solidFill>
              <w14:schemeClr w14:val="accent1"/>
            </w14:solidFill>
          </w14:textFill>
        </w:rPr>
        <w:t>公路钢结构桥梁制造和安装施工规范</w:t>
      </w:r>
      <w:r>
        <w:rPr>
          <w:color w:val="4874CB" w:themeColor="accent1"/>
          <w14:textFill>
            <w14:solidFill>
              <w14:schemeClr w14:val="accent1"/>
            </w14:solidFill>
          </w14:textFill>
        </w:rPr>
        <w:t>》（</w:t>
      </w:r>
      <w:r>
        <w:t>JTG/T3651—2022</w:t>
      </w:r>
      <w:r>
        <w:rPr>
          <w:color w:val="4874CB" w:themeColor="accent1"/>
          <w14:textFill>
            <w14:solidFill>
              <w14:schemeClr w14:val="accent1"/>
            </w14:solidFill>
          </w14:textFill>
        </w:rPr>
        <w:t>）的要求。</w:t>
      </w:r>
    </w:p>
    <w:p w14:paraId="33571CFC">
      <w:pPr>
        <w:ind w:firstLine="560" w:firstLineChars="200"/>
        <w:rPr>
          <w:color w:val="0000FF"/>
        </w:rPr>
      </w:pPr>
      <w:r>
        <w:rPr>
          <w:rFonts w:hint="eastAsia"/>
        </w:rPr>
        <w:t>桩基按嵌岩桩设计，桥台桩基直径 1.3m、桥墩桩基 1.5m，未明确桩基成孔的垂直度允许偏差、桩底沉渣厚度限值，嵌岩段的岩石单轴抗压强度要求，请明确桩基施工及验收参数。</w:t>
      </w:r>
      <w:r>
        <w:rPr>
          <w:rFonts w:hint="eastAsia"/>
          <w:color w:val="0000FF"/>
        </w:rPr>
        <w:t>图中给出桩底设计高程，是否以嵌岩控制为主高程控制为辅。</w:t>
      </w:r>
    </w:p>
    <w:tbl>
      <w:tblPr>
        <w:tblStyle w:val="7"/>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1BC12F3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Ex>
        <w:tc>
          <w:tcPr>
            <w:tcW w:w="8522" w:type="dxa"/>
            <w:tcBorders>
              <w:tl2br w:val="nil"/>
              <w:tr2bl w:val="nil"/>
            </w:tcBorders>
          </w:tcPr>
          <w:p w14:paraId="1E67A671">
            <w:pPr>
              <w:rPr>
                <w:color w:val="0000FF"/>
              </w:rPr>
            </w:pPr>
            <w:r>
              <w:drawing>
                <wp:inline distT="0" distB="0" distL="114300" distR="114300">
                  <wp:extent cx="5272405" cy="2368550"/>
                  <wp:effectExtent l="0" t="0" r="4445" b="1270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7"/>
                          <a:stretch>
                            <a:fillRect/>
                          </a:stretch>
                        </pic:blipFill>
                        <pic:spPr>
                          <a:xfrm>
                            <a:off x="0" y="0"/>
                            <a:ext cx="5272405" cy="2368550"/>
                          </a:xfrm>
                          <a:prstGeom prst="rect">
                            <a:avLst/>
                          </a:prstGeom>
                          <a:noFill/>
                          <a:ln>
                            <a:noFill/>
                          </a:ln>
                        </pic:spPr>
                      </pic:pic>
                    </a:graphicData>
                  </a:graphic>
                </wp:inline>
              </w:drawing>
            </w:r>
          </w:p>
        </w:tc>
      </w:tr>
    </w:tbl>
    <w:p w14:paraId="585C05B6">
      <w:pPr>
        <w:ind w:firstLine="560" w:firstLineChars="200"/>
        <w:rPr>
          <w:color w:val="4874CB" w:themeColor="accent1"/>
          <w14:textFill>
            <w14:solidFill>
              <w14:schemeClr w14:val="accent1"/>
            </w14:solidFill>
          </w14:textFill>
        </w:rPr>
      </w:pPr>
      <w:r>
        <w:rPr>
          <w:color w:val="4874CB" w:themeColor="accent1"/>
          <w14:textFill>
            <w14:solidFill>
              <w14:schemeClr w14:val="accent1"/>
            </w14:solidFill>
          </w14:textFill>
        </w:rPr>
        <w:t>回复：</w:t>
      </w:r>
      <w:r>
        <w:rPr>
          <w:rFonts w:hint="eastAsia"/>
          <w:color w:val="4874CB" w:themeColor="accent1"/>
          <w14:textFill>
            <w14:solidFill>
              <w14:schemeClr w14:val="accent1"/>
            </w14:solidFill>
          </w14:textFill>
        </w:rPr>
        <w:t>桩基</w:t>
      </w:r>
      <w:r>
        <w:rPr>
          <w:color w:val="4874CB" w:themeColor="accent1"/>
          <w14:textFill>
            <w14:solidFill>
              <w14:schemeClr w14:val="accent1"/>
            </w14:solidFill>
          </w14:textFill>
        </w:rPr>
        <w:t>施工及验收应以</w:t>
      </w:r>
      <w:r>
        <w:rPr>
          <w:rFonts w:hint="eastAsia"/>
          <w:color w:val="4874CB" w:themeColor="accent1"/>
          <w14:textFill>
            <w14:solidFill>
              <w14:schemeClr w14:val="accent1"/>
            </w14:solidFill>
          </w14:textFill>
        </w:rPr>
        <w:t>《公路桥涵施工技术规范》（JTG/T 3650—2020）为准。</w:t>
      </w:r>
    </w:p>
    <w:p w14:paraId="73609982">
      <w:pPr>
        <w:numPr>
          <w:ilvl w:val="0"/>
          <w:numId w:val="8"/>
        </w:numPr>
        <w:ind w:firstLine="560" w:firstLineChars="200"/>
      </w:pPr>
      <w:r>
        <w:rPr>
          <w:rFonts w:hint="eastAsia"/>
        </w:rPr>
        <w:t>大体积混凝土施工要求 “采取有效控制措施降低水化热”，未明确推荐施工措施（分层浇筑厚度 / 间隔时间）</w:t>
      </w:r>
    </w:p>
    <w:p w14:paraId="75622629">
      <w:pPr>
        <w:ind w:firstLine="560" w:firstLineChars="200"/>
        <w:rPr>
          <w:rFonts w:hint="eastAsia"/>
          <w:color w:val="4874CB" w:themeColor="accent1"/>
          <w14:textFill>
            <w14:solidFill>
              <w14:schemeClr w14:val="accent1"/>
            </w14:solidFill>
          </w14:textFill>
        </w:rPr>
      </w:pPr>
      <w:r>
        <w:rPr>
          <w:color w:val="4874CB" w:themeColor="accent1"/>
          <w14:textFill>
            <w14:solidFill>
              <w14:schemeClr w14:val="accent1"/>
            </w14:solidFill>
          </w14:textFill>
        </w:rPr>
        <w:t>回复：施工单位应自行设计大体积混凝土配合比及分成浇筑工艺，散热措施。</w:t>
      </w:r>
    </w:p>
    <w:p w14:paraId="70935289">
      <w:pPr>
        <w:pStyle w:val="17"/>
        <w:numPr>
          <w:ilvl w:val="0"/>
          <w:numId w:val="8"/>
        </w:numPr>
        <w:ind w:firstLineChars="0"/>
      </w:pPr>
      <w:r>
        <w:rPr>
          <w:rFonts w:hint="eastAsia"/>
        </w:rPr>
        <w:t>钢结构涂装中钢主梁外表面冷喷锌总干膜 80μm、封闭剂 100μm、氟碳面漆 80μm，未明确各涂层的施工间隔时间，现场补涂的工艺要求，涂装环境的温湿度、风速限值，请明确涂装施工的具体控制参数。</w:t>
      </w:r>
    </w:p>
    <w:p w14:paraId="48E67E76">
      <w:pPr>
        <w:ind w:firstLine="560" w:firstLineChars="200"/>
        <w:rPr>
          <w:rFonts w:hint="eastAsia"/>
          <w:color w:val="4874CB" w:themeColor="accent1"/>
          <w14:textFill>
            <w14:solidFill>
              <w14:schemeClr w14:val="accent1"/>
            </w14:solidFill>
          </w14:textFill>
        </w:rPr>
      </w:pPr>
      <w:r>
        <w:rPr>
          <w:color w:val="4874CB" w:themeColor="accent1"/>
          <w14:textFill>
            <w14:solidFill>
              <w14:schemeClr w14:val="accent1"/>
            </w14:solidFill>
          </w14:textFill>
        </w:rPr>
        <w:t>回复：钢结构主体涂装以工程完成为主，施工工艺等应钢结构设计及施工规格要求。具体参数施工单位自行确定。</w:t>
      </w:r>
    </w:p>
    <w:p w14:paraId="21447520">
      <w:pPr>
        <w:pStyle w:val="17"/>
        <w:numPr>
          <w:ilvl w:val="0"/>
          <w:numId w:val="8"/>
        </w:numPr>
        <w:ind w:firstLineChars="0"/>
      </w:pPr>
      <w:r>
        <w:rPr>
          <w:rFonts w:hint="eastAsia"/>
        </w:rPr>
        <w:t>钢结构现场安装仅提及 “保证结构稳定性并不导致永久性变形”，未明确钢箱梁节段的吊装顺序（从桥台向桥墩 / 对称吊装）、吊装吊点位置，节段拼接的焊接顺序，安装过程中的临时支撑体系设计（支撑位置、承载力要求）。</w:t>
      </w:r>
    </w:p>
    <w:p w14:paraId="08C5B25A">
      <w:pPr>
        <w:ind w:firstLine="560" w:firstLineChars="200"/>
        <w:rPr>
          <w:rFonts w:hint="eastAsia"/>
          <w:color w:val="4874CB" w:themeColor="accent1"/>
          <w14:textFill>
            <w14:solidFill>
              <w14:schemeClr w14:val="accent1"/>
            </w14:solidFill>
          </w14:textFill>
        </w:rPr>
      </w:pPr>
      <w:r>
        <w:rPr>
          <w:color w:val="4874CB" w:themeColor="accent1"/>
          <w14:textFill>
            <w14:solidFill>
              <w14:schemeClr w14:val="accent1"/>
            </w14:solidFill>
          </w14:textFill>
        </w:rPr>
        <w:t>回复：钢箱梁节段划分，施工方应根据现场机械配置确定。分段点应为主受力较小的位置，例如</w:t>
      </w:r>
      <w:r>
        <w:rPr>
          <w:rFonts w:hint="eastAsia"/>
          <w:color w:val="4874CB" w:themeColor="accent1"/>
          <w14:textFill>
            <w14:solidFill>
              <w14:schemeClr w14:val="accent1"/>
            </w14:solidFill>
          </w14:textFill>
        </w:rPr>
        <w:t>1</w:t>
      </w:r>
      <w:r>
        <w:rPr>
          <w:color w:val="4874CB" w:themeColor="accent1"/>
          <w14:textFill>
            <w14:solidFill>
              <w14:schemeClr w14:val="accent1"/>
            </w14:solidFill>
          </w14:textFill>
        </w:rPr>
        <w:t>/4跨位置。吊装顺序根据现场施工安排、</w:t>
      </w:r>
    </w:p>
    <w:p w14:paraId="57E3D2DE">
      <w:pPr>
        <w:pStyle w:val="17"/>
        <w:numPr>
          <w:ilvl w:val="0"/>
          <w:numId w:val="8"/>
        </w:numPr>
        <w:ind w:firstLineChars="0"/>
      </w:pPr>
      <w:r>
        <w:rPr>
          <w:rFonts w:hint="eastAsia"/>
        </w:rPr>
        <w:t>下部结构施工中 “墩身和承台龄期差不宜超过 20 天”，未明确承台浇筑完成后墩身施工的前置条件（承台混凝土强度达到设计值的百分比），墩身模板的安装偏差要求，盖梁与墩身的连接工艺（湿接 / 干接），请明确下部结构各工序衔接要求。</w:t>
      </w:r>
    </w:p>
    <w:p w14:paraId="3DF18D2C">
      <w:pPr>
        <w:ind w:firstLine="560" w:firstLineChars="200"/>
        <w:rPr>
          <w:rFonts w:hint="eastAsia"/>
          <w:color w:val="4874CB" w:themeColor="accent1"/>
          <w14:textFill>
            <w14:solidFill>
              <w14:schemeClr w14:val="accent1"/>
            </w14:solidFill>
          </w14:textFill>
        </w:rPr>
      </w:pPr>
      <w:r>
        <w:rPr>
          <w:color w:val="4874CB" w:themeColor="accent1"/>
          <w14:textFill>
            <w14:solidFill>
              <w14:schemeClr w14:val="accent1"/>
            </w14:solidFill>
          </w14:textFill>
        </w:rPr>
        <w:t>回复：施工应满足施工及验收相关规范相应要求，该项目并未特殊要求。</w:t>
      </w:r>
    </w:p>
    <w:p w14:paraId="3C188C0E">
      <w:pPr>
        <w:pStyle w:val="17"/>
        <w:numPr>
          <w:ilvl w:val="0"/>
          <w:numId w:val="8"/>
        </w:numPr>
        <w:ind w:firstLineChars="0"/>
      </w:pPr>
      <w:r>
        <w:rPr>
          <w:rFonts w:hint="eastAsia"/>
        </w:rPr>
        <w:t>支座安装要求 “保持水平，调整梁底 / 墩顶支座垫块”，未明确支座垫块的尺寸（钢板）、厚度调整范围，支座水平度的允许偏差。</w:t>
      </w:r>
    </w:p>
    <w:p w14:paraId="1D81887A">
      <w:pPr>
        <w:ind w:firstLine="560" w:firstLineChars="200"/>
        <w:rPr>
          <w:rFonts w:hint="eastAsia"/>
          <w:color w:val="4874CB" w:themeColor="accent1"/>
          <w14:textFill>
            <w14:solidFill>
              <w14:schemeClr w14:val="accent1"/>
            </w14:solidFill>
          </w14:textFill>
        </w:rPr>
      </w:pPr>
      <w:r>
        <w:rPr>
          <w:rFonts w:hint="eastAsia"/>
          <w:color w:val="4874CB" w:themeColor="accent1"/>
          <w14:textFill>
            <w14:solidFill>
              <w14:schemeClr w14:val="accent1"/>
            </w14:solidFill>
          </w14:textFill>
        </w:rPr>
        <w:t>回复：施工应满足施工及验收相关规范相应要求，该项目并未特殊要求。</w:t>
      </w:r>
    </w:p>
    <w:tbl>
      <w:tblPr>
        <w:tblStyle w:val="7"/>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27A2C19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7BDAB5A9">
            <w:pPr>
              <w:rPr>
                <w:color w:val="0000FF"/>
              </w:rPr>
            </w:pPr>
            <w:r>
              <w:drawing>
                <wp:inline distT="0" distB="0" distL="114300" distR="114300">
                  <wp:extent cx="5262880" cy="2081530"/>
                  <wp:effectExtent l="0" t="0" r="13970" b="13970"/>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18"/>
                          <a:stretch>
                            <a:fillRect/>
                          </a:stretch>
                        </pic:blipFill>
                        <pic:spPr>
                          <a:xfrm>
                            <a:off x="0" y="0"/>
                            <a:ext cx="5262880" cy="2081530"/>
                          </a:xfrm>
                          <a:prstGeom prst="rect">
                            <a:avLst/>
                          </a:prstGeom>
                          <a:noFill/>
                          <a:ln>
                            <a:noFill/>
                          </a:ln>
                        </pic:spPr>
                      </pic:pic>
                    </a:graphicData>
                  </a:graphic>
                </wp:inline>
              </w:drawing>
            </w:r>
          </w:p>
        </w:tc>
      </w:tr>
    </w:tbl>
    <w:p w14:paraId="1EB4AD5F">
      <w:pPr>
        <w:pStyle w:val="17"/>
        <w:numPr>
          <w:ilvl w:val="0"/>
          <w:numId w:val="8"/>
        </w:numPr>
        <w:ind w:firstLineChars="0"/>
      </w:pPr>
      <w:r>
        <w:rPr>
          <w:rFonts w:hint="eastAsia"/>
        </w:rPr>
        <w:t>钢结构涂装中 “桥面冷喷锌 2×35μm”，未明确后续是否需要涂刷封闭剂、面漆，设计说明中仅提及钢主梁外表面的完整涂装体系，桥面涂装内容缺失，请补充桥面钢结构的完整防腐涂装方案。</w:t>
      </w:r>
    </w:p>
    <w:p w14:paraId="2309708D">
      <w:pPr>
        <w:ind w:firstLine="560" w:firstLineChars="200"/>
        <w:rPr>
          <w:rFonts w:hint="eastAsia"/>
          <w:color w:val="4874CB" w:themeColor="accent1"/>
          <w14:textFill>
            <w14:solidFill>
              <w14:schemeClr w14:val="accent1"/>
            </w14:solidFill>
          </w14:textFill>
        </w:rPr>
      </w:pPr>
      <w:r>
        <w:rPr>
          <w:color w:val="4874CB" w:themeColor="accent1"/>
          <w14:textFill>
            <w14:solidFill>
              <w14:schemeClr w14:val="accent1"/>
            </w14:solidFill>
          </w14:textFill>
        </w:rPr>
        <w:t>回复：钢结构涂装全桥通用，以</w:t>
      </w:r>
      <w:r>
        <w:rPr>
          <w:rFonts w:hint="eastAsia"/>
          <w:color w:val="4874CB" w:themeColor="accent1"/>
          <w14:textFill>
            <w14:solidFill>
              <w14:schemeClr w14:val="accent1"/>
            </w14:solidFill>
          </w14:textFill>
        </w:rPr>
        <w:t>工厂</w:t>
      </w:r>
      <w:r>
        <w:rPr>
          <w:color w:val="4874CB" w:themeColor="accent1"/>
          <w14:textFill>
            <w14:solidFill>
              <w14:schemeClr w14:val="accent1"/>
            </w14:solidFill>
          </w14:textFill>
        </w:rPr>
        <w:t>完成为主。局部破损或需要修补的应满足规范要求。</w:t>
      </w:r>
    </w:p>
    <w:p w14:paraId="7FD9B14E">
      <w:pPr>
        <w:pStyle w:val="17"/>
        <w:numPr>
          <w:ilvl w:val="0"/>
          <w:numId w:val="8"/>
        </w:numPr>
        <w:ind w:firstLineChars="0"/>
      </w:pPr>
      <w:r>
        <w:rPr>
          <w:rFonts w:hint="eastAsia"/>
        </w:rPr>
        <w:t>危大工程清单中仅列明 “基坑工程、起重吊装工程” 为危险性较大工程，但未明确起重吊装的单件起吊重量，无法判断是否需要编制专项方案及专家论证，请补充危大工程的具体特征参数，并明确超过一定规模的危大工程界定结果。</w:t>
      </w:r>
    </w:p>
    <w:p w14:paraId="48BF7D25">
      <w:pPr>
        <w:ind w:firstLine="560" w:firstLineChars="200"/>
        <w:rPr>
          <w:rFonts w:hint="eastAsia"/>
          <w:color w:val="4874CB" w:themeColor="accent1"/>
          <w14:textFill>
            <w14:solidFill>
              <w14:schemeClr w14:val="accent1"/>
            </w14:solidFill>
          </w14:textFill>
        </w:rPr>
      </w:pPr>
      <w:r>
        <w:rPr>
          <w:color w:val="4874CB" w:themeColor="accent1"/>
          <w14:textFill>
            <w14:solidFill>
              <w14:schemeClr w14:val="accent1"/>
            </w14:solidFill>
          </w14:textFill>
        </w:rPr>
        <w:t>回复：起吊重量及节段划分，施工单位应根据施工设备确定。分段点应位于结构受力较小位置，如</w:t>
      </w:r>
      <w:r>
        <w:rPr>
          <w:rFonts w:hint="eastAsia"/>
          <w:color w:val="4874CB" w:themeColor="accent1"/>
          <w14:textFill>
            <w14:solidFill>
              <w14:schemeClr w14:val="accent1"/>
            </w14:solidFill>
          </w14:textFill>
        </w:rPr>
        <w:t>1</w:t>
      </w:r>
      <w:r>
        <w:rPr>
          <w:color w:val="4874CB" w:themeColor="accent1"/>
          <w14:textFill>
            <w14:solidFill>
              <w14:schemeClr w14:val="accent1"/>
            </w14:solidFill>
          </w14:textFill>
        </w:rPr>
        <w:t>/4跨度位置。</w:t>
      </w:r>
    </w:p>
    <w:p w14:paraId="3E72CFF1">
      <w:pPr>
        <w:pStyle w:val="17"/>
        <w:numPr>
          <w:ilvl w:val="0"/>
          <w:numId w:val="8"/>
        </w:numPr>
        <w:ind w:firstLineChars="0"/>
      </w:pPr>
      <w:r>
        <w:rPr>
          <w:rFonts w:hint="eastAsia"/>
        </w:rPr>
        <w:t>钢箱梁吊装为起重吊装工程，未明确钢箱梁节段的单件重量，推荐的起重设备类型（汽车吊 / 履带吊）、作业半径，吊装过程中的安全防护措施（防碰撞、防倾覆）。</w:t>
      </w:r>
    </w:p>
    <w:p w14:paraId="11A8C79D">
      <w:pPr>
        <w:ind w:firstLine="560" w:firstLineChars="200"/>
        <w:rPr>
          <w:rFonts w:hint="eastAsia"/>
          <w:color w:val="4874CB" w:themeColor="accent1"/>
          <w14:textFill>
            <w14:solidFill>
              <w14:schemeClr w14:val="accent1"/>
            </w14:solidFill>
          </w14:textFill>
        </w:rPr>
      </w:pPr>
      <w:r>
        <w:rPr>
          <w:color w:val="4874CB" w:themeColor="accent1"/>
          <w14:textFill>
            <w14:solidFill>
              <w14:schemeClr w14:val="accent1"/>
            </w14:solidFill>
          </w14:textFill>
        </w:rPr>
        <w:t>回复：安全防护措施，施工单位需根据现场情况，自行确定。</w:t>
      </w:r>
    </w:p>
    <w:p w14:paraId="59E8DF0E">
      <w:pPr>
        <w:pStyle w:val="17"/>
        <w:numPr>
          <w:ilvl w:val="0"/>
          <w:numId w:val="8"/>
        </w:numPr>
        <w:ind w:firstLineChars="0"/>
      </w:pPr>
      <w:r>
        <w:rPr>
          <w:rFonts w:hint="eastAsia"/>
        </w:rPr>
        <w:t>基坑工程要求 “编制详细的施工专项方案与应急预案”，未明确基坑的安全等级、周边环境的保护要求（如地下管线、周边建构筑物的监测指标），请补充基坑工程的安全设计要求。</w:t>
      </w:r>
    </w:p>
    <w:p w14:paraId="20F7C9D0">
      <w:pPr>
        <w:ind w:firstLine="560" w:firstLineChars="200"/>
        <w:rPr>
          <w:rFonts w:hint="eastAsia"/>
          <w:color w:val="4874CB" w:themeColor="accent1"/>
          <w14:textFill>
            <w14:solidFill>
              <w14:schemeClr w14:val="accent1"/>
            </w14:solidFill>
          </w14:textFill>
        </w:rPr>
      </w:pPr>
      <w:r>
        <w:rPr>
          <w:color w:val="4874CB" w:themeColor="accent1"/>
          <w14:textFill>
            <w14:solidFill>
              <w14:schemeClr w14:val="accent1"/>
            </w14:solidFill>
          </w14:textFill>
        </w:rPr>
        <w:t>回复：该项目并未特殊要求，施工单位应根据施工规范自行规划施工方案及需要采取的必要安全措施。</w:t>
      </w:r>
    </w:p>
    <w:p w14:paraId="22F054A5">
      <w:pPr>
        <w:pStyle w:val="17"/>
        <w:numPr>
          <w:ilvl w:val="0"/>
          <w:numId w:val="8"/>
        </w:numPr>
        <w:ind w:firstLineChars="0"/>
      </w:pPr>
      <w:r>
        <w:rPr>
          <w:rFonts w:hint="eastAsia"/>
        </w:rPr>
        <w:t>设计提及 “场地存在建筑老基础和排水管道、电线，建议挖除”，但未明确老基础、管线的具体位置、埋深，施工前的探勘要求及迁改 / 保护措施，请补充地下障碍物的具体信息及处理要求。</w:t>
      </w:r>
    </w:p>
    <w:p w14:paraId="3933182E">
      <w:pPr>
        <w:ind w:firstLine="560" w:firstLineChars="200"/>
        <w:rPr>
          <w:rFonts w:hint="eastAsia"/>
          <w:color w:val="4874CB" w:themeColor="accent1"/>
          <w14:textFill>
            <w14:solidFill>
              <w14:schemeClr w14:val="accent1"/>
            </w14:solidFill>
          </w14:textFill>
        </w:rPr>
      </w:pPr>
      <w:r>
        <w:rPr>
          <w:rFonts w:hint="eastAsia"/>
          <w:color w:val="4874CB" w:themeColor="accent1"/>
          <w14:textFill>
            <w14:solidFill>
              <w14:schemeClr w14:val="accent1"/>
            </w14:solidFill>
          </w14:textFill>
        </w:rPr>
        <w:t>回复：施工现场若遇未探明特殊情况，应第一时间通知监理及建设方，采取必要措施后方可继续施工。</w:t>
      </w:r>
    </w:p>
    <w:p w14:paraId="5F809B0C">
      <w:pPr>
        <w:pStyle w:val="17"/>
        <w:numPr>
          <w:ilvl w:val="0"/>
          <w:numId w:val="8"/>
        </w:numPr>
        <w:ind w:firstLineChars="0"/>
      </w:pPr>
      <w:r>
        <w:rPr>
          <w:rFonts w:hint="eastAsia"/>
        </w:rPr>
        <w:t>钢材采用 Q345qC、Q235C，普通钢筋采用 HPB300、HRB400，未明确钢材的负温冲击功要求，钢筋的连接套筒型号、拧紧力矩要求，请补充材料的附加质量要求及连接验收标准。</w:t>
      </w:r>
    </w:p>
    <w:p w14:paraId="58449AF2">
      <w:pPr>
        <w:ind w:firstLine="560" w:firstLineChars="200"/>
        <w:rPr>
          <w:rFonts w:hint="eastAsia"/>
          <w:color w:val="4874CB" w:themeColor="accent1"/>
          <w14:textFill>
            <w14:solidFill>
              <w14:schemeClr w14:val="accent1"/>
            </w14:solidFill>
          </w14:textFill>
        </w:rPr>
      </w:pPr>
      <w:r>
        <w:rPr>
          <w:color w:val="4874CB" w:themeColor="accent1"/>
          <w14:textFill>
            <w14:solidFill>
              <w14:schemeClr w14:val="accent1"/>
            </w14:solidFill>
          </w14:textFill>
        </w:rPr>
        <w:t>回复：该项目对钢筋，钢材并无特使要求，理应满足现行规范相应要求。</w:t>
      </w:r>
    </w:p>
    <w:p w14:paraId="3C3DFF23">
      <w:pPr>
        <w:pStyle w:val="17"/>
        <w:numPr>
          <w:ilvl w:val="0"/>
          <w:numId w:val="8"/>
        </w:numPr>
        <w:ind w:firstLineChars="0"/>
      </w:pPr>
      <w:r>
        <w:rPr>
          <w:rFonts w:hint="eastAsia"/>
        </w:rPr>
        <w:t>混凝土强度等级明确为 C40（桩柱式桥台 / 桥墩 / 盖梁 / 垫石）、C30（重力式桥台 / 桩基），未明确泵送混凝土的坍落度要求，试块留置的数量及养护要求。</w:t>
      </w:r>
    </w:p>
    <w:p w14:paraId="73E6182D">
      <w:pPr>
        <w:ind w:firstLine="560" w:firstLineChars="200"/>
        <w:rPr>
          <w:rFonts w:hint="eastAsia"/>
          <w:color w:val="4874CB" w:themeColor="accent1"/>
          <w14:textFill>
            <w14:solidFill>
              <w14:schemeClr w14:val="accent1"/>
            </w14:solidFill>
          </w14:textFill>
        </w:rPr>
      </w:pPr>
      <w:r>
        <w:rPr>
          <w:color w:val="4874CB" w:themeColor="accent1"/>
          <w14:textFill>
            <w14:solidFill>
              <w14:schemeClr w14:val="accent1"/>
            </w14:solidFill>
          </w14:textFill>
        </w:rPr>
        <w:t>回复：该项目并未特殊要求，施工方应根据施工规范确定。</w:t>
      </w:r>
    </w:p>
    <w:p w14:paraId="2FBBA16A">
      <w:pPr>
        <w:pStyle w:val="17"/>
        <w:numPr>
          <w:ilvl w:val="0"/>
          <w:numId w:val="8"/>
        </w:numPr>
        <w:ind w:firstLineChars="0"/>
      </w:pPr>
      <w:r>
        <w:rPr>
          <w:rFonts w:hint="eastAsia"/>
        </w:rPr>
        <w:t>冷喷锌要求 “干膜涂层全锌含量不低于 96%”，氟碳面漆要求 “溶剂可溶物氟含量≥24%”，未明确现场涂层检测的方法（取样 / 无损检测）、检测频率，不合格涂层的处理措施，请补充涂装质量的检测及验收标准。</w:t>
      </w:r>
    </w:p>
    <w:p w14:paraId="78CBEBDB">
      <w:pPr>
        <w:ind w:firstLine="560" w:firstLineChars="200"/>
        <w:rPr>
          <w:rFonts w:hint="eastAsia"/>
          <w:color w:val="4874CB" w:themeColor="accent1"/>
          <w14:textFill>
            <w14:solidFill>
              <w14:schemeClr w14:val="accent1"/>
            </w14:solidFill>
          </w14:textFill>
        </w:rPr>
      </w:pPr>
      <w:r>
        <w:rPr>
          <w:color w:val="4874CB" w:themeColor="accent1"/>
          <w14:textFill>
            <w14:solidFill>
              <w14:schemeClr w14:val="accent1"/>
            </w14:solidFill>
          </w14:textFill>
        </w:rPr>
        <w:t>回复：该项目并未特殊要求，理应满足现行规范要求。</w:t>
      </w:r>
      <w:r>
        <w:rPr>
          <w:rFonts w:hint="eastAsia"/>
          <w:color w:val="4874CB" w:themeColor="accent1"/>
          <w14:textFill>
            <w14:solidFill>
              <w14:schemeClr w14:val="accent1"/>
            </w14:solidFill>
          </w14:textFill>
        </w:rPr>
        <w:t xml:space="preserve"> </w:t>
      </w:r>
    </w:p>
    <w:p w14:paraId="17A174F1">
      <w:pPr>
        <w:pStyle w:val="17"/>
        <w:numPr>
          <w:ilvl w:val="0"/>
          <w:numId w:val="8"/>
        </w:numPr>
        <w:ind w:firstLineChars="0"/>
      </w:pPr>
      <w:r>
        <w:rPr>
          <w:rFonts w:hint="eastAsia"/>
        </w:rPr>
        <w:t>桩基施工要求 “应对每根桩的匀质性进行无损检测（小应变检测）”，未明确桩基的完整性检测等级，是否需要进行声波透射法 / 钻芯法检测，检测桩的数量比例，请补充桩基检测的具体要求。</w:t>
      </w:r>
    </w:p>
    <w:p w14:paraId="3891A640">
      <w:pPr>
        <w:pStyle w:val="17"/>
        <w:ind w:left="420" w:firstLine="0" w:firstLineChars="0"/>
        <w:rPr>
          <w:rFonts w:hint="eastAsia"/>
        </w:rPr>
      </w:pPr>
      <w:r>
        <w:rPr>
          <w:color w:val="4874CB" w:themeColor="accent1"/>
          <w14:textFill>
            <w14:solidFill>
              <w14:schemeClr w14:val="accent1"/>
            </w14:solidFill>
          </w14:textFill>
        </w:rPr>
        <w:t>回复：该项目并未特殊要求，理应满足现行施工规范及检测规范要求。</w:t>
      </w:r>
    </w:p>
    <w:p w14:paraId="482D1A9A">
      <w:pPr>
        <w:pStyle w:val="17"/>
        <w:numPr>
          <w:ilvl w:val="0"/>
          <w:numId w:val="8"/>
        </w:numPr>
        <w:ind w:firstLineChars="0"/>
      </w:pPr>
      <w:r>
        <w:rPr>
          <w:rFonts w:hint="eastAsia"/>
        </w:rPr>
        <w:t>钢箱梁安装完成后，未明确桥面铺装施工的前置条件（钢箱梁的验收标准、梁面清理要求）。</w:t>
      </w:r>
    </w:p>
    <w:p w14:paraId="75E74322">
      <w:pPr>
        <w:ind w:firstLine="560" w:firstLineChars="200"/>
        <w:rPr>
          <w:rFonts w:hint="eastAsia"/>
          <w:color w:val="4874CB" w:themeColor="accent1"/>
          <w14:textFill>
            <w14:solidFill>
              <w14:schemeClr w14:val="accent1"/>
            </w14:solidFill>
          </w14:textFill>
        </w:rPr>
      </w:pPr>
      <w:r>
        <w:rPr>
          <w:color w:val="4874CB" w:themeColor="accent1"/>
          <w14:textFill>
            <w14:solidFill>
              <w14:schemeClr w14:val="accent1"/>
            </w14:solidFill>
          </w14:textFill>
        </w:rPr>
        <w:t>回复：施工方理应根据工程整体情况，做项目整体规划及施工方案，验收等方案，报监理及建设方批准后实施。</w:t>
      </w:r>
    </w:p>
    <w:p w14:paraId="5C36DC25">
      <w:pPr>
        <w:pStyle w:val="17"/>
        <w:numPr>
          <w:ilvl w:val="0"/>
          <w:numId w:val="8"/>
        </w:numPr>
        <w:ind w:firstLineChars="0"/>
      </w:pPr>
      <w:r>
        <w:rPr>
          <w:rFonts w:hint="eastAsia"/>
        </w:rPr>
        <w:t>设计提及 “考虑景观与园区整体规划相协调”，未明确钢箱梁、护栏的外观颜色要求，涂装的色号标准，请补充景观相关的外观设计要求。</w:t>
      </w:r>
    </w:p>
    <w:p w14:paraId="04517F67">
      <w:pPr>
        <w:ind w:firstLine="560" w:firstLineChars="200"/>
        <w:rPr>
          <w:rFonts w:hint="eastAsia"/>
          <w:color w:val="4874CB" w:themeColor="accent1"/>
          <w14:textFill>
            <w14:solidFill>
              <w14:schemeClr w14:val="accent1"/>
            </w14:solidFill>
          </w14:textFill>
        </w:rPr>
      </w:pPr>
      <w:r>
        <w:rPr>
          <w:color w:val="4874CB" w:themeColor="accent1"/>
          <w14:textFill>
            <w14:solidFill>
              <w14:schemeClr w14:val="accent1"/>
            </w14:solidFill>
          </w14:textFill>
        </w:rPr>
        <w:t>回复：原则上建议购买成品栏杆，色号等与建设单位协商确定。</w:t>
      </w:r>
    </w:p>
    <w:p w14:paraId="5B54F109">
      <w:pPr>
        <w:ind w:firstLine="560" w:firstLineChars="200"/>
      </w:pPr>
      <w:r>
        <w:rPr>
          <w:rFonts w:hint="eastAsia"/>
        </w:rPr>
        <w:t>23、水下混凝土坍落度需明确。</w:t>
      </w:r>
    </w:p>
    <w:p w14:paraId="3CF8BBE1">
      <w:pPr>
        <w:numPr>
          <w:ilvl w:val="0"/>
          <w:numId w:val="0"/>
        </w:numPr>
        <w:ind w:leftChars="0"/>
        <w:jc w:val="both"/>
        <w:rPr>
          <w:color w:val="4874CB" w:themeColor="accent1"/>
          <w14:textFill>
            <w14:solidFill>
              <w14:schemeClr w14:val="accent1"/>
            </w14:solidFill>
          </w14:textFill>
        </w:rPr>
      </w:pPr>
      <w:r>
        <w:rPr>
          <w:color w:val="4874CB" w:themeColor="accent1"/>
          <w14:textFill>
            <w14:solidFill>
              <w14:schemeClr w14:val="accent1"/>
            </w14:solidFill>
          </w14:textFill>
        </w:rPr>
        <w:t>回复：该项目并未特殊要求，理应满足现行规范要求。</w:t>
      </w:r>
    </w:p>
    <w:p w14:paraId="1C1DD3B8">
      <w:pPr>
        <w:numPr>
          <w:ilvl w:val="0"/>
          <w:numId w:val="2"/>
        </w:numPr>
        <w:rPr>
          <w:color w:val="4874CB" w:themeColor="accent1"/>
          <w14:textFill>
            <w14:solidFill>
              <w14:schemeClr w14:val="accent1"/>
            </w14:solidFill>
          </w14:textFill>
        </w:rPr>
      </w:pPr>
      <w:r>
        <w:rPr>
          <w:rFonts w:hint="eastAsia"/>
          <w:b/>
          <w:bCs/>
        </w:rPr>
        <w:t>景观设计篇</w:t>
      </w:r>
    </w:p>
    <w:p w14:paraId="44B37617">
      <w:pPr>
        <w:ind w:firstLine="560" w:firstLineChars="200"/>
      </w:pPr>
      <w:r>
        <w:rPr>
          <w:rFonts w:hint="eastAsia"/>
        </w:rPr>
        <w:t>1、7#广场及其他入口广场的地下排水管网管径、坡度、埋深及检查井设置要求未明确，应补充各区域雨水口连接管、干管、支管的规格参数与敷设路径，并注明与市政排水系统的衔接方式及标高控制要求。</w:t>
      </w:r>
    </w:p>
    <w:p w14:paraId="558185B1">
      <w:pPr>
        <w:ind w:firstLine="560" w:firstLineChars="200"/>
        <w:rPr>
          <w:rFonts w:hint="eastAsia"/>
        </w:rPr>
      </w:pPr>
      <w:r>
        <w:rPr>
          <w:rFonts w:hint="eastAsia"/>
          <w:color w:val="FF0000"/>
        </w:rPr>
        <w:t>回复：正式图纸上有相关设计，已于施工图单位进行沟通，根据现场调整进行调整。</w:t>
      </w:r>
    </w:p>
    <w:p w14:paraId="33C620D4">
      <w:pPr>
        <w:numPr>
          <w:ilvl w:val="0"/>
          <w:numId w:val="7"/>
        </w:numPr>
        <w:ind w:firstLine="560" w:firstLineChars="200"/>
      </w:pPr>
      <w:r>
        <w:rPr>
          <w:rFonts w:hint="eastAsia"/>
        </w:rPr>
        <w:t>设计图纸部分缺少索引标注及详图。</w:t>
      </w:r>
    </w:p>
    <w:p w14:paraId="67249AD4">
      <w:pPr>
        <w:ind w:left="560"/>
        <w:rPr>
          <w:rFonts w:hint="eastAsia"/>
          <w:color w:val="FF0000"/>
        </w:rPr>
      </w:pPr>
      <w:r>
        <w:rPr>
          <w:rFonts w:hint="eastAsia"/>
          <w:color w:val="FF0000"/>
        </w:rPr>
        <w:t>回复：已于施工单位沟通，经行完善。</w:t>
      </w:r>
    </w:p>
    <w:p w14:paraId="52E64200">
      <w:pPr>
        <w:numPr>
          <w:ilvl w:val="0"/>
          <w:numId w:val="7"/>
        </w:numPr>
        <w:ind w:firstLine="560" w:firstLineChars="200"/>
      </w:pPr>
      <w:r>
        <w:rPr>
          <w:rFonts w:hint="eastAsia"/>
        </w:rPr>
        <w:t>7#广场现状排水沟设置盖板后覆土问题。</w:t>
      </w:r>
    </w:p>
    <w:p w14:paraId="4E09DFFC">
      <w:pPr>
        <w:ind w:left="560"/>
        <w:rPr>
          <w:rFonts w:hint="eastAsia"/>
          <w:color w:val="FF0000"/>
        </w:rPr>
      </w:pPr>
      <w:r>
        <w:rPr>
          <w:rFonts w:hint="eastAsia"/>
          <w:color w:val="FF0000"/>
        </w:rPr>
        <w:t>回复：需结合现场情况进行考虑。</w:t>
      </w:r>
    </w:p>
    <w:p w14:paraId="667EE3CC">
      <w:pPr>
        <w:numPr>
          <w:ilvl w:val="0"/>
          <w:numId w:val="7"/>
        </w:numPr>
        <w:ind w:firstLine="560" w:firstLineChars="200"/>
      </w:pPr>
      <w:r>
        <w:rPr>
          <w:rFonts w:hint="eastAsia"/>
        </w:rPr>
        <w:t>7#广场零星问题。</w:t>
      </w:r>
    </w:p>
    <w:tbl>
      <w:tblPr>
        <w:tblStyle w:val="7"/>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44"/>
        <w:gridCol w:w="3578"/>
      </w:tblGrid>
      <w:tr w14:paraId="58DB11F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944" w:type="dxa"/>
            <w:tcBorders>
              <w:tl2br w:val="nil"/>
              <w:tr2bl w:val="nil"/>
            </w:tcBorders>
            <w:vAlign w:val="center"/>
          </w:tcPr>
          <w:p w14:paraId="2CF5F53B">
            <w:pPr>
              <w:jc w:val="center"/>
            </w:pPr>
            <w:r>
              <w:rPr>
                <w:rFonts w:hint="eastAsia"/>
              </w:rPr>
              <w:drawing>
                <wp:inline distT="0" distB="0" distL="114300" distR="114300">
                  <wp:extent cx="2568575" cy="2506345"/>
                  <wp:effectExtent l="0" t="0" r="3175" b="8255"/>
                  <wp:docPr id="18" name="图片 18" descr="b1ab039382671fce925190101e10b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b1ab039382671fce925190101e10be01"/>
                          <pic:cNvPicPr>
                            <a:picLocks noChangeAspect="1"/>
                          </pic:cNvPicPr>
                        </pic:nvPicPr>
                        <pic:blipFill>
                          <a:blip r:embed="rId19"/>
                          <a:stretch>
                            <a:fillRect/>
                          </a:stretch>
                        </pic:blipFill>
                        <pic:spPr>
                          <a:xfrm>
                            <a:off x="0" y="0"/>
                            <a:ext cx="2568575" cy="2506345"/>
                          </a:xfrm>
                          <a:prstGeom prst="rect">
                            <a:avLst/>
                          </a:prstGeom>
                        </pic:spPr>
                      </pic:pic>
                    </a:graphicData>
                  </a:graphic>
                </wp:inline>
              </w:drawing>
            </w:r>
          </w:p>
        </w:tc>
        <w:tc>
          <w:tcPr>
            <w:tcW w:w="3578" w:type="dxa"/>
            <w:tcBorders>
              <w:tl2br w:val="nil"/>
              <w:tr2bl w:val="nil"/>
            </w:tcBorders>
            <w:vAlign w:val="center"/>
          </w:tcPr>
          <w:p w14:paraId="0EDEC688">
            <w:pPr>
              <w:jc w:val="center"/>
            </w:pPr>
            <w:r>
              <w:rPr>
                <w:rFonts w:hint="eastAsia"/>
              </w:rPr>
              <w:t>设计边线为接顺现状人行道，现状人行道边绿化带位置有纵向电缆沟和给水管。</w:t>
            </w:r>
          </w:p>
          <w:p w14:paraId="72CDB664">
            <w:pPr>
              <w:jc w:val="center"/>
              <w:rPr>
                <w:rFonts w:hint="eastAsia"/>
              </w:rPr>
            </w:pPr>
            <w:r>
              <w:rPr>
                <w:rFonts w:hint="eastAsia"/>
                <w:color w:val="FF0000"/>
              </w:rPr>
              <w:t>回复：需根据现场实际情况考虑，进行调整设计。</w:t>
            </w:r>
          </w:p>
        </w:tc>
      </w:tr>
      <w:tr w14:paraId="7391B30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944" w:type="dxa"/>
            <w:tcBorders>
              <w:tl2br w:val="nil"/>
              <w:tr2bl w:val="nil"/>
            </w:tcBorders>
            <w:vAlign w:val="center"/>
          </w:tcPr>
          <w:p w14:paraId="674DF3E5">
            <w:pPr>
              <w:jc w:val="center"/>
            </w:pPr>
            <w:r>
              <w:rPr>
                <w:rFonts w:hint="eastAsia"/>
              </w:rPr>
              <w:drawing>
                <wp:inline distT="0" distB="0" distL="114300" distR="114300">
                  <wp:extent cx="2576830" cy="2772410"/>
                  <wp:effectExtent l="0" t="0" r="13970" b="8890"/>
                  <wp:docPr id="20" name="图片 20" descr="d77e42d0df44847a00f194aa8caec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77e42d0df44847a00f194aa8caec348"/>
                          <pic:cNvPicPr>
                            <a:picLocks noChangeAspect="1"/>
                          </pic:cNvPicPr>
                        </pic:nvPicPr>
                        <pic:blipFill>
                          <a:blip r:embed="rId20"/>
                          <a:stretch>
                            <a:fillRect/>
                          </a:stretch>
                        </pic:blipFill>
                        <pic:spPr>
                          <a:xfrm>
                            <a:off x="0" y="0"/>
                            <a:ext cx="2576830" cy="2772410"/>
                          </a:xfrm>
                          <a:prstGeom prst="rect">
                            <a:avLst/>
                          </a:prstGeom>
                        </pic:spPr>
                      </pic:pic>
                    </a:graphicData>
                  </a:graphic>
                </wp:inline>
              </w:drawing>
            </w:r>
          </w:p>
        </w:tc>
        <w:tc>
          <w:tcPr>
            <w:tcW w:w="3578" w:type="dxa"/>
            <w:tcBorders>
              <w:tl2br w:val="nil"/>
              <w:tr2bl w:val="nil"/>
            </w:tcBorders>
            <w:vAlign w:val="center"/>
          </w:tcPr>
          <w:p w14:paraId="6A0E03D1">
            <w:pPr>
              <w:jc w:val="center"/>
            </w:pPr>
            <w:r>
              <w:rPr>
                <w:rFonts w:hint="eastAsia"/>
              </w:rPr>
              <w:t>白线为设计边线，边上剩余部分是否处理。</w:t>
            </w:r>
          </w:p>
          <w:p w14:paraId="349281FE">
            <w:pPr>
              <w:jc w:val="center"/>
            </w:pPr>
            <w:r>
              <w:rPr>
                <w:rFonts w:hint="eastAsia"/>
                <w:color w:val="FF0000"/>
              </w:rPr>
              <w:t>回复：需根据现场实际情况考虑。</w:t>
            </w:r>
          </w:p>
        </w:tc>
      </w:tr>
      <w:tr w14:paraId="009D909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944" w:type="dxa"/>
            <w:tcBorders>
              <w:tl2br w:val="nil"/>
              <w:tr2bl w:val="nil"/>
            </w:tcBorders>
            <w:vAlign w:val="center"/>
          </w:tcPr>
          <w:p w14:paraId="378E17DE">
            <w:pPr>
              <w:jc w:val="center"/>
            </w:pPr>
            <w:r>
              <w:drawing>
                <wp:inline distT="0" distB="0" distL="114300" distR="114300">
                  <wp:extent cx="2877820" cy="2571750"/>
                  <wp:effectExtent l="0" t="0" r="17780" b="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21"/>
                          <a:stretch>
                            <a:fillRect/>
                          </a:stretch>
                        </pic:blipFill>
                        <pic:spPr>
                          <a:xfrm>
                            <a:off x="0" y="0"/>
                            <a:ext cx="2877820" cy="2571750"/>
                          </a:xfrm>
                          <a:prstGeom prst="rect">
                            <a:avLst/>
                          </a:prstGeom>
                          <a:noFill/>
                          <a:ln>
                            <a:noFill/>
                          </a:ln>
                        </pic:spPr>
                      </pic:pic>
                    </a:graphicData>
                  </a:graphic>
                </wp:inline>
              </w:drawing>
            </w:r>
          </w:p>
        </w:tc>
        <w:tc>
          <w:tcPr>
            <w:tcW w:w="3578" w:type="dxa"/>
            <w:tcBorders>
              <w:tl2br w:val="nil"/>
              <w:tr2bl w:val="nil"/>
            </w:tcBorders>
            <w:vAlign w:val="center"/>
          </w:tcPr>
          <w:p w14:paraId="650EC33E">
            <w:pPr>
              <w:jc w:val="center"/>
            </w:pPr>
            <w:r>
              <w:rPr>
                <w:rFonts w:hint="eastAsia"/>
              </w:rPr>
              <w:t>现状道路起伏严重，是否按现状加铺沥青即可；现状道路最高点高程为1784，道路设计给出一个点位高程为1781.6下方广场停车位高程为1780.75，存在边坡且实际放线后路边线在现状混凝土路面边，边坡存在裸露且无放坡，需垂直开挖，是否影响安全；此段建议设计重新确定。</w:t>
            </w:r>
          </w:p>
          <w:p w14:paraId="61367118">
            <w:pPr>
              <w:jc w:val="center"/>
            </w:pPr>
            <w:r>
              <w:rPr>
                <w:rFonts w:hint="eastAsia"/>
                <w:color w:val="FF0000"/>
              </w:rPr>
              <w:t>回复：需根据现场实际情况进行调整设计。</w:t>
            </w:r>
          </w:p>
        </w:tc>
      </w:tr>
      <w:tr w14:paraId="28709AE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944" w:type="dxa"/>
            <w:tcBorders>
              <w:tl2br w:val="nil"/>
              <w:tr2bl w:val="nil"/>
            </w:tcBorders>
            <w:vAlign w:val="center"/>
          </w:tcPr>
          <w:p w14:paraId="37BFE544">
            <w:pPr>
              <w:jc w:val="center"/>
            </w:pPr>
            <w:r>
              <w:rPr>
                <w:rFonts w:hint="eastAsia"/>
              </w:rPr>
              <w:drawing>
                <wp:inline distT="0" distB="0" distL="114300" distR="114300">
                  <wp:extent cx="2877185" cy="3418840"/>
                  <wp:effectExtent l="0" t="0" r="18415" b="10160"/>
                  <wp:docPr id="23" name="图片 23" descr="83486e5e9bd4e10967c035b99cda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83486e5e9bd4e10967c035b99cda2505"/>
                          <pic:cNvPicPr>
                            <a:picLocks noChangeAspect="1"/>
                          </pic:cNvPicPr>
                        </pic:nvPicPr>
                        <pic:blipFill>
                          <a:blip r:embed="rId22"/>
                          <a:stretch>
                            <a:fillRect/>
                          </a:stretch>
                        </pic:blipFill>
                        <pic:spPr>
                          <a:xfrm>
                            <a:off x="0" y="0"/>
                            <a:ext cx="2877185" cy="3418840"/>
                          </a:xfrm>
                          <a:prstGeom prst="rect">
                            <a:avLst/>
                          </a:prstGeom>
                        </pic:spPr>
                      </pic:pic>
                    </a:graphicData>
                  </a:graphic>
                </wp:inline>
              </w:drawing>
            </w:r>
          </w:p>
        </w:tc>
        <w:tc>
          <w:tcPr>
            <w:tcW w:w="3578" w:type="dxa"/>
            <w:tcBorders>
              <w:tl2br w:val="nil"/>
              <w:tr2bl w:val="nil"/>
            </w:tcBorders>
            <w:vAlign w:val="center"/>
          </w:tcPr>
          <w:p w14:paraId="79359D93">
            <w:pPr>
              <w:jc w:val="center"/>
            </w:pPr>
            <w:r>
              <w:rPr>
                <w:rFonts w:hint="eastAsia"/>
              </w:rPr>
              <w:t>据了解现状排水沟雨季流量较大，是否需要另外处理。</w:t>
            </w:r>
          </w:p>
          <w:p w14:paraId="57CB2C55">
            <w:pPr>
              <w:jc w:val="center"/>
              <w:rPr>
                <w:rFonts w:hint="eastAsia"/>
              </w:rPr>
            </w:pPr>
            <w:r>
              <w:rPr>
                <w:rFonts w:hint="eastAsia"/>
                <w:color w:val="FF0000"/>
              </w:rPr>
              <w:t>回复：需根据现场实际情况进行调整设计。</w:t>
            </w:r>
          </w:p>
        </w:tc>
      </w:tr>
      <w:tr w14:paraId="0825FF4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944" w:type="dxa"/>
            <w:tcBorders>
              <w:tl2br w:val="nil"/>
              <w:tr2bl w:val="nil"/>
            </w:tcBorders>
            <w:vAlign w:val="center"/>
          </w:tcPr>
          <w:p w14:paraId="02F2C06C">
            <w:pPr>
              <w:jc w:val="center"/>
            </w:pPr>
            <w:r>
              <w:drawing>
                <wp:inline distT="0" distB="0" distL="114300" distR="114300">
                  <wp:extent cx="3475990" cy="2667635"/>
                  <wp:effectExtent l="0" t="0" r="10160" b="18415"/>
                  <wp:docPr id="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
                          <pic:cNvPicPr>
                            <a:picLocks noChangeAspect="1"/>
                          </pic:cNvPicPr>
                        </pic:nvPicPr>
                        <pic:blipFill>
                          <a:blip r:embed="rId23"/>
                          <a:stretch>
                            <a:fillRect/>
                          </a:stretch>
                        </pic:blipFill>
                        <pic:spPr>
                          <a:xfrm>
                            <a:off x="0" y="0"/>
                            <a:ext cx="3475990" cy="2667635"/>
                          </a:xfrm>
                          <a:prstGeom prst="rect">
                            <a:avLst/>
                          </a:prstGeom>
                          <a:noFill/>
                          <a:ln>
                            <a:noFill/>
                          </a:ln>
                        </pic:spPr>
                      </pic:pic>
                    </a:graphicData>
                  </a:graphic>
                </wp:inline>
              </w:drawing>
            </w:r>
          </w:p>
        </w:tc>
        <w:tc>
          <w:tcPr>
            <w:tcW w:w="3578" w:type="dxa"/>
            <w:tcBorders>
              <w:tl2br w:val="nil"/>
              <w:tr2bl w:val="nil"/>
            </w:tcBorders>
            <w:vAlign w:val="center"/>
          </w:tcPr>
          <w:p w14:paraId="77BAEF01">
            <w:pPr>
              <w:jc w:val="center"/>
            </w:pPr>
            <w:r>
              <w:rPr>
                <w:rFonts w:hint="eastAsia"/>
              </w:rPr>
              <w:t>二期房建取消做停车位，不考虑水电等。后期根据实际确定做停车位或绿化</w:t>
            </w:r>
          </w:p>
          <w:p w14:paraId="35CCAD6D">
            <w:pPr>
              <w:jc w:val="center"/>
              <w:rPr>
                <w:rFonts w:hint="eastAsia"/>
              </w:rPr>
            </w:pPr>
            <w:r>
              <w:rPr>
                <w:rFonts w:hint="eastAsia"/>
                <w:color w:val="FF0000"/>
              </w:rPr>
              <w:t>回复：可先按房间取消进行修改，原有房建部分铺草坪。</w:t>
            </w:r>
          </w:p>
        </w:tc>
      </w:tr>
      <w:tr w14:paraId="15E5A97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944" w:type="dxa"/>
            <w:tcBorders>
              <w:tl2br w:val="nil"/>
              <w:tr2bl w:val="nil"/>
            </w:tcBorders>
            <w:vAlign w:val="center"/>
          </w:tcPr>
          <w:p w14:paraId="34BFE924">
            <w:pPr>
              <w:jc w:val="center"/>
            </w:pPr>
            <w:r>
              <w:drawing>
                <wp:inline distT="0" distB="0" distL="114300" distR="114300">
                  <wp:extent cx="4789805" cy="2872740"/>
                  <wp:effectExtent l="0" t="0" r="10795" b="3810"/>
                  <wp:docPr id="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pic:cNvPicPr>
                            <a:picLocks noChangeAspect="1"/>
                          </pic:cNvPicPr>
                        </pic:nvPicPr>
                        <pic:blipFill>
                          <a:blip r:embed="rId24"/>
                          <a:stretch>
                            <a:fillRect/>
                          </a:stretch>
                        </pic:blipFill>
                        <pic:spPr>
                          <a:xfrm>
                            <a:off x="0" y="0"/>
                            <a:ext cx="4789805" cy="2872740"/>
                          </a:xfrm>
                          <a:prstGeom prst="rect">
                            <a:avLst/>
                          </a:prstGeom>
                          <a:noFill/>
                          <a:ln>
                            <a:noFill/>
                          </a:ln>
                        </pic:spPr>
                      </pic:pic>
                    </a:graphicData>
                  </a:graphic>
                </wp:inline>
              </w:drawing>
            </w:r>
          </w:p>
        </w:tc>
        <w:tc>
          <w:tcPr>
            <w:tcW w:w="3578" w:type="dxa"/>
            <w:tcBorders>
              <w:tl2br w:val="nil"/>
              <w:tr2bl w:val="nil"/>
            </w:tcBorders>
            <w:vAlign w:val="center"/>
          </w:tcPr>
          <w:p w14:paraId="59B4FD76">
            <w:pPr>
              <w:jc w:val="center"/>
            </w:pPr>
            <w:r>
              <w:rPr>
                <w:rFonts w:hint="eastAsia"/>
              </w:rPr>
              <w:t>台阶位置存在现状化粪池，要求保留，建议将台阶整体平移而避开构筑物。</w:t>
            </w:r>
          </w:p>
          <w:p w14:paraId="415FDE73">
            <w:pPr>
              <w:jc w:val="center"/>
              <w:rPr>
                <w:rFonts w:hint="eastAsia"/>
              </w:rPr>
            </w:pPr>
            <w:r>
              <w:rPr>
                <w:rFonts w:hint="eastAsia"/>
                <w:color w:val="FF0000"/>
              </w:rPr>
              <w:t>回复：调整台阶位置，位置根据现场化粪池位置进行调整。</w:t>
            </w:r>
          </w:p>
        </w:tc>
      </w:tr>
    </w:tbl>
    <w:p w14:paraId="26A3CD5E">
      <w:pPr>
        <w:numPr>
          <w:ilvl w:val="0"/>
          <w:numId w:val="7"/>
        </w:numPr>
        <w:ind w:firstLine="560" w:firstLineChars="200"/>
      </w:pPr>
      <w:r>
        <w:rPr>
          <w:rFonts w:hint="eastAsia"/>
        </w:rPr>
        <w:t>苗木类</w:t>
      </w:r>
    </w:p>
    <w:tbl>
      <w:tblPr>
        <w:tblStyle w:val="7"/>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3E13758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750A6863">
            <w:pPr>
              <w:spacing w:line="360" w:lineRule="auto"/>
              <w:jc w:val="center"/>
              <w:rPr>
                <w:rFonts w:ascii="宋体" w:hAnsi="宋体" w:eastAsia="宋体" w:cs="宋体"/>
                <w:sz w:val="24"/>
              </w:rPr>
            </w:pPr>
            <w:r>
              <w:rPr>
                <w:rFonts w:hint="eastAsia" w:ascii="宋体" w:hAnsi="宋体" w:eastAsia="宋体" w:cs="宋体"/>
                <w:sz w:val="24"/>
              </w:rPr>
              <w:t>问题</w:t>
            </w:r>
          </w:p>
        </w:tc>
        <w:tc>
          <w:tcPr>
            <w:tcW w:w="4261" w:type="dxa"/>
            <w:tcBorders>
              <w:tl2br w:val="nil"/>
              <w:tr2bl w:val="nil"/>
            </w:tcBorders>
            <w:vAlign w:val="center"/>
          </w:tcPr>
          <w:p w14:paraId="2B53849E">
            <w:pPr>
              <w:spacing w:line="360" w:lineRule="auto"/>
              <w:jc w:val="center"/>
              <w:rPr>
                <w:rFonts w:ascii="宋体" w:hAnsi="宋体" w:eastAsia="宋体" w:cs="宋体"/>
                <w:sz w:val="24"/>
              </w:rPr>
            </w:pPr>
            <w:r>
              <w:rPr>
                <w:rFonts w:hint="eastAsia" w:ascii="宋体" w:hAnsi="宋体" w:eastAsia="宋体" w:cs="宋体"/>
                <w:sz w:val="24"/>
              </w:rPr>
              <w:t>回复</w:t>
            </w:r>
          </w:p>
        </w:tc>
      </w:tr>
      <w:tr w14:paraId="39757C6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0B912EAA">
            <w:pPr>
              <w:spacing w:line="360" w:lineRule="auto"/>
              <w:jc w:val="center"/>
              <w:rPr>
                <w:rFonts w:ascii="宋体" w:hAnsi="宋体" w:eastAsia="宋体" w:cs="宋体"/>
                <w:sz w:val="24"/>
              </w:rPr>
            </w:pPr>
            <w:r>
              <w:rPr>
                <w:rFonts w:hint="eastAsia" w:ascii="宋体" w:hAnsi="宋体" w:eastAsia="宋体" w:cs="宋体"/>
                <w:sz w:val="24"/>
              </w:rPr>
              <w:t xml:space="preserve">  清单第 21 项乌桕（050102001021）项目特征中标注 “高度 600-7000cm”，数值明显不符合植物常规生长指标，请问其正确的高度设计值为多少？</w:t>
            </w:r>
          </w:p>
        </w:tc>
        <w:tc>
          <w:tcPr>
            <w:tcW w:w="4261" w:type="dxa"/>
            <w:tcBorders>
              <w:tl2br w:val="nil"/>
              <w:tr2bl w:val="nil"/>
            </w:tcBorders>
            <w:vAlign w:val="center"/>
          </w:tcPr>
          <w:p w14:paraId="5BB7E914">
            <w:pPr>
              <w:spacing w:line="360" w:lineRule="auto"/>
              <w:jc w:val="center"/>
              <w:rPr>
                <w:rFonts w:ascii="宋体" w:hAnsi="宋体" w:eastAsia="宋体" w:cs="宋体"/>
                <w:sz w:val="24"/>
              </w:rPr>
            </w:pPr>
            <w:r>
              <w:rPr>
                <w:rFonts w:hint="eastAsia" w:ascii="宋体" w:hAnsi="宋体" w:eastAsia="宋体" w:cs="宋体"/>
                <w:sz w:val="24"/>
              </w:rPr>
              <w:t>高度 600-700cm</w:t>
            </w:r>
            <w:r>
              <w:rPr>
                <w:rFonts w:ascii="Arial" w:hAnsi="Arial" w:eastAsia="Arial" w:cs="Arial"/>
                <w:color w:val="333333"/>
                <w:sz w:val="24"/>
                <w:shd w:val="clear" w:color="auto" w:fill="FFFFFF"/>
              </w:rPr>
              <w:t>‌</w:t>
            </w:r>
          </w:p>
        </w:tc>
      </w:tr>
      <w:tr w14:paraId="2863959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6B318674">
            <w:pPr>
              <w:spacing w:line="360" w:lineRule="auto"/>
              <w:jc w:val="center"/>
              <w:rPr>
                <w:rFonts w:ascii="宋体" w:hAnsi="宋体" w:eastAsia="宋体" w:cs="宋体"/>
                <w:sz w:val="24"/>
              </w:rPr>
            </w:pPr>
            <w:r>
              <w:rPr>
                <w:rFonts w:ascii="宋体" w:hAnsi="宋体" w:eastAsia="宋体" w:cs="宋体"/>
                <w:sz w:val="24"/>
              </w:rPr>
              <w:t>地被灌木分部多项品种冠幅标注单位为 “m”（第 48 项红梅 10-15m、第 50 项黄香梅 15-20m、第 52 项粉花风铃木 30-35m、第 53 项乌桕林 30-35m、第 54 项木槿 15-20m、第 67 项三角梅 20-30m、第 68 项木芙蓉 20-35m），与地被灌木常规冠幅单位 “cm” 严重不符，请问是否为单位标注错误，若为错误请明确各品种正确单位及对应数值？</w:t>
            </w:r>
          </w:p>
        </w:tc>
        <w:tc>
          <w:tcPr>
            <w:tcW w:w="4261" w:type="dxa"/>
            <w:tcBorders>
              <w:tl2br w:val="nil"/>
              <w:tr2bl w:val="nil"/>
            </w:tcBorders>
            <w:vAlign w:val="center"/>
          </w:tcPr>
          <w:p w14:paraId="65FFFB96">
            <w:pPr>
              <w:spacing w:line="360" w:lineRule="auto"/>
              <w:jc w:val="center"/>
              <w:rPr>
                <w:rFonts w:ascii="宋体" w:hAnsi="宋体" w:eastAsia="宋体" w:cs="宋体"/>
                <w:sz w:val="24"/>
              </w:rPr>
            </w:pPr>
            <w:r>
              <w:rPr>
                <w:rFonts w:ascii="宋体" w:hAnsi="宋体" w:eastAsia="宋体" w:cs="宋体"/>
                <w:sz w:val="24"/>
              </w:rPr>
              <w:t>地被灌木</w:t>
            </w:r>
            <w:r>
              <w:rPr>
                <w:rFonts w:hint="eastAsia" w:ascii="宋体" w:hAnsi="宋体" w:eastAsia="宋体" w:cs="宋体"/>
                <w:sz w:val="24"/>
              </w:rPr>
              <w:t>单位统一为“cm”</w:t>
            </w:r>
          </w:p>
        </w:tc>
      </w:tr>
      <w:tr w14:paraId="302CBBD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0F6F8600">
            <w:pPr>
              <w:spacing w:line="360" w:lineRule="auto"/>
              <w:jc w:val="center"/>
              <w:rPr>
                <w:rFonts w:ascii="宋体" w:hAnsi="宋体" w:eastAsia="宋体" w:cs="宋体"/>
                <w:sz w:val="24"/>
              </w:rPr>
            </w:pPr>
            <w:r>
              <w:rPr>
                <w:rFonts w:hint="eastAsia" w:ascii="宋体" w:hAnsi="宋体" w:eastAsia="宋体" w:cs="宋体"/>
                <w:sz w:val="24"/>
              </w:rPr>
              <w:t xml:space="preserve">  清单第 35 项杜鹃（050102001035）为典型灌木品种，设计将其列入常绿乔木分部且标注高度 350-400cm，请问是否为品种列项或规格设计错误，是否需要调整列项及苗木规格指标？</w:t>
            </w:r>
          </w:p>
        </w:tc>
        <w:tc>
          <w:tcPr>
            <w:tcW w:w="4261" w:type="dxa"/>
            <w:tcBorders>
              <w:tl2br w:val="nil"/>
              <w:tr2bl w:val="nil"/>
            </w:tcBorders>
            <w:vAlign w:val="center"/>
          </w:tcPr>
          <w:p w14:paraId="447458EF">
            <w:pPr>
              <w:spacing w:line="360" w:lineRule="auto"/>
              <w:jc w:val="center"/>
              <w:rPr>
                <w:rFonts w:ascii="宋体" w:hAnsi="宋体" w:eastAsia="宋体" w:cs="宋体"/>
                <w:sz w:val="24"/>
              </w:rPr>
            </w:pPr>
            <w:r>
              <w:rPr>
                <w:rFonts w:hint="eastAsia" w:ascii="宋体" w:hAnsi="宋体" w:eastAsia="宋体" w:cs="宋体"/>
                <w:sz w:val="24"/>
              </w:rPr>
              <w:t>杜鹃为灌木</w:t>
            </w:r>
          </w:p>
          <w:p w14:paraId="3E84A5BC">
            <w:pPr>
              <w:spacing w:line="360" w:lineRule="auto"/>
              <w:jc w:val="center"/>
              <w:rPr>
                <w:rFonts w:ascii="宋体" w:hAnsi="宋体" w:eastAsia="宋体" w:cs="宋体"/>
                <w:sz w:val="24"/>
              </w:rPr>
            </w:pPr>
            <w:r>
              <w:rPr>
                <w:rFonts w:hint="eastAsia" w:ascii="宋体" w:hAnsi="宋体" w:eastAsia="宋体" w:cs="宋体"/>
                <w:sz w:val="24"/>
              </w:rPr>
              <w:t>规格调整为：高度20-25cm；</w:t>
            </w:r>
          </w:p>
          <w:p w14:paraId="01D70022">
            <w:pPr>
              <w:spacing w:line="360" w:lineRule="auto"/>
              <w:jc w:val="center"/>
              <w:rPr>
                <w:rFonts w:ascii="宋体" w:hAnsi="宋体" w:eastAsia="宋体" w:cs="宋体"/>
                <w:sz w:val="24"/>
              </w:rPr>
            </w:pPr>
            <w:r>
              <w:rPr>
                <w:rFonts w:hint="eastAsia" w:ascii="宋体" w:hAnsi="宋体" w:eastAsia="宋体" w:cs="宋体"/>
                <w:sz w:val="24"/>
              </w:rPr>
              <w:t>冠幅15-20cm；</w:t>
            </w:r>
          </w:p>
        </w:tc>
      </w:tr>
      <w:tr w14:paraId="720ADB8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3F30113D">
            <w:pPr>
              <w:spacing w:line="360" w:lineRule="auto"/>
              <w:jc w:val="center"/>
              <w:rPr>
                <w:rFonts w:ascii="宋体" w:hAnsi="宋体" w:eastAsia="宋体" w:cs="宋体"/>
                <w:sz w:val="24"/>
              </w:rPr>
            </w:pPr>
            <w:r>
              <w:rPr>
                <w:rFonts w:hint="eastAsia" w:ascii="宋体" w:hAnsi="宋体" w:eastAsia="宋体" w:cs="宋体"/>
                <w:sz w:val="24"/>
              </w:rPr>
              <w:t>清单内部分乔木胸径、高度、冠幅配比存在逻辑矛盾（如朴树 Φ15cm 对应 H450-500cm、香樟 Φ12cm 对应 H400-450cm），请问采购苗木时是否需严格同时满足胸径、高度、冠幅三项指标，或可放宽其中一项指标要求？</w:t>
            </w:r>
          </w:p>
        </w:tc>
        <w:tc>
          <w:tcPr>
            <w:tcW w:w="4261" w:type="dxa"/>
            <w:tcBorders>
              <w:tl2br w:val="nil"/>
              <w:tr2bl w:val="nil"/>
            </w:tcBorders>
            <w:vAlign w:val="center"/>
          </w:tcPr>
          <w:p w14:paraId="3212169F">
            <w:pPr>
              <w:spacing w:line="360" w:lineRule="auto"/>
              <w:jc w:val="center"/>
              <w:rPr>
                <w:rFonts w:ascii="宋体" w:hAnsi="宋体" w:eastAsia="宋体" w:cs="宋体"/>
                <w:sz w:val="24"/>
              </w:rPr>
            </w:pPr>
            <w:r>
              <w:rPr>
                <w:rFonts w:hint="eastAsia" w:ascii="宋体" w:hAnsi="宋体" w:eastAsia="宋体" w:cs="宋体"/>
                <w:sz w:val="24"/>
              </w:rPr>
              <w:t>朴树胸径为20cm，高度700-800cm</w:t>
            </w:r>
          </w:p>
          <w:p w14:paraId="7AFA93D8">
            <w:pPr>
              <w:spacing w:line="360" w:lineRule="auto"/>
              <w:jc w:val="center"/>
              <w:rPr>
                <w:rFonts w:ascii="宋体" w:hAnsi="宋体" w:eastAsia="宋体" w:cs="宋体"/>
                <w:sz w:val="24"/>
              </w:rPr>
            </w:pPr>
            <w:r>
              <w:rPr>
                <w:rFonts w:hint="eastAsia" w:ascii="宋体" w:hAnsi="宋体" w:eastAsia="宋体" w:cs="宋体"/>
                <w:sz w:val="24"/>
              </w:rPr>
              <w:t>香樟胸径为12cm，高度500-600cm</w:t>
            </w:r>
          </w:p>
          <w:p w14:paraId="7A06CD9C">
            <w:pPr>
              <w:spacing w:line="360" w:lineRule="auto"/>
              <w:jc w:val="center"/>
              <w:rPr>
                <w:rFonts w:ascii="宋体" w:hAnsi="宋体" w:eastAsia="宋体" w:cs="宋体"/>
                <w:sz w:val="24"/>
              </w:rPr>
            </w:pPr>
            <w:r>
              <w:rPr>
                <w:rFonts w:hint="eastAsia" w:ascii="宋体" w:hAnsi="宋体" w:eastAsia="宋体" w:cs="宋体"/>
                <w:sz w:val="24"/>
              </w:rPr>
              <w:t>采购苗木时以胸径为首，高度与冠幅根据树形可略有变化。</w:t>
            </w:r>
          </w:p>
        </w:tc>
      </w:tr>
      <w:tr w14:paraId="225F10E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25947547">
            <w:pPr>
              <w:spacing w:line="360" w:lineRule="auto"/>
              <w:jc w:val="center"/>
              <w:rPr>
                <w:rFonts w:ascii="宋体" w:hAnsi="宋体" w:eastAsia="宋体" w:cs="宋体"/>
                <w:sz w:val="24"/>
              </w:rPr>
            </w:pPr>
            <w:r>
              <w:rPr>
                <w:rFonts w:ascii="宋体" w:hAnsi="宋体" w:eastAsia="宋体" w:cs="宋体"/>
                <w:sz w:val="24"/>
              </w:rPr>
              <w:t>清单第 18 项鸡冠刺桐、36 项白花美丽异木棉、37 项美丽异木棉仅标注高度和冠幅，未标注胸径指标，请问苗木采购及现场验收时是否有胸径参考值，若有请明确具体数值？</w:t>
            </w:r>
          </w:p>
        </w:tc>
        <w:tc>
          <w:tcPr>
            <w:tcW w:w="4261" w:type="dxa"/>
            <w:tcBorders>
              <w:tl2br w:val="nil"/>
              <w:tr2bl w:val="nil"/>
            </w:tcBorders>
            <w:vAlign w:val="center"/>
          </w:tcPr>
          <w:p w14:paraId="4B63F74A">
            <w:pPr>
              <w:spacing w:line="360" w:lineRule="auto"/>
              <w:jc w:val="center"/>
              <w:rPr>
                <w:rFonts w:ascii="宋体" w:hAnsi="宋体" w:eastAsia="宋体" w:cs="宋体"/>
                <w:sz w:val="24"/>
              </w:rPr>
            </w:pPr>
            <w:r>
              <w:rPr>
                <w:rFonts w:ascii="宋体" w:hAnsi="宋体" w:eastAsia="宋体" w:cs="宋体"/>
                <w:sz w:val="24"/>
              </w:rPr>
              <w:t>鸡冠刺桐</w:t>
            </w:r>
            <w:r>
              <w:rPr>
                <w:rFonts w:hint="eastAsia" w:ascii="宋体" w:hAnsi="宋体" w:eastAsia="宋体" w:cs="宋体"/>
                <w:sz w:val="24"/>
              </w:rPr>
              <w:t>胸径为18cm，高度400-450cm；</w:t>
            </w:r>
          </w:p>
          <w:p w14:paraId="5512AB32">
            <w:pPr>
              <w:spacing w:line="360" w:lineRule="auto"/>
              <w:jc w:val="center"/>
              <w:rPr>
                <w:rFonts w:ascii="宋体" w:hAnsi="宋体" w:eastAsia="宋体" w:cs="宋体"/>
                <w:sz w:val="24"/>
              </w:rPr>
            </w:pPr>
            <w:r>
              <w:rPr>
                <w:rFonts w:ascii="宋体" w:hAnsi="宋体" w:eastAsia="宋体" w:cs="宋体"/>
                <w:sz w:val="24"/>
              </w:rPr>
              <w:t>白花美丽异木棉</w:t>
            </w:r>
            <w:r>
              <w:rPr>
                <w:rFonts w:hint="eastAsia" w:ascii="宋体" w:hAnsi="宋体" w:eastAsia="宋体" w:cs="宋体"/>
                <w:sz w:val="24"/>
              </w:rPr>
              <w:t>胸径为25cm，高度700-800cm；</w:t>
            </w:r>
          </w:p>
          <w:p w14:paraId="483E8AC9">
            <w:pPr>
              <w:spacing w:line="360" w:lineRule="auto"/>
              <w:jc w:val="center"/>
              <w:rPr>
                <w:rFonts w:ascii="宋体" w:hAnsi="宋体" w:eastAsia="宋体" w:cs="宋体"/>
                <w:sz w:val="24"/>
              </w:rPr>
            </w:pPr>
            <w:r>
              <w:rPr>
                <w:rFonts w:ascii="宋体" w:hAnsi="宋体" w:eastAsia="宋体" w:cs="宋体"/>
                <w:sz w:val="24"/>
              </w:rPr>
              <w:t>美丽异木棉</w:t>
            </w:r>
            <w:r>
              <w:rPr>
                <w:rFonts w:hint="eastAsia" w:ascii="宋体" w:hAnsi="宋体" w:eastAsia="宋体" w:cs="宋体"/>
                <w:sz w:val="24"/>
              </w:rPr>
              <w:t>胸径为25cm，高度700-800cm；</w:t>
            </w:r>
          </w:p>
        </w:tc>
      </w:tr>
      <w:tr w14:paraId="2FE54E8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3417ECCC">
            <w:pPr>
              <w:spacing w:line="360" w:lineRule="auto"/>
              <w:jc w:val="center"/>
              <w:rPr>
                <w:rFonts w:ascii="宋体" w:hAnsi="宋体" w:eastAsia="宋体" w:cs="宋体"/>
                <w:sz w:val="24"/>
              </w:rPr>
            </w:pPr>
            <w:r>
              <w:rPr>
                <w:rFonts w:ascii="宋体" w:hAnsi="宋体" w:eastAsia="宋体" w:cs="宋体"/>
                <w:sz w:val="24"/>
              </w:rPr>
              <w:t>项目位于凉山州会理市</w:t>
            </w:r>
            <w:r>
              <w:rPr>
                <w:rStyle w:val="9"/>
                <w:rFonts w:ascii="宋体" w:hAnsi="宋体" w:eastAsia="宋体" w:cs="宋体"/>
                <w:bCs/>
                <w:color w:val="000000"/>
                <w:sz w:val="16"/>
                <w:szCs w:val="16"/>
              </w:rPr>
              <w:t>干热河谷区域</w:t>
            </w:r>
            <w:r>
              <w:rPr>
                <w:rFonts w:ascii="宋体" w:hAnsi="宋体" w:eastAsia="宋体" w:cs="宋体"/>
                <w:sz w:val="24"/>
              </w:rPr>
              <w:t>，核心立地条件为冬春干旱、光照强、土壤多为偏贫瘠红壤 / 紫色土、山区多风，清单中山茱萸、枫香、银杏、垂丝海棠等品种耐干旱性差、对土壤肥力及湿润度要求高，针对此类品种是否有明确的土壤改良、种植微地形及专项养护措施要求？</w:t>
            </w:r>
          </w:p>
        </w:tc>
        <w:tc>
          <w:tcPr>
            <w:tcW w:w="4261" w:type="dxa"/>
            <w:tcBorders>
              <w:tl2br w:val="nil"/>
              <w:tr2bl w:val="nil"/>
            </w:tcBorders>
            <w:vAlign w:val="center"/>
          </w:tcPr>
          <w:p w14:paraId="14E40C27">
            <w:pPr>
              <w:spacing w:line="360" w:lineRule="auto"/>
              <w:rPr>
                <w:rFonts w:ascii="宋体" w:hAnsi="宋体" w:eastAsia="宋体" w:cs="宋体"/>
                <w:sz w:val="24"/>
              </w:rPr>
            </w:pPr>
            <w:r>
              <w:rPr>
                <w:rFonts w:hint="eastAsia" w:ascii="宋体" w:hAnsi="宋体" w:eastAsia="宋体" w:cs="宋体"/>
                <w:sz w:val="24"/>
              </w:rPr>
              <w:t>正式绿化施工图纸上面修改调整无</w:t>
            </w:r>
            <w:r>
              <w:rPr>
                <w:rFonts w:ascii="宋体" w:hAnsi="宋体" w:eastAsia="宋体" w:cs="宋体"/>
                <w:sz w:val="24"/>
              </w:rPr>
              <w:t>山茱萸</w:t>
            </w:r>
            <w:r>
              <w:rPr>
                <w:rFonts w:hint="eastAsia" w:ascii="宋体" w:hAnsi="宋体" w:eastAsia="宋体" w:cs="宋体"/>
                <w:sz w:val="24"/>
              </w:rPr>
              <w:t>树种，</w:t>
            </w:r>
          </w:p>
          <w:p w14:paraId="0BB2F6EF">
            <w:pPr>
              <w:spacing w:line="360" w:lineRule="auto"/>
              <w:rPr>
                <w:rFonts w:ascii="宋体" w:hAnsi="宋体" w:eastAsia="宋体" w:cs="宋体"/>
                <w:sz w:val="24"/>
              </w:rPr>
            </w:pPr>
            <w:r>
              <w:rPr>
                <w:rFonts w:ascii="宋体" w:hAnsi="宋体" w:eastAsia="宋体" w:cs="宋体"/>
                <w:sz w:val="24"/>
              </w:rPr>
              <w:t>枫香耐干旱瘠薄土壤，不耐水涝</w:t>
            </w:r>
            <w:r>
              <w:rPr>
                <w:rFonts w:hint="eastAsia" w:ascii="宋体" w:hAnsi="宋体" w:eastAsia="宋体" w:cs="宋体"/>
                <w:sz w:val="24"/>
              </w:rPr>
              <w:t>；</w:t>
            </w:r>
          </w:p>
          <w:p w14:paraId="6BB7DC3A">
            <w:pPr>
              <w:spacing w:line="360" w:lineRule="auto"/>
              <w:rPr>
                <w:rFonts w:ascii="宋体" w:hAnsi="宋体" w:eastAsia="宋体" w:cs="宋体"/>
                <w:sz w:val="24"/>
              </w:rPr>
            </w:pPr>
            <w:r>
              <w:rPr>
                <w:rFonts w:ascii="宋体" w:hAnsi="宋体" w:eastAsia="宋体" w:cs="宋体"/>
                <w:sz w:val="24"/>
              </w:rPr>
              <w:t>成年银杏耐旱性较强</w:t>
            </w:r>
            <w:r>
              <w:rPr>
                <w:rFonts w:hint="eastAsia" w:ascii="宋体" w:hAnsi="宋体" w:eastAsia="宋体" w:cs="宋体"/>
                <w:sz w:val="24"/>
              </w:rPr>
              <w:t>，</w:t>
            </w:r>
            <w:r>
              <w:rPr>
                <w:rFonts w:ascii="宋体" w:hAnsi="宋体" w:eastAsia="宋体" w:cs="宋体"/>
                <w:sz w:val="24"/>
              </w:rPr>
              <w:t>具有中等偏强的耐旱能力</w:t>
            </w:r>
            <w:r>
              <w:rPr>
                <w:rFonts w:hint="eastAsia" w:ascii="宋体" w:hAnsi="宋体" w:eastAsia="宋体" w:cs="宋体"/>
                <w:sz w:val="24"/>
              </w:rPr>
              <w:t>；</w:t>
            </w:r>
          </w:p>
          <w:p w14:paraId="0788A020">
            <w:pPr>
              <w:spacing w:line="360" w:lineRule="auto"/>
              <w:rPr>
                <w:rFonts w:ascii="宋体" w:hAnsi="宋体" w:eastAsia="宋体" w:cs="宋体"/>
                <w:sz w:val="24"/>
              </w:rPr>
            </w:pPr>
            <w:r>
              <w:rPr>
                <w:rFonts w:ascii="宋体" w:hAnsi="宋体" w:eastAsia="宋体" w:cs="宋体"/>
                <w:sz w:val="24"/>
              </w:rPr>
              <w:t>垂丝海棠具有一定的耐寒性</w:t>
            </w:r>
            <w:r>
              <w:rPr>
                <w:rFonts w:hint="eastAsia" w:ascii="宋体" w:hAnsi="宋体" w:eastAsia="宋体" w:cs="宋体"/>
                <w:sz w:val="24"/>
              </w:rPr>
              <w:t>，</w:t>
            </w:r>
            <w:r>
              <w:rPr>
                <w:rFonts w:ascii="宋体" w:hAnsi="宋体" w:eastAsia="宋体" w:cs="宋体"/>
                <w:sz w:val="24"/>
              </w:rPr>
              <w:t>较耐干旱，但忌水涝</w:t>
            </w:r>
            <w:r>
              <w:rPr>
                <w:rFonts w:hint="eastAsia" w:ascii="宋体" w:hAnsi="宋体" w:eastAsia="宋体" w:cs="宋体"/>
                <w:sz w:val="24"/>
              </w:rPr>
              <w:t>；</w:t>
            </w:r>
          </w:p>
          <w:p w14:paraId="1F739344">
            <w:pPr>
              <w:spacing w:line="360" w:lineRule="auto"/>
              <w:rPr>
                <w:rFonts w:ascii="宋体" w:hAnsi="宋体" w:eastAsia="宋体" w:cs="宋体"/>
                <w:sz w:val="24"/>
              </w:rPr>
            </w:pPr>
            <w:r>
              <w:rPr>
                <w:rFonts w:hint="eastAsia" w:ascii="宋体" w:hAnsi="宋体" w:eastAsia="宋体" w:cs="宋体"/>
                <w:sz w:val="24"/>
              </w:rPr>
              <w:t>如在采购上有不便，可以调整品种，将银杏替换为合欢，</w:t>
            </w:r>
            <w:r>
              <w:rPr>
                <w:rFonts w:ascii="宋体" w:hAnsi="宋体" w:eastAsia="宋体" w:cs="宋体"/>
                <w:sz w:val="24"/>
              </w:rPr>
              <w:t>枫香</w:t>
            </w:r>
            <w:r>
              <w:rPr>
                <w:rFonts w:hint="eastAsia" w:ascii="宋体" w:hAnsi="宋体" w:eastAsia="宋体" w:cs="宋体"/>
                <w:sz w:val="24"/>
              </w:rPr>
              <w:t>替换为紫荆，</w:t>
            </w:r>
            <w:r>
              <w:rPr>
                <w:rFonts w:ascii="宋体" w:hAnsi="宋体" w:eastAsia="宋体" w:cs="宋体"/>
                <w:sz w:val="24"/>
              </w:rPr>
              <w:t>垂丝海棠</w:t>
            </w:r>
            <w:r>
              <w:rPr>
                <w:rFonts w:hint="eastAsia" w:ascii="宋体" w:hAnsi="宋体" w:eastAsia="宋体" w:cs="宋体"/>
                <w:sz w:val="24"/>
              </w:rPr>
              <w:t>替换为紫薇；</w:t>
            </w:r>
          </w:p>
        </w:tc>
      </w:tr>
      <w:tr w14:paraId="72CC0CD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0B034F91">
            <w:pPr>
              <w:spacing w:line="360" w:lineRule="auto"/>
              <w:jc w:val="center"/>
              <w:rPr>
                <w:rFonts w:ascii="宋体" w:hAnsi="宋体" w:eastAsia="宋体" w:cs="宋体"/>
                <w:sz w:val="24"/>
              </w:rPr>
            </w:pPr>
            <w:r>
              <w:rPr>
                <w:rFonts w:ascii="宋体" w:hAnsi="宋体" w:eastAsia="宋体" w:cs="宋体"/>
                <w:sz w:val="24"/>
              </w:rPr>
              <w:t>清单第 31 项红梅（Φ25cm）、第 22 项紫玉兰（Φ20cm）为大规格苗木，该类品种本身移栽难度大，且生长习性与会理干热气候适配性差，移栽成活率风险极高，请问设计是否考虑该类大规格苗木的移栽成活率，是否需要降低胸径规格或替换为当地适生品种？</w:t>
            </w:r>
          </w:p>
        </w:tc>
        <w:tc>
          <w:tcPr>
            <w:tcW w:w="4261" w:type="dxa"/>
            <w:tcBorders>
              <w:tl2br w:val="nil"/>
              <w:tr2bl w:val="nil"/>
            </w:tcBorders>
            <w:vAlign w:val="center"/>
          </w:tcPr>
          <w:p w14:paraId="19102713">
            <w:pPr>
              <w:spacing w:line="360" w:lineRule="auto"/>
              <w:jc w:val="center"/>
              <w:rPr>
                <w:rFonts w:ascii="宋体" w:hAnsi="宋体" w:eastAsia="宋体" w:cs="宋体"/>
                <w:sz w:val="24"/>
              </w:rPr>
            </w:pPr>
            <w:r>
              <w:rPr>
                <w:rFonts w:ascii="宋体" w:hAnsi="宋体" w:eastAsia="宋体" w:cs="宋体"/>
                <w:sz w:val="24"/>
              </w:rPr>
              <w:t>红梅</w:t>
            </w:r>
            <w:r>
              <w:rPr>
                <w:rFonts w:hint="eastAsia" w:ascii="宋体" w:hAnsi="宋体" w:eastAsia="宋体" w:cs="宋体"/>
                <w:sz w:val="24"/>
              </w:rPr>
              <w:t>胸径为12</w:t>
            </w:r>
            <w:r>
              <w:rPr>
                <w:rFonts w:ascii="宋体" w:hAnsi="宋体" w:eastAsia="宋体" w:cs="宋体"/>
                <w:sz w:val="24"/>
              </w:rPr>
              <w:t>cm</w:t>
            </w:r>
            <w:r>
              <w:rPr>
                <w:rFonts w:hint="eastAsia" w:ascii="宋体" w:hAnsi="宋体" w:eastAsia="宋体" w:cs="宋体"/>
                <w:sz w:val="24"/>
              </w:rPr>
              <w:t>；</w:t>
            </w:r>
          </w:p>
          <w:p w14:paraId="1BB7BCA0">
            <w:pPr>
              <w:spacing w:line="360" w:lineRule="auto"/>
              <w:jc w:val="center"/>
              <w:rPr>
                <w:rFonts w:ascii="宋体" w:hAnsi="宋体" w:eastAsia="宋体" w:cs="宋体"/>
                <w:sz w:val="24"/>
              </w:rPr>
            </w:pPr>
            <w:r>
              <w:rPr>
                <w:rFonts w:ascii="宋体" w:hAnsi="宋体" w:eastAsia="宋体" w:cs="宋体"/>
                <w:sz w:val="24"/>
              </w:rPr>
              <w:t>紫玉兰</w:t>
            </w:r>
            <w:r>
              <w:rPr>
                <w:rFonts w:hint="eastAsia" w:ascii="宋体" w:hAnsi="宋体" w:eastAsia="宋体" w:cs="宋体"/>
                <w:sz w:val="24"/>
              </w:rPr>
              <w:t>胸径为12</w:t>
            </w:r>
            <w:r>
              <w:rPr>
                <w:rFonts w:ascii="宋体" w:hAnsi="宋体" w:eastAsia="宋体" w:cs="宋体"/>
                <w:sz w:val="24"/>
              </w:rPr>
              <w:t>cm</w:t>
            </w:r>
            <w:r>
              <w:rPr>
                <w:rFonts w:hint="eastAsia" w:ascii="宋体" w:hAnsi="宋体" w:eastAsia="宋体" w:cs="宋体"/>
                <w:sz w:val="24"/>
              </w:rPr>
              <w:t>；</w:t>
            </w:r>
          </w:p>
        </w:tc>
      </w:tr>
      <w:tr w14:paraId="30B6CF9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19161962">
            <w:pPr>
              <w:spacing w:line="360" w:lineRule="auto"/>
              <w:jc w:val="center"/>
              <w:rPr>
                <w:rFonts w:ascii="宋体" w:hAnsi="宋体" w:eastAsia="宋体" w:cs="宋体"/>
                <w:sz w:val="24"/>
              </w:rPr>
            </w:pPr>
            <w:r>
              <w:rPr>
                <w:rFonts w:ascii="宋体" w:hAnsi="宋体" w:eastAsia="宋体" w:cs="宋体"/>
                <w:sz w:val="24"/>
              </w:rPr>
              <w:t>毛竹在清单中既按常绿乔木（第 33 项，Φ15cm H400-500cm）列项，又按地被灌木（第 46 项，25-30cm）列项，请问两类毛竹的种植区域、景观功能定位及具体种植技术要求是否有明确区分，是否需要统一列项及施工标准？</w:t>
            </w:r>
          </w:p>
        </w:tc>
        <w:tc>
          <w:tcPr>
            <w:tcW w:w="4261" w:type="dxa"/>
            <w:tcBorders>
              <w:tl2br w:val="nil"/>
              <w:tr2bl w:val="nil"/>
            </w:tcBorders>
            <w:vAlign w:val="center"/>
          </w:tcPr>
          <w:p w14:paraId="7FD886C2">
            <w:pPr>
              <w:spacing w:line="360" w:lineRule="auto"/>
              <w:jc w:val="center"/>
              <w:rPr>
                <w:rFonts w:ascii="宋体" w:hAnsi="宋体" w:eastAsia="宋体" w:cs="宋体"/>
                <w:sz w:val="24"/>
              </w:rPr>
            </w:pPr>
            <w:r>
              <w:rPr>
                <w:rFonts w:ascii="宋体" w:hAnsi="宋体" w:eastAsia="宋体" w:cs="宋体"/>
                <w:sz w:val="24"/>
              </w:rPr>
              <w:t>毛竹按地被灌木</w:t>
            </w:r>
            <w:r>
              <w:rPr>
                <w:rFonts w:hint="eastAsia" w:ascii="宋体" w:hAnsi="宋体" w:eastAsia="宋体" w:cs="宋体"/>
                <w:sz w:val="24"/>
              </w:rPr>
              <w:t>以㎡为单位计，不考虑胸径，高度500-600cm，丛生袋庙，每笼3苗及以上。</w:t>
            </w:r>
          </w:p>
        </w:tc>
      </w:tr>
      <w:tr w14:paraId="74901B4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7046AB4B">
            <w:pPr>
              <w:spacing w:line="360" w:lineRule="auto"/>
              <w:jc w:val="center"/>
              <w:rPr>
                <w:rFonts w:ascii="宋体" w:hAnsi="宋体" w:eastAsia="宋体" w:cs="宋体"/>
                <w:sz w:val="24"/>
              </w:rPr>
            </w:pPr>
            <w:r>
              <w:rPr>
                <w:rFonts w:ascii="宋体" w:hAnsi="宋体" w:eastAsia="宋体" w:cs="宋体"/>
                <w:sz w:val="24"/>
              </w:rPr>
              <w:t>清单第 76 项为山茱萸 + 金盏菊 + 黄菊混合种植品种，请问三类植物的种植配比（株数 /㎡）、种植布局（组团 / 混播）是否有明确要求，是否需按主次品种划分种植密度？</w:t>
            </w:r>
          </w:p>
        </w:tc>
        <w:tc>
          <w:tcPr>
            <w:tcW w:w="4261" w:type="dxa"/>
            <w:tcBorders>
              <w:tl2br w:val="nil"/>
              <w:tr2bl w:val="nil"/>
            </w:tcBorders>
            <w:vAlign w:val="center"/>
          </w:tcPr>
          <w:p w14:paraId="62265B79">
            <w:pPr>
              <w:spacing w:line="360" w:lineRule="auto"/>
              <w:jc w:val="center"/>
              <w:rPr>
                <w:rFonts w:ascii="宋体" w:hAnsi="宋体" w:eastAsia="宋体" w:cs="宋体"/>
                <w:sz w:val="24"/>
              </w:rPr>
            </w:pPr>
            <w:r>
              <w:rPr>
                <w:rFonts w:hint="eastAsia" w:ascii="宋体" w:hAnsi="宋体" w:eastAsia="宋体" w:cs="宋体"/>
                <w:sz w:val="24"/>
              </w:rPr>
              <w:t>正式绿化施工图纸上面修改调整，已无该组合品种</w:t>
            </w:r>
          </w:p>
        </w:tc>
      </w:tr>
      <w:tr w14:paraId="2C8B1C3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57736954">
            <w:pPr>
              <w:spacing w:line="360" w:lineRule="auto"/>
              <w:jc w:val="center"/>
              <w:rPr>
                <w:rFonts w:ascii="宋体" w:hAnsi="宋体" w:eastAsia="宋体" w:cs="宋体"/>
                <w:sz w:val="24"/>
              </w:rPr>
            </w:pPr>
            <w:r>
              <w:rPr>
                <w:rFonts w:ascii="宋体" w:hAnsi="宋体" w:eastAsia="宋体" w:cs="宋体"/>
                <w:sz w:val="24"/>
              </w:rPr>
              <w:t>清单内所有乔木统一标注 “树木支撑架 树（竹）棍桩”，但第 5 项蓝花楹（Φ30cm）、31 项红梅（Φ25cm）等大规格乔木，第 20 项合欢、27 项垂丝海棠等浅根乔木抗风性要求高，第 33 项毛竹为中空秆体易受机械损伤，请问针对此类品种是否需要调整支撑方式，若需要请明确不同品种的具体支撑工艺、支撑材料及支撑拆除时间？</w:t>
            </w:r>
          </w:p>
        </w:tc>
        <w:tc>
          <w:tcPr>
            <w:tcW w:w="4261" w:type="dxa"/>
            <w:tcBorders>
              <w:tl2br w:val="nil"/>
              <w:tr2bl w:val="nil"/>
            </w:tcBorders>
            <w:vAlign w:val="center"/>
          </w:tcPr>
          <w:p w14:paraId="019CA325">
            <w:pPr>
              <w:jc w:val="left"/>
              <w:rPr>
                <w:rFonts w:ascii="宋体" w:hAnsi="宋体"/>
                <w:color w:val="FFFFFF"/>
                <w:sz w:val="34"/>
              </w:rPr>
            </w:pPr>
            <w:r>
              <w:rPr>
                <w:rFonts w:hint="eastAsia" w:ascii="宋体" w:hAnsi="宋体" w:eastAsia="宋体" w:cs="宋体"/>
                <w:sz w:val="24"/>
              </w:rPr>
              <w:t>关于“</w:t>
            </w:r>
            <w:r>
              <w:rPr>
                <w:rFonts w:ascii="宋体" w:hAnsi="宋体" w:eastAsia="宋体" w:cs="宋体"/>
                <w:sz w:val="24"/>
              </w:rPr>
              <w:t>树木支撑</w:t>
            </w:r>
            <w:r>
              <w:rPr>
                <w:rFonts w:hint="eastAsia" w:ascii="宋体" w:hAnsi="宋体" w:eastAsia="宋体" w:cs="宋体"/>
                <w:sz w:val="24"/>
              </w:rPr>
              <w:t>”，详细参考正式绿化施工图绿化设计说明四第11条；</w:t>
            </w:r>
          </w:p>
          <w:p w14:paraId="712B7DEF">
            <w:pPr>
              <w:spacing w:line="360" w:lineRule="auto"/>
              <w:jc w:val="center"/>
              <w:rPr>
                <w:rFonts w:ascii="宋体" w:hAnsi="宋体" w:eastAsia="宋体" w:cs="宋体"/>
                <w:sz w:val="24"/>
              </w:rPr>
            </w:pPr>
          </w:p>
        </w:tc>
      </w:tr>
      <w:tr w14:paraId="45FD423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6FC5EF4C">
            <w:pPr>
              <w:spacing w:line="360" w:lineRule="auto"/>
              <w:jc w:val="center"/>
              <w:rPr>
                <w:rFonts w:ascii="宋体" w:hAnsi="宋体" w:eastAsia="宋体" w:cs="宋体"/>
                <w:sz w:val="24"/>
              </w:rPr>
            </w:pPr>
            <w:r>
              <w:rPr>
                <w:rFonts w:ascii="宋体" w:hAnsi="宋体" w:eastAsia="宋体" w:cs="宋体"/>
                <w:sz w:val="24"/>
              </w:rPr>
              <w:t>清单第 1 项仅标注 “整理绿化用地、种植土回填、起坡造型等”，未明确种植土核心技术指标，请问针对喜肥品种（朴树、榉树）、喜微碱性品种（紫薇、栾树）、忌积水品种（樱花、垂丝海棠），是否有差异化的种植土配比、pH 值要求、有机肥添加量及种植土回填厚度要求？</w:t>
            </w:r>
          </w:p>
        </w:tc>
        <w:tc>
          <w:tcPr>
            <w:tcW w:w="4261" w:type="dxa"/>
            <w:tcBorders>
              <w:tl2br w:val="nil"/>
              <w:tr2bl w:val="nil"/>
            </w:tcBorders>
            <w:vAlign w:val="center"/>
          </w:tcPr>
          <w:p w14:paraId="177A32D8">
            <w:pPr>
              <w:spacing w:line="360" w:lineRule="auto"/>
              <w:jc w:val="center"/>
              <w:rPr>
                <w:rFonts w:ascii="宋体" w:hAnsi="宋体" w:eastAsia="宋体" w:cs="宋体"/>
                <w:sz w:val="24"/>
              </w:rPr>
            </w:pPr>
            <w:r>
              <w:rPr>
                <w:rFonts w:hint="eastAsia" w:ascii="宋体" w:hAnsi="宋体" w:eastAsia="宋体" w:cs="宋体"/>
                <w:sz w:val="24"/>
              </w:rPr>
              <w:t>详细参考正式绿化施工图绿化设计说明三第6条；</w:t>
            </w:r>
          </w:p>
        </w:tc>
      </w:tr>
      <w:tr w14:paraId="6074C85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1FE2F9BA">
            <w:pPr>
              <w:spacing w:line="360" w:lineRule="auto"/>
              <w:jc w:val="center"/>
              <w:rPr>
                <w:rFonts w:ascii="宋体" w:hAnsi="宋体" w:eastAsia="宋体" w:cs="宋体"/>
                <w:sz w:val="24"/>
              </w:rPr>
            </w:pPr>
            <w:r>
              <w:rPr>
                <w:rFonts w:ascii="宋体" w:hAnsi="宋体" w:eastAsia="宋体" w:cs="宋体"/>
                <w:sz w:val="24"/>
              </w:rPr>
              <w:t>樱花、垂丝海棠、杜英等忌积水品种种植区域，请问是否需要设计排水层，若需要请明确排水层的材质、厚度、施工工艺及盲管布置、坡度设计要求？</w:t>
            </w:r>
          </w:p>
        </w:tc>
        <w:tc>
          <w:tcPr>
            <w:tcW w:w="4261" w:type="dxa"/>
            <w:tcBorders>
              <w:tl2br w:val="nil"/>
              <w:tr2bl w:val="nil"/>
            </w:tcBorders>
            <w:vAlign w:val="center"/>
          </w:tcPr>
          <w:p w14:paraId="619306B2">
            <w:pPr>
              <w:spacing w:line="360" w:lineRule="auto"/>
              <w:jc w:val="center"/>
              <w:rPr>
                <w:rFonts w:ascii="宋体" w:hAnsi="宋体" w:eastAsia="宋体" w:cs="宋体"/>
                <w:sz w:val="24"/>
              </w:rPr>
            </w:pPr>
            <w:r>
              <w:rPr>
                <w:rFonts w:hint="eastAsia" w:ascii="宋体" w:hAnsi="宋体" w:eastAsia="宋体" w:cs="宋体"/>
                <w:sz w:val="24"/>
              </w:rPr>
              <w:t>不需要</w:t>
            </w:r>
          </w:p>
        </w:tc>
      </w:tr>
      <w:tr w14:paraId="21CB900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7B374843">
            <w:pPr>
              <w:spacing w:line="360" w:lineRule="auto"/>
              <w:jc w:val="center"/>
              <w:rPr>
                <w:rFonts w:ascii="宋体" w:hAnsi="宋体" w:eastAsia="宋体" w:cs="宋体"/>
                <w:sz w:val="24"/>
              </w:rPr>
            </w:pPr>
            <w:r>
              <w:rPr>
                <w:rFonts w:ascii="宋体" w:hAnsi="宋体" w:eastAsia="宋体" w:cs="宋体"/>
                <w:sz w:val="24"/>
              </w:rPr>
              <w:t>蓝花楹（Φ30cm）、榉树（Φ20cm）、乐昌含笑（Φ20cm）等大规格乔木，请问设计要求为裸根移栽、土球移栽还是容器苗移栽，若为土球移栽请明确土球直径 / 高度与胸径的比例要求及土球包扎工艺标准？</w:t>
            </w:r>
          </w:p>
        </w:tc>
        <w:tc>
          <w:tcPr>
            <w:tcW w:w="4261" w:type="dxa"/>
            <w:tcBorders>
              <w:tl2br w:val="nil"/>
              <w:tr2bl w:val="nil"/>
            </w:tcBorders>
            <w:vAlign w:val="center"/>
          </w:tcPr>
          <w:p w14:paraId="12DC2030">
            <w:pPr>
              <w:spacing w:line="360" w:lineRule="auto"/>
              <w:jc w:val="center"/>
              <w:rPr>
                <w:rFonts w:ascii="宋体" w:hAnsi="宋体" w:eastAsia="宋体" w:cs="宋体"/>
                <w:sz w:val="24"/>
              </w:rPr>
            </w:pPr>
            <w:r>
              <w:rPr>
                <w:rFonts w:hint="eastAsia" w:ascii="宋体" w:hAnsi="宋体" w:eastAsia="宋体" w:cs="宋体"/>
                <w:sz w:val="24"/>
              </w:rPr>
              <w:t>详细参考正式绿化施工图绿化设计说明三第8条；</w:t>
            </w:r>
          </w:p>
        </w:tc>
      </w:tr>
      <w:tr w14:paraId="6BFA022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1960438B">
            <w:pPr>
              <w:spacing w:line="360" w:lineRule="auto"/>
              <w:jc w:val="center"/>
              <w:rPr>
                <w:rFonts w:ascii="宋体" w:hAnsi="宋体" w:eastAsia="宋体" w:cs="宋体"/>
                <w:sz w:val="24"/>
              </w:rPr>
            </w:pPr>
            <w:r>
              <w:rPr>
                <w:rFonts w:ascii="宋体" w:hAnsi="宋体" w:eastAsia="宋体" w:cs="宋体"/>
                <w:sz w:val="24"/>
              </w:rPr>
              <w:t>清单仅标注各苗木单株 / 平米工程量，未明确乔木种植间距、地被灌木种植行株距，请问是否有明确的种植密度设计图纸，若有请提供；若无请明确不同品种的具体种植间距 / 行株距，尤其是垂丝海棠（190 株）、木槿（204 株）、红梅（215 株）等冠幅较大品种的种植间距？</w:t>
            </w:r>
          </w:p>
        </w:tc>
        <w:tc>
          <w:tcPr>
            <w:tcW w:w="4261" w:type="dxa"/>
            <w:tcBorders>
              <w:tl2br w:val="nil"/>
              <w:tr2bl w:val="nil"/>
            </w:tcBorders>
            <w:vAlign w:val="center"/>
          </w:tcPr>
          <w:p w14:paraId="1D0BE26C">
            <w:pPr>
              <w:spacing w:line="360" w:lineRule="auto"/>
              <w:jc w:val="center"/>
              <w:rPr>
                <w:rFonts w:ascii="宋体" w:hAnsi="宋体" w:eastAsia="宋体" w:cs="宋体"/>
                <w:sz w:val="24"/>
              </w:rPr>
            </w:pPr>
            <w:r>
              <w:rPr>
                <w:rFonts w:hint="eastAsia" w:ascii="宋体" w:hAnsi="宋体" w:eastAsia="宋体" w:cs="宋体"/>
                <w:sz w:val="24"/>
              </w:rPr>
              <w:t>乔木无种植间距，详细可参考正式绿化施工图乔木网格放线图。</w:t>
            </w:r>
            <w:r>
              <w:rPr>
                <w:rFonts w:ascii="宋体" w:hAnsi="宋体" w:eastAsia="宋体" w:cs="宋体"/>
                <w:sz w:val="24"/>
              </w:rPr>
              <w:t>地被灌木</w:t>
            </w:r>
            <w:r>
              <w:rPr>
                <w:rFonts w:hint="eastAsia" w:ascii="宋体" w:hAnsi="宋体" w:eastAsia="宋体" w:cs="宋体"/>
                <w:sz w:val="24"/>
              </w:rPr>
              <w:t>的种植密度详细参考正式绿化施工图苗木表；</w:t>
            </w:r>
          </w:p>
        </w:tc>
      </w:tr>
      <w:tr w14:paraId="024519E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71327A58">
            <w:pPr>
              <w:spacing w:line="360" w:lineRule="auto"/>
              <w:jc w:val="center"/>
              <w:rPr>
                <w:rFonts w:ascii="宋体" w:hAnsi="宋体" w:eastAsia="宋体" w:cs="宋体"/>
                <w:sz w:val="24"/>
              </w:rPr>
            </w:pPr>
            <w:r>
              <w:rPr>
                <w:rFonts w:ascii="宋体" w:hAnsi="宋体" w:eastAsia="宋体" w:cs="宋体"/>
                <w:sz w:val="24"/>
              </w:rPr>
              <w:t>梅类（红梅、宫粉梅、黄香梅）、海棠类、杜鹃等品种在会理干热气候下易发生红蜘蛛、炭疽病、蚜虫等病虫害，请问设计是否有明确的病虫害防治专项要求，包括药剂选择、施药频次及养护期内的病虫害防治节点？</w:t>
            </w:r>
          </w:p>
        </w:tc>
        <w:tc>
          <w:tcPr>
            <w:tcW w:w="4261" w:type="dxa"/>
            <w:tcBorders>
              <w:tl2br w:val="nil"/>
              <w:tr2bl w:val="nil"/>
            </w:tcBorders>
            <w:vAlign w:val="center"/>
          </w:tcPr>
          <w:p w14:paraId="388C87DE">
            <w:pPr>
              <w:spacing w:line="360" w:lineRule="auto"/>
              <w:jc w:val="center"/>
              <w:rPr>
                <w:rFonts w:ascii="宋体" w:hAnsi="宋体" w:eastAsia="宋体" w:cs="宋体"/>
                <w:sz w:val="24"/>
              </w:rPr>
            </w:pPr>
            <w:r>
              <w:rPr>
                <w:rFonts w:hint="eastAsia" w:ascii="宋体" w:hAnsi="宋体" w:eastAsia="宋体" w:cs="宋体"/>
                <w:sz w:val="24"/>
              </w:rPr>
              <w:t>关于植物养护层面设计公司不做指导</w:t>
            </w:r>
          </w:p>
        </w:tc>
      </w:tr>
      <w:tr w14:paraId="49F69FD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2FFF8CFC">
            <w:pPr>
              <w:spacing w:line="360" w:lineRule="auto"/>
              <w:jc w:val="center"/>
              <w:rPr>
                <w:rFonts w:ascii="宋体" w:hAnsi="宋体" w:eastAsia="宋体" w:cs="宋体"/>
                <w:sz w:val="24"/>
              </w:rPr>
            </w:pPr>
            <w:r>
              <w:rPr>
                <w:rFonts w:ascii="宋体" w:hAnsi="宋体" w:eastAsia="宋体" w:cs="宋体"/>
                <w:sz w:val="24"/>
              </w:rPr>
              <w:t>清单第 80 项 “其他”（0501020011080）仅标注种类为其他，无具体规格、品种及养护要求，请问该项目所包含的具体苗木品种、规格？</w:t>
            </w:r>
          </w:p>
        </w:tc>
        <w:tc>
          <w:tcPr>
            <w:tcW w:w="4261" w:type="dxa"/>
            <w:tcBorders>
              <w:tl2br w:val="nil"/>
              <w:tr2bl w:val="nil"/>
            </w:tcBorders>
            <w:vAlign w:val="center"/>
          </w:tcPr>
          <w:p w14:paraId="79D05FC2">
            <w:pPr>
              <w:spacing w:line="360" w:lineRule="auto"/>
              <w:jc w:val="center"/>
              <w:rPr>
                <w:rFonts w:ascii="宋体" w:hAnsi="宋体" w:eastAsia="宋体" w:cs="宋体"/>
                <w:sz w:val="24"/>
              </w:rPr>
            </w:pPr>
            <w:r>
              <w:rPr>
                <w:rFonts w:hint="eastAsia" w:ascii="宋体" w:hAnsi="宋体" w:eastAsia="宋体" w:cs="宋体"/>
                <w:sz w:val="24"/>
              </w:rPr>
              <w:t>正式绿化施工图纸上面修改调整，具体以正式绿化施工图图纸为准；</w:t>
            </w:r>
          </w:p>
        </w:tc>
      </w:tr>
      <w:tr w14:paraId="22291D7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155FF45F">
            <w:pPr>
              <w:spacing w:line="360" w:lineRule="auto"/>
              <w:jc w:val="center"/>
              <w:rPr>
                <w:rFonts w:ascii="宋体" w:hAnsi="宋体" w:eastAsia="宋体" w:cs="宋体"/>
                <w:sz w:val="24"/>
              </w:rPr>
            </w:pPr>
            <w:r>
              <w:rPr>
                <w:rFonts w:ascii="宋体" w:hAnsi="宋体" w:eastAsia="宋体" w:cs="宋体"/>
                <w:sz w:val="24"/>
              </w:rPr>
              <w:t>常绿乔木分部的杜鹃、鸡冠刺桐等品种无胸径指标，地被灌木分部的三角梅、木芙蓉等品种冠幅标注异常</w:t>
            </w:r>
            <w:r>
              <w:rPr>
                <w:rFonts w:hint="eastAsia" w:ascii="宋体" w:hAnsi="宋体" w:eastAsia="宋体" w:cs="宋体"/>
                <w:sz w:val="24"/>
              </w:rPr>
              <w:t>。</w:t>
            </w:r>
          </w:p>
        </w:tc>
        <w:tc>
          <w:tcPr>
            <w:tcW w:w="4261" w:type="dxa"/>
            <w:tcBorders>
              <w:tl2br w:val="nil"/>
              <w:tr2bl w:val="nil"/>
            </w:tcBorders>
            <w:vAlign w:val="center"/>
          </w:tcPr>
          <w:p w14:paraId="1D2EA97F">
            <w:pPr>
              <w:spacing w:line="360" w:lineRule="auto"/>
              <w:jc w:val="center"/>
              <w:rPr>
                <w:rFonts w:ascii="宋体" w:hAnsi="宋体" w:eastAsia="宋体" w:cs="宋体"/>
                <w:sz w:val="24"/>
              </w:rPr>
            </w:pPr>
            <w:r>
              <w:rPr>
                <w:rFonts w:hint="eastAsia" w:ascii="宋体" w:hAnsi="宋体" w:eastAsia="宋体" w:cs="宋体"/>
                <w:sz w:val="24"/>
              </w:rPr>
              <w:t>正式绿化施工图纸上面修改调整，具体以正式绿化施工图图纸为准；</w:t>
            </w:r>
          </w:p>
        </w:tc>
      </w:tr>
      <w:tr w14:paraId="55575E2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1E5C3E24">
            <w:pPr>
              <w:spacing w:line="360" w:lineRule="auto"/>
              <w:jc w:val="center"/>
              <w:rPr>
                <w:rFonts w:ascii="宋体" w:hAnsi="宋体" w:eastAsia="宋体" w:cs="宋体"/>
                <w:sz w:val="24"/>
              </w:rPr>
            </w:pPr>
            <w:r>
              <w:rPr>
                <w:rFonts w:ascii="宋体" w:hAnsi="宋体" w:eastAsia="宋体" w:cs="宋体"/>
                <w:sz w:val="24"/>
              </w:rPr>
              <w:t>喜阴品种（乐昌含笑、山茶）与强喜光品种（蓝花楹、美丽异木棉）相邻种植，请问设计是否有明确的遮阴设计措施（如配植中层遮阴植物、设置人工遮阴设施），或是否需要调整种植布局？</w:t>
            </w:r>
          </w:p>
        </w:tc>
        <w:tc>
          <w:tcPr>
            <w:tcW w:w="4261" w:type="dxa"/>
            <w:tcBorders>
              <w:tl2br w:val="nil"/>
              <w:tr2bl w:val="nil"/>
            </w:tcBorders>
            <w:vAlign w:val="center"/>
          </w:tcPr>
          <w:p w14:paraId="53C8B1BC">
            <w:pPr>
              <w:spacing w:line="360" w:lineRule="auto"/>
              <w:jc w:val="center"/>
              <w:rPr>
                <w:rFonts w:ascii="宋体" w:hAnsi="宋体" w:eastAsia="宋体" w:cs="宋体"/>
                <w:sz w:val="24"/>
              </w:rPr>
            </w:pPr>
            <w:r>
              <w:rPr>
                <w:rFonts w:ascii="宋体" w:hAnsi="宋体" w:eastAsia="宋体" w:cs="宋体"/>
                <w:sz w:val="24"/>
              </w:rPr>
              <w:t>遮阴</w:t>
            </w:r>
            <w:r>
              <w:rPr>
                <w:rFonts w:hint="eastAsia" w:ascii="宋体" w:hAnsi="宋体" w:eastAsia="宋体" w:cs="宋体"/>
                <w:sz w:val="24"/>
              </w:rPr>
              <w:t>措施为后期养护需求，设计公司不做指导，该问题正式绿化施工图纸上面修改调整，尽量避免；</w:t>
            </w:r>
          </w:p>
        </w:tc>
      </w:tr>
    </w:tbl>
    <w:p w14:paraId="5087D519">
      <w:pPr>
        <w:numPr>
          <w:ilvl w:val="0"/>
          <w:numId w:val="0"/>
        </w:numPr>
        <w:ind w:leftChars="0"/>
        <w:jc w:val="both"/>
        <w:rPr>
          <w:rFonts w:hint="default"/>
          <w:color w:val="4874CB" w:themeColor="accent1"/>
          <w:lang w:val="en-US" w:eastAsia="zh-CN"/>
          <w14:textFill>
            <w14:solidFill>
              <w14:schemeClr w14:val="accent1"/>
            </w14:solidFill>
          </w14:textFill>
        </w:rPr>
      </w:pPr>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33899D2"/>
    <w:multiLevelType w:val="singleLevel"/>
    <w:tmpl w:val="933899D2"/>
    <w:lvl w:ilvl="0" w:tentative="0">
      <w:start w:val="1"/>
      <w:numFmt w:val="decimal"/>
      <w:suff w:val="nothing"/>
      <w:lvlText w:val="%1、"/>
      <w:lvlJc w:val="left"/>
    </w:lvl>
  </w:abstractNum>
  <w:abstractNum w:abstractNumId="1">
    <w:nsid w:val="944CB775"/>
    <w:multiLevelType w:val="singleLevel"/>
    <w:tmpl w:val="944CB775"/>
    <w:lvl w:ilvl="0" w:tentative="0">
      <w:start w:val="1"/>
      <w:numFmt w:val="decimal"/>
      <w:suff w:val="nothing"/>
      <w:lvlText w:val="%1、"/>
      <w:lvlJc w:val="left"/>
      <w:pPr>
        <w:ind w:left="480" w:leftChars="0" w:firstLine="0" w:firstLineChars="0"/>
      </w:pPr>
    </w:lvl>
  </w:abstractNum>
  <w:abstractNum w:abstractNumId="2">
    <w:nsid w:val="AAAD7A9A"/>
    <w:multiLevelType w:val="singleLevel"/>
    <w:tmpl w:val="AAAD7A9A"/>
    <w:lvl w:ilvl="0" w:tentative="0">
      <w:start w:val="4"/>
      <w:numFmt w:val="chineseCounting"/>
      <w:suff w:val="nothing"/>
      <w:lvlText w:val="（%1）"/>
      <w:lvlJc w:val="left"/>
      <w:rPr>
        <w:rFonts w:hint="eastAsia"/>
      </w:rPr>
    </w:lvl>
  </w:abstractNum>
  <w:abstractNum w:abstractNumId="3">
    <w:nsid w:val="BB87BE6C"/>
    <w:multiLevelType w:val="singleLevel"/>
    <w:tmpl w:val="BB87BE6C"/>
    <w:lvl w:ilvl="0" w:tentative="0">
      <w:start w:val="2"/>
      <w:numFmt w:val="decimal"/>
      <w:suff w:val="nothing"/>
      <w:lvlText w:val="%1、"/>
      <w:lvlJc w:val="left"/>
    </w:lvl>
  </w:abstractNum>
  <w:abstractNum w:abstractNumId="4">
    <w:nsid w:val="0998D4B5"/>
    <w:multiLevelType w:val="singleLevel"/>
    <w:tmpl w:val="0998D4B5"/>
    <w:lvl w:ilvl="0" w:tentative="0">
      <w:start w:val="6"/>
      <w:numFmt w:val="decimal"/>
      <w:suff w:val="nothing"/>
      <w:lvlText w:val="%1、"/>
      <w:lvlJc w:val="left"/>
    </w:lvl>
  </w:abstractNum>
  <w:abstractNum w:abstractNumId="5">
    <w:nsid w:val="13A670CE"/>
    <w:multiLevelType w:val="singleLevel"/>
    <w:tmpl w:val="13A670CE"/>
    <w:lvl w:ilvl="0" w:tentative="0">
      <w:start w:val="6"/>
      <w:numFmt w:val="decimal"/>
      <w:suff w:val="nothing"/>
      <w:lvlText w:val="%1、"/>
      <w:lvlJc w:val="left"/>
    </w:lvl>
  </w:abstractNum>
  <w:abstractNum w:abstractNumId="6">
    <w:nsid w:val="4A55109C"/>
    <w:multiLevelType w:val="singleLevel"/>
    <w:tmpl w:val="4A55109C"/>
    <w:lvl w:ilvl="0" w:tentative="0">
      <w:start w:val="1"/>
      <w:numFmt w:val="chineseCounting"/>
      <w:suff w:val="nothing"/>
      <w:lvlText w:val="%1、"/>
      <w:lvlJc w:val="left"/>
      <w:rPr>
        <w:rFonts w:hint="eastAsia"/>
      </w:rPr>
    </w:lvl>
  </w:abstractNum>
  <w:abstractNum w:abstractNumId="7">
    <w:nsid w:val="70E16D6D"/>
    <w:multiLevelType w:val="multilevel"/>
    <w:tmpl w:val="70E16D6D"/>
    <w:lvl w:ilvl="0" w:tentative="0">
      <w:start w:val="1"/>
      <w:numFmt w:val="decimal"/>
      <w:pStyle w:val="11"/>
      <w:suff w:val="nothing"/>
      <w:lvlText w:val="%1、"/>
      <w:lvlJc w:val="left"/>
      <w:pPr>
        <w:tabs>
          <w:tab w:val="left" w:pos="420"/>
        </w:tabs>
        <w:ind w:left="0" w:leftChars="0" w:firstLine="0" w:firstLineChars="0"/>
      </w:pPr>
      <w:rPr>
        <w:rFonts w:hint="default" w:eastAsia="黑体"/>
        <w:sz w:val="6"/>
      </w:rPr>
    </w:lvl>
    <w:lvl w:ilvl="1" w:tentative="0">
      <w:start w:val="1"/>
      <w:numFmt w:val="decimal"/>
      <w:lvlRestart w:val="0"/>
      <w:pStyle w:val="13"/>
      <w:suff w:val="nothing"/>
      <w:lvlText w:val="%1.%2"/>
      <w:lvlJc w:val="left"/>
      <w:pPr>
        <w:tabs>
          <w:tab w:val="left" w:pos="420"/>
        </w:tabs>
        <w:ind w:left="0" w:leftChars="0" w:firstLine="0" w:firstLineChars="0"/>
      </w:pPr>
      <w:rPr>
        <w:rFonts w:hint="default" w:eastAsia="黑体"/>
        <w:b/>
        <w:sz w:val="24"/>
      </w:rPr>
    </w:lvl>
    <w:lvl w:ilvl="2" w:tentative="0">
      <w:start w:val="1"/>
      <w:numFmt w:val="decimal"/>
      <w:lvlRestart w:val="0"/>
      <w:pStyle w:val="14"/>
      <w:suff w:val="nothing"/>
      <w:lvlText w:val="%1.%2.%3"/>
      <w:lvlJc w:val="left"/>
      <w:pPr>
        <w:tabs>
          <w:tab w:val="left" w:pos="420"/>
        </w:tabs>
        <w:ind w:left="0" w:leftChars="0" w:firstLine="0" w:firstLineChars="0"/>
      </w:pPr>
      <w:rPr>
        <w:rFonts w:hint="default" w:eastAsia="黑体"/>
        <w:sz w:val="24"/>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num w:numId="1">
    <w:abstractNumId w:val="7"/>
  </w:num>
  <w:num w:numId="2">
    <w:abstractNumId w:val="6"/>
  </w:num>
  <w:num w:numId="3">
    <w:abstractNumId w:val="3"/>
  </w:num>
  <w:num w:numId="4">
    <w:abstractNumId w:val="2"/>
  </w:num>
  <w:num w:numId="5">
    <w:abstractNumId w:val="1"/>
  </w:num>
  <w:num w:numId="6">
    <w:abstractNumId w:val="4"/>
  </w:num>
  <w:num w:numId="7">
    <w:abstractNumId w:val="0"/>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AA317FC"/>
    <w:rsid w:val="051B3D66"/>
    <w:rsid w:val="0AA317FC"/>
    <w:rsid w:val="18CB193B"/>
    <w:rsid w:val="2298391B"/>
    <w:rsid w:val="2FF02F9B"/>
    <w:rsid w:val="357069B7"/>
    <w:rsid w:val="40F53889"/>
    <w:rsid w:val="4599777C"/>
    <w:rsid w:val="45C9178A"/>
    <w:rsid w:val="4A5661C9"/>
    <w:rsid w:val="50E55AB7"/>
    <w:rsid w:val="515A6B83"/>
    <w:rsid w:val="5C6F013B"/>
    <w:rsid w:val="5CEA3F7C"/>
    <w:rsid w:val="67523E91"/>
    <w:rsid w:val="67C13E0D"/>
    <w:rsid w:val="68FB342F"/>
    <w:rsid w:val="6F134086"/>
    <w:rsid w:val="73961B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Ascii" w:hAnsiTheme="minorAscii" w:eastAsiaTheme="minorEastAsia" w:cstheme="minorBidi"/>
      <w:kern w:val="2"/>
      <w:sz w:val="28"/>
      <w:szCs w:val="24"/>
      <w:lang w:val="en-US" w:eastAsia="zh-CN" w:bidi="ar-SA"/>
    </w:rPr>
  </w:style>
  <w:style w:type="paragraph" w:styleId="2">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3">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4">
    <w:name w:val="heading 4"/>
    <w:basedOn w:val="1"/>
    <w:next w:val="1"/>
    <w:semiHidden/>
    <w:unhideWhenUsed/>
    <w:qFormat/>
    <w:uiPriority w:val="0"/>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8">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5">
    <w:name w:val="Normal (Web)"/>
    <w:basedOn w:val="1"/>
    <w:qFormat/>
    <w:uiPriority w:val="0"/>
    <w:pPr>
      <w:spacing w:before="0" w:beforeAutospacing="1" w:after="0" w:afterAutospacing="1"/>
      <w:ind w:left="0" w:right="0"/>
      <w:jc w:val="left"/>
    </w:pPr>
    <w:rPr>
      <w:kern w:val="0"/>
      <w:sz w:val="24"/>
      <w:lang w:val="en-US" w:eastAsia="zh-CN" w:bidi="ar"/>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Strong"/>
    <w:basedOn w:val="8"/>
    <w:qFormat/>
    <w:uiPriority w:val="0"/>
    <w:rPr>
      <w:b/>
    </w:rPr>
  </w:style>
  <w:style w:type="paragraph" w:customStyle="1" w:styleId="10">
    <w:name w:val="正文标题"/>
    <w:uiPriority w:val="0"/>
    <w:pPr>
      <w:jc w:val="center"/>
    </w:pPr>
    <w:rPr>
      <w:rFonts w:ascii="Calibri" w:hAnsi="Calibri" w:eastAsia="黑体" w:cstheme="minorBidi"/>
      <w:sz w:val="36"/>
    </w:rPr>
  </w:style>
  <w:style w:type="paragraph" w:customStyle="1" w:styleId="11">
    <w:name w:val="一级标题"/>
    <w:next w:val="12"/>
    <w:link w:val="15"/>
    <w:qFormat/>
    <w:uiPriority w:val="0"/>
    <w:pPr>
      <w:numPr>
        <w:ilvl w:val="0"/>
        <w:numId w:val="1"/>
      </w:numPr>
      <w:tabs>
        <w:tab w:val="left" w:pos="0"/>
        <w:tab w:val="clear" w:pos="420"/>
      </w:tabs>
      <w:spacing w:before="50" w:beforeLines="50" w:after="50" w:afterLines="50" w:line="360" w:lineRule="auto"/>
      <w:ind w:left="0" w:firstLine="0" w:firstLineChars="0"/>
      <w:jc w:val="center"/>
      <w:outlineLvl w:val="0"/>
    </w:pPr>
    <w:rPr>
      <w:rFonts w:hint="eastAsia" w:ascii="Calibri" w:hAnsi="Calibri" w:eastAsia="黑体" w:cstheme="minorBidi"/>
      <w:sz w:val="32"/>
    </w:rPr>
  </w:style>
  <w:style w:type="paragraph" w:customStyle="1" w:styleId="12">
    <w:name w:val="方案正文"/>
    <w:basedOn w:val="1"/>
    <w:qFormat/>
    <w:uiPriority w:val="0"/>
    <w:pPr>
      <w:spacing w:line="360" w:lineRule="auto"/>
      <w:ind w:firstLine="720" w:firstLineChars="200"/>
      <w:jc w:val="center"/>
    </w:pPr>
    <w:rPr>
      <w:rFonts w:hint="eastAsia" w:ascii="Calibri" w:hAnsi="Calibri" w:eastAsia="宋体"/>
      <w:sz w:val="24"/>
    </w:rPr>
  </w:style>
  <w:style w:type="paragraph" w:customStyle="1" w:styleId="13">
    <w:name w:val="二级标题"/>
    <w:basedOn w:val="1"/>
    <w:qFormat/>
    <w:uiPriority w:val="0"/>
    <w:pPr>
      <w:numPr>
        <w:ilvl w:val="1"/>
        <w:numId w:val="1"/>
      </w:numPr>
      <w:tabs>
        <w:tab w:val="left" w:pos="0"/>
        <w:tab w:val="clear" w:pos="420"/>
      </w:tabs>
      <w:spacing w:before="50" w:beforeLines="50" w:after="50" w:afterLines="50" w:line="360" w:lineRule="auto"/>
      <w:jc w:val="left"/>
    </w:pPr>
    <w:rPr>
      <w:rFonts w:hint="eastAsia" w:ascii="Calibri" w:hAnsi="Calibri" w:eastAsia="黑体"/>
      <w:b/>
      <w:sz w:val="24"/>
    </w:rPr>
  </w:style>
  <w:style w:type="paragraph" w:customStyle="1" w:styleId="14">
    <w:name w:val="三级标题"/>
    <w:basedOn w:val="1"/>
    <w:qFormat/>
    <w:uiPriority w:val="0"/>
    <w:pPr>
      <w:numPr>
        <w:ilvl w:val="2"/>
        <w:numId w:val="1"/>
      </w:numPr>
      <w:spacing w:before="50" w:beforeLines="50" w:after="50" w:afterLines="50" w:line="360" w:lineRule="auto"/>
      <w:jc w:val="left"/>
      <w:outlineLvl w:val="2"/>
    </w:pPr>
    <w:rPr>
      <w:rFonts w:hint="eastAsia" w:ascii="Calibri" w:hAnsi="Calibri" w:eastAsia="黑体"/>
      <w:sz w:val="24"/>
    </w:rPr>
  </w:style>
  <w:style w:type="character" w:customStyle="1" w:styleId="15">
    <w:name w:val="一级标题 Char"/>
    <w:link w:val="11"/>
    <w:qFormat/>
    <w:uiPriority w:val="0"/>
    <w:rPr>
      <w:rFonts w:hint="eastAsia" w:ascii="Calibri" w:hAnsi="Calibri" w:eastAsia="黑体"/>
      <w:sz w:val="32"/>
    </w:rPr>
  </w:style>
  <w:style w:type="paragraph" w:customStyle="1" w:styleId="16">
    <w:name w:val="四级标题"/>
    <w:next w:val="12"/>
    <w:qFormat/>
    <w:uiPriority w:val="0"/>
    <w:pPr>
      <w:spacing w:line="360" w:lineRule="auto"/>
      <w:ind w:firstLine="0"/>
      <w:outlineLvl w:val="3"/>
    </w:pPr>
    <w:rPr>
      <w:rFonts w:hint="eastAsia" w:ascii="Calibri" w:hAnsi="Calibri" w:eastAsiaTheme="minorEastAsia" w:cstheme="minorBidi"/>
      <w:sz w:val="24"/>
    </w:rPr>
  </w:style>
  <w:style w:type="paragraph" w:styleId="17">
    <w:name w:val="List Paragraph"/>
    <w:basedOn w:val="1"/>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jpeg"/><Relationship Id="rId21" Type="http://schemas.openxmlformats.org/officeDocument/2006/relationships/image" Target="media/image18.pn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25</Pages>
  <Words>955</Words>
  <Characters>1139</Characters>
  <Lines>0</Lines>
  <Paragraphs>0</Paragraphs>
  <TotalTime>0</TotalTime>
  <ScaleCrop>false</ScaleCrop>
  <LinksUpToDate>false</LinksUpToDate>
  <CharactersWithSpaces>1182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2026-02-24T06:08:00Z</dcterms:created>
  <dc:creator>ASUS</dc:creator>
  <cp:lastModifiedBy>小傻冲冲</cp:lastModifiedBy>
  <dcterms:modified xsi:type="dcterms:W3CDTF">2026-03-01T00:43:54Z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4D2BE6FE1CA54A8A8BCDD0252602D9C8_13</vt:lpwstr>
  </property>
  <property fmtid="{D5CDD505-2E9C-101B-9397-08002B2CF9AE}" pid="4" name="KSOTemplateDocerSaveRecord">
    <vt:lpwstr>eyJoZGlkIjoiZDc2NGQ3NTRmZWU3NzNmOGYzMDMxMGU1NmZiNDIyOWYiLCJ1c2VySWQiOiI0MDEyNTg1NyJ9</vt:lpwstr>
  </property>
</Properties>
</file>