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6ED1AA">
      <w:pPr>
        <w:snapToGrid w:val="0"/>
        <w:spacing w:line="500" w:lineRule="exact"/>
        <w:jc w:val="center"/>
        <w:rPr>
          <w:rFonts w:hint="eastAsia" w:ascii="仿宋" w:hAnsi="仿宋" w:eastAsia="仿宋" w:cs="仿宋"/>
          <w:b/>
          <w:bCs/>
          <w:sz w:val="28"/>
          <w:szCs w:val="28"/>
        </w:rPr>
      </w:pPr>
      <w:r>
        <w:rPr>
          <w:rFonts w:hint="eastAsia" w:ascii="仿宋" w:hAnsi="仿宋" w:eastAsia="仿宋" w:cs="仿宋"/>
          <w:b/>
          <w:bCs/>
          <w:sz w:val="28"/>
          <w:szCs w:val="28"/>
        </w:rPr>
        <w:t>凉山州现代房屋建筑集成制造有限公司</w:t>
      </w:r>
    </w:p>
    <w:p w14:paraId="016E52F5">
      <w:pPr>
        <w:snapToGrid w:val="0"/>
        <w:spacing w:line="500" w:lineRule="exact"/>
        <w:jc w:val="center"/>
        <w:rPr>
          <w:rFonts w:hint="eastAsia" w:ascii="仿宋" w:hAnsi="仿宋" w:eastAsia="仿宋" w:cs="仿宋"/>
          <w:b/>
          <w:bCs/>
          <w:sz w:val="28"/>
          <w:szCs w:val="28"/>
        </w:rPr>
      </w:pPr>
      <w:r>
        <w:rPr>
          <w:rFonts w:hint="eastAsia" w:ascii="仿宋" w:hAnsi="仿宋" w:eastAsia="仿宋" w:cs="仿宋"/>
          <w:b/>
          <w:bCs/>
          <w:sz w:val="28"/>
          <w:szCs w:val="28"/>
        </w:rPr>
        <w:t>商品混凝土采购合同</w:t>
      </w:r>
    </w:p>
    <w:p w14:paraId="00713F93">
      <w:pPr>
        <w:snapToGrid w:val="0"/>
        <w:spacing w:line="500" w:lineRule="exact"/>
        <w:ind w:firstLine="3360" w:firstLineChars="1200"/>
        <w:rPr>
          <w:rFonts w:hint="eastAsia" w:ascii="仿宋" w:hAnsi="仿宋" w:eastAsia="仿宋" w:cs="仿宋"/>
          <w:sz w:val="28"/>
          <w:szCs w:val="28"/>
        </w:rPr>
      </w:pPr>
    </w:p>
    <w:p w14:paraId="13A09138">
      <w:pPr>
        <w:snapToGrid w:val="0"/>
        <w:spacing w:line="500" w:lineRule="exact"/>
        <w:jc w:val="center"/>
        <w:rPr>
          <w:rFonts w:hint="eastAsia" w:ascii="仿宋" w:hAnsi="仿宋" w:eastAsia="仿宋" w:cs="仿宋"/>
          <w:sz w:val="28"/>
          <w:szCs w:val="28"/>
        </w:rPr>
      </w:pPr>
    </w:p>
    <w:p w14:paraId="11EFD3C5">
      <w:pPr>
        <w:snapToGrid w:val="0"/>
        <w:spacing w:line="500" w:lineRule="exact"/>
        <w:jc w:val="center"/>
        <w:rPr>
          <w:rFonts w:hint="eastAsia" w:ascii="仿宋" w:hAnsi="仿宋" w:eastAsia="仿宋" w:cs="仿宋"/>
          <w:sz w:val="28"/>
          <w:szCs w:val="28"/>
        </w:rPr>
      </w:pPr>
    </w:p>
    <w:p w14:paraId="389BDD28">
      <w:pPr>
        <w:snapToGrid w:val="0"/>
        <w:spacing w:line="500" w:lineRule="exact"/>
        <w:jc w:val="center"/>
        <w:rPr>
          <w:rFonts w:hint="eastAsia" w:ascii="仿宋" w:hAnsi="仿宋" w:eastAsia="仿宋" w:cs="仿宋"/>
          <w:sz w:val="28"/>
          <w:szCs w:val="28"/>
        </w:rPr>
      </w:pPr>
    </w:p>
    <w:p w14:paraId="4E802CA5">
      <w:pPr>
        <w:snapToGrid w:val="0"/>
        <w:spacing w:line="500" w:lineRule="exact"/>
        <w:jc w:val="center"/>
        <w:rPr>
          <w:rFonts w:hint="eastAsia" w:ascii="仿宋" w:hAnsi="仿宋" w:eastAsia="仿宋" w:cs="仿宋"/>
          <w:sz w:val="28"/>
          <w:szCs w:val="28"/>
          <w:u w:val="single"/>
        </w:rPr>
      </w:pPr>
    </w:p>
    <w:p w14:paraId="2656B413">
      <w:pPr>
        <w:tabs>
          <w:tab w:val="left" w:pos="840"/>
        </w:tabs>
        <w:snapToGrid w:val="0"/>
        <w:spacing w:line="500" w:lineRule="exact"/>
        <w:jc w:val="center"/>
        <w:rPr>
          <w:rFonts w:hint="eastAsia" w:ascii="仿宋" w:hAnsi="仿宋" w:eastAsia="仿宋" w:cs="仿宋"/>
          <w:sz w:val="28"/>
          <w:szCs w:val="28"/>
        </w:rPr>
      </w:pPr>
      <w:r>
        <w:rPr>
          <w:rFonts w:hint="eastAsia" w:ascii="仿宋" w:hAnsi="仿宋" w:eastAsia="仿宋" w:cs="仿宋"/>
          <w:sz w:val="28"/>
          <w:szCs w:val="28"/>
        </w:rPr>
        <w:t xml:space="preserve">工程名称：会理市 2025 年宜居宜业和美乡村建设项目 （一期）设计施工总承包 三标段      </w:t>
      </w:r>
    </w:p>
    <w:p w14:paraId="67470C06">
      <w:pPr>
        <w:tabs>
          <w:tab w:val="left" w:pos="840"/>
        </w:tabs>
        <w:snapToGrid w:val="0"/>
        <w:spacing w:line="500" w:lineRule="exact"/>
        <w:ind w:left="1050" w:leftChars="500" w:firstLine="560" w:firstLineChars="200"/>
        <w:rPr>
          <w:rFonts w:hint="eastAsia" w:ascii="仿宋" w:hAnsi="仿宋" w:eastAsia="仿宋" w:cs="仿宋"/>
          <w:sz w:val="28"/>
          <w:szCs w:val="28"/>
        </w:rPr>
      </w:pPr>
    </w:p>
    <w:p w14:paraId="2BA53B31">
      <w:pPr>
        <w:tabs>
          <w:tab w:val="left" w:pos="840"/>
        </w:tabs>
        <w:snapToGrid w:val="0"/>
        <w:spacing w:line="500" w:lineRule="exact"/>
        <w:ind w:left="1050" w:leftChars="500" w:firstLine="560" w:firstLineChars="200"/>
        <w:rPr>
          <w:rFonts w:hint="eastAsia" w:ascii="仿宋" w:hAnsi="仿宋" w:eastAsia="仿宋" w:cs="仿宋"/>
          <w:sz w:val="28"/>
          <w:szCs w:val="28"/>
        </w:rPr>
      </w:pPr>
    </w:p>
    <w:p w14:paraId="7CDC87AF">
      <w:pPr>
        <w:tabs>
          <w:tab w:val="left" w:pos="840"/>
        </w:tabs>
        <w:snapToGrid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 </w:t>
      </w:r>
    </w:p>
    <w:p w14:paraId="334E5051">
      <w:pPr>
        <w:tabs>
          <w:tab w:val="left" w:pos="840"/>
        </w:tabs>
        <w:snapToGrid w:val="0"/>
        <w:spacing w:line="500" w:lineRule="exact"/>
        <w:ind w:left="1050" w:leftChars="500" w:firstLine="560" w:firstLineChars="200"/>
        <w:rPr>
          <w:rFonts w:hint="eastAsia" w:ascii="仿宋" w:hAnsi="仿宋" w:eastAsia="仿宋" w:cs="仿宋"/>
          <w:sz w:val="28"/>
          <w:szCs w:val="28"/>
        </w:rPr>
      </w:pPr>
    </w:p>
    <w:p w14:paraId="5E6C041F">
      <w:pPr>
        <w:tabs>
          <w:tab w:val="left" w:pos="840"/>
        </w:tabs>
        <w:snapToGrid w:val="0"/>
        <w:spacing w:line="500" w:lineRule="exact"/>
        <w:ind w:left="1050" w:leftChars="500" w:firstLine="560" w:firstLineChars="200"/>
        <w:rPr>
          <w:rFonts w:hint="eastAsia" w:ascii="仿宋" w:hAnsi="仿宋" w:eastAsia="仿宋" w:cs="仿宋"/>
          <w:sz w:val="28"/>
          <w:szCs w:val="28"/>
        </w:rPr>
      </w:pPr>
    </w:p>
    <w:p w14:paraId="70E70B26">
      <w:pPr>
        <w:spacing w:line="500" w:lineRule="exact"/>
        <w:jc w:val="center"/>
        <w:rPr>
          <w:rFonts w:hint="eastAsia" w:ascii="仿宋" w:hAnsi="仿宋" w:eastAsia="仿宋" w:cs="仿宋"/>
          <w:sz w:val="28"/>
          <w:szCs w:val="28"/>
          <w:u w:val="single"/>
        </w:rPr>
      </w:pPr>
      <w:r>
        <w:rPr>
          <w:rFonts w:hint="eastAsia" w:ascii="仿宋" w:hAnsi="仿宋" w:eastAsia="仿宋" w:cs="仿宋"/>
          <w:sz w:val="28"/>
          <w:szCs w:val="28"/>
        </w:rPr>
        <w:t>甲方（买方）：</w:t>
      </w:r>
      <w:r>
        <w:rPr>
          <w:rFonts w:hint="eastAsia" w:ascii="仿宋" w:hAnsi="仿宋" w:eastAsia="仿宋" w:cs="仿宋"/>
          <w:sz w:val="28"/>
          <w:szCs w:val="28"/>
          <w:u w:val="single"/>
        </w:rPr>
        <w:t>凉山州现代房屋建筑集成制造有限公司</w:t>
      </w:r>
    </w:p>
    <w:p w14:paraId="6AA3B49A">
      <w:pPr>
        <w:spacing w:line="500" w:lineRule="exact"/>
        <w:jc w:val="center"/>
        <w:rPr>
          <w:rFonts w:hint="eastAsia" w:ascii="仿宋" w:hAnsi="仿宋" w:eastAsia="仿宋" w:cs="仿宋"/>
          <w:b/>
          <w:bCs/>
          <w:sz w:val="28"/>
          <w:szCs w:val="28"/>
        </w:rPr>
      </w:pPr>
    </w:p>
    <w:p w14:paraId="25546545">
      <w:pPr>
        <w:spacing w:line="500" w:lineRule="exact"/>
        <w:ind w:firstLine="1680" w:firstLineChars="600"/>
        <w:rPr>
          <w:rFonts w:hint="eastAsia" w:ascii="仿宋" w:hAnsi="仿宋" w:eastAsia="仿宋" w:cs="仿宋"/>
          <w:bCs/>
          <w:color w:val="000000" w:themeColor="text1"/>
          <w:w w:val="99"/>
          <w:sz w:val="28"/>
          <w:szCs w:val="28"/>
          <w:u w:val="single"/>
          <w14:textFill>
            <w14:solidFill>
              <w14:schemeClr w14:val="tx1"/>
            </w14:solidFill>
          </w14:textFill>
        </w:rPr>
      </w:pPr>
      <w:r>
        <w:rPr>
          <w:rFonts w:hint="eastAsia" w:ascii="仿宋" w:hAnsi="仿宋" w:eastAsia="仿宋" w:cs="仿宋"/>
          <w:sz w:val="28"/>
          <w:szCs w:val="28"/>
        </w:rPr>
        <w:t>乙方（卖方）：</w:t>
      </w:r>
      <w:r>
        <w:rPr>
          <w:rFonts w:hint="eastAsia" w:ascii="仿宋" w:hAnsi="仿宋" w:eastAsia="仿宋" w:cs="仿宋"/>
          <w:sz w:val="28"/>
          <w:szCs w:val="28"/>
          <w:u w:val="single"/>
        </w:rPr>
        <w:t xml:space="preserve">                           </w:t>
      </w:r>
      <w:r>
        <w:rPr>
          <w:rFonts w:hint="eastAsia" w:ascii="仿宋" w:hAnsi="仿宋" w:eastAsia="仿宋" w:cs="仿宋"/>
          <w:bCs/>
          <w:color w:val="000000" w:themeColor="text1"/>
          <w:w w:val="99"/>
          <w:sz w:val="28"/>
          <w:szCs w:val="28"/>
          <w:u w:val="single"/>
          <w14:textFill>
            <w14:solidFill>
              <w14:schemeClr w14:val="tx1"/>
            </w14:solidFill>
          </w14:textFill>
        </w:rPr>
        <w:t xml:space="preserve">      </w:t>
      </w:r>
    </w:p>
    <w:p w14:paraId="31BDBC11">
      <w:pPr>
        <w:spacing w:line="500" w:lineRule="exact"/>
        <w:ind w:firstLine="1400" w:firstLineChars="500"/>
        <w:rPr>
          <w:rFonts w:hint="eastAsia" w:ascii="仿宋" w:hAnsi="仿宋" w:eastAsia="仿宋" w:cs="仿宋"/>
          <w:sz w:val="28"/>
          <w:szCs w:val="28"/>
          <w:u w:val="single"/>
        </w:rPr>
      </w:pPr>
    </w:p>
    <w:p w14:paraId="56E4B443">
      <w:pPr>
        <w:tabs>
          <w:tab w:val="left" w:pos="840"/>
        </w:tabs>
        <w:snapToGrid w:val="0"/>
        <w:spacing w:line="500" w:lineRule="exact"/>
        <w:jc w:val="center"/>
        <w:rPr>
          <w:rFonts w:hint="eastAsia" w:ascii="仿宋" w:hAnsi="仿宋" w:eastAsia="仿宋" w:cs="仿宋"/>
          <w:color w:val="FFFFFF"/>
          <w:sz w:val="28"/>
          <w:szCs w:val="28"/>
          <w:u w:val="single"/>
        </w:rPr>
      </w:pPr>
      <w:r>
        <w:rPr>
          <w:rFonts w:hint="eastAsia" w:ascii="仿宋" w:hAnsi="仿宋" w:eastAsia="仿宋" w:cs="仿宋"/>
          <w:sz w:val="28"/>
          <w:szCs w:val="28"/>
        </w:rPr>
        <w:t xml:space="preserve"> 签 订 时 间： </w:t>
      </w:r>
      <w:r>
        <w:rPr>
          <w:rFonts w:hint="eastAsia" w:ascii="仿宋" w:hAnsi="仿宋" w:eastAsia="仿宋" w:cs="仿宋"/>
          <w:sz w:val="28"/>
          <w:szCs w:val="28"/>
          <w:u w:val="single"/>
        </w:rPr>
        <w:t xml:space="preserve">    2026年     月                 </w:t>
      </w:r>
      <w:r>
        <w:rPr>
          <w:rFonts w:hint="eastAsia" w:ascii="仿宋" w:hAnsi="仿宋" w:eastAsia="仿宋" w:cs="仿宋"/>
          <w:color w:val="FFFFFF"/>
          <w:sz w:val="28"/>
          <w:szCs w:val="28"/>
          <w:u w:val="single"/>
        </w:rPr>
        <w:t>。</w:t>
      </w:r>
    </w:p>
    <w:p w14:paraId="1EE4513F">
      <w:pPr>
        <w:tabs>
          <w:tab w:val="left" w:pos="840"/>
        </w:tabs>
        <w:snapToGrid w:val="0"/>
        <w:spacing w:line="500" w:lineRule="exact"/>
        <w:jc w:val="center"/>
        <w:rPr>
          <w:rFonts w:hint="eastAsia" w:ascii="仿宋" w:hAnsi="仿宋" w:eastAsia="仿宋" w:cs="仿宋"/>
          <w:color w:val="FFFFFF"/>
          <w:sz w:val="28"/>
          <w:szCs w:val="28"/>
          <w:u w:val="single"/>
        </w:rPr>
      </w:pPr>
    </w:p>
    <w:p w14:paraId="380DAEBC">
      <w:pPr>
        <w:tabs>
          <w:tab w:val="left" w:pos="840"/>
        </w:tabs>
        <w:snapToGrid w:val="0"/>
        <w:spacing w:line="500" w:lineRule="exact"/>
        <w:jc w:val="center"/>
        <w:rPr>
          <w:rFonts w:hint="eastAsia" w:ascii="仿宋" w:hAnsi="仿宋" w:eastAsia="仿宋" w:cs="仿宋"/>
          <w:color w:val="FFFFFF"/>
          <w:sz w:val="28"/>
          <w:szCs w:val="28"/>
          <w:u w:val="single"/>
        </w:rPr>
      </w:pPr>
    </w:p>
    <w:p w14:paraId="7FF53BC2">
      <w:pPr>
        <w:tabs>
          <w:tab w:val="left" w:pos="840"/>
        </w:tabs>
        <w:snapToGrid w:val="0"/>
        <w:spacing w:line="500" w:lineRule="exact"/>
        <w:jc w:val="center"/>
        <w:rPr>
          <w:rFonts w:hint="eastAsia" w:ascii="仿宋" w:hAnsi="仿宋" w:eastAsia="仿宋" w:cs="仿宋"/>
          <w:color w:val="FFFFFF"/>
          <w:sz w:val="28"/>
          <w:szCs w:val="28"/>
          <w:u w:val="single"/>
        </w:rPr>
      </w:pPr>
    </w:p>
    <w:p w14:paraId="7E027D08">
      <w:pPr>
        <w:tabs>
          <w:tab w:val="left" w:pos="840"/>
        </w:tabs>
        <w:snapToGrid w:val="0"/>
        <w:spacing w:line="500" w:lineRule="exact"/>
        <w:jc w:val="center"/>
        <w:rPr>
          <w:rFonts w:hint="eastAsia" w:ascii="仿宋" w:hAnsi="仿宋" w:eastAsia="仿宋" w:cs="仿宋"/>
          <w:color w:val="FFFFFF"/>
          <w:sz w:val="28"/>
          <w:szCs w:val="28"/>
          <w:u w:val="single"/>
        </w:rPr>
      </w:pPr>
    </w:p>
    <w:p w14:paraId="408389FA">
      <w:pPr>
        <w:tabs>
          <w:tab w:val="left" w:pos="840"/>
        </w:tabs>
        <w:snapToGrid w:val="0"/>
        <w:spacing w:line="500" w:lineRule="exact"/>
        <w:jc w:val="center"/>
        <w:rPr>
          <w:rFonts w:hint="eastAsia" w:ascii="仿宋" w:hAnsi="仿宋" w:eastAsia="仿宋" w:cs="仿宋"/>
          <w:color w:val="FFFFFF"/>
          <w:sz w:val="28"/>
          <w:szCs w:val="28"/>
          <w:u w:val="single"/>
        </w:rPr>
      </w:pPr>
    </w:p>
    <w:p w14:paraId="11510F38">
      <w:pPr>
        <w:tabs>
          <w:tab w:val="left" w:pos="840"/>
        </w:tabs>
        <w:snapToGrid w:val="0"/>
        <w:spacing w:line="500" w:lineRule="exact"/>
        <w:jc w:val="center"/>
        <w:rPr>
          <w:rFonts w:hint="eastAsia" w:ascii="仿宋" w:hAnsi="仿宋" w:eastAsia="仿宋" w:cs="仿宋"/>
          <w:color w:val="FFFFFF"/>
          <w:sz w:val="28"/>
          <w:szCs w:val="28"/>
          <w:u w:val="single"/>
        </w:rPr>
      </w:pPr>
    </w:p>
    <w:p w14:paraId="6DC19130">
      <w:pPr>
        <w:tabs>
          <w:tab w:val="left" w:pos="840"/>
        </w:tabs>
        <w:snapToGrid w:val="0"/>
        <w:spacing w:line="500" w:lineRule="exact"/>
        <w:jc w:val="center"/>
        <w:rPr>
          <w:rFonts w:hint="eastAsia" w:ascii="仿宋" w:hAnsi="仿宋" w:eastAsia="仿宋" w:cs="仿宋"/>
          <w:color w:val="FFFFFF"/>
          <w:sz w:val="28"/>
          <w:szCs w:val="28"/>
          <w:u w:val="single"/>
        </w:rPr>
      </w:pPr>
    </w:p>
    <w:p w14:paraId="35EBC0F8">
      <w:pPr>
        <w:tabs>
          <w:tab w:val="left" w:pos="840"/>
        </w:tabs>
        <w:snapToGrid w:val="0"/>
        <w:spacing w:line="500" w:lineRule="exact"/>
        <w:jc w:val="center"/>
        <w:rPr>
          <w:rFonts w:hint="eastAsia" w:ascii="仿宋" w:hAnsi="仿宋" w:eastAsia="仿宋" w:cs="仿宋"/>
          <w:color w:val="FFFFFF"/>
          <w:sz w:val="28"/>
          <w:szCs w:val="28"/>
          <w:u w:val="single"/>
        </w:rPr>
      </w:pPr>
    </w:p>
    <w:p w14:paraId="3056BE8A">
      <w:pPr>
        <w:tabs>
          <w:tab w:val="left" w:pos="840"/>
        </w:tabs>
        <w:snapToGrid w:val="0"/>
        <w:spacing w:line="500" w:lineRule="exact"/>
        <w:jc w:val="center"/>
        <w:rPr>
          <w:rFonts w:hint="eastAsia" w:ascii="仿宋" w:hAnsi="仿宋" w:eastAsia="仿宋" w:cs="仿宋"/>
          <w:color w:val="FFFFFF"/>
          <w:sz w:val="28"/>
          <w:szCs w:val="28"/>
          <w:u w:val="single"/>
        </w:rPr>
      </w:pPr>
    </w:p>
    <w:p w14:paraId="0AD882D0">
      <w:pPr>
        <w:tabs>
          <w:tab w:val="left" w:pos="840"/>
        </w:tabs>
        <w:snapToGrid w:val="0"/>
        <w:spacing w:line="500" w:lineRule="exact"/>
        <w:rPr>
          <w:rFonts w:hint="eastAsia" w:ascii="仿宋" w:hAnsi="仿宋" w:eastAsia="仿宋" w:cs="仿宋"/>
          <w:color w:val="FFFFFF"/>
          <w:sz w:val="28"/>
          <w:szCs w:val="28"/>
          <w:u w:val="single"/>
        </w:rPr>
      </w:pPr>
    </w:p>
    <w:p w14:paraId="2F1F0E66">
      <w:pPr>
        <w:snapToGrid w:val="0"/>
        <w:spacing w:line="500" w:lineRule="exact"/>
        <w:jc w:val="center"/>
        <w:rPr>
          <w:rFonts w:hint="eastAsia" w:ascii="仿宋" w:hAnsi="仿宋" w:eastAsia="仿宋" w:cs="仿宋"/>
          <w:b/>
          <w:bCs/>
          <w:sz w:val="28"/>
          <w:szCs w:val="28"/>
        </w:rPr>
      </w:pPr>
      <w:r>
        <w:rPr>
          <w:rFonts w:hint="eastAsia" w:ascii="仿宋" w:hAnsi="仿宋" w:eastAsia="仿宋" w:cs="仿宋"/>
          <w:b/>
          <w:bCs/>
          <w:sz w:val="28"/>
          <w:szCs w:val="28"/>
        </w:rPr>
        <w:t>商品混凝土采购合同</w:t>
      </w:r>
    </w:p>
    <w:p w14:paraId="557838AB">
      <w:pPr>
        <w:snapToGrid w:val="0"/>
        <w:spacing w:line="500" w:lineRule="exact"/>
        <w:rPr>
          <w:rFonts w:hint="eastAsia" w:ascii="仿宋" w:hAnsi="仿宋" w:eastAsia="仿宋" w:cs="仿宋"/>
          <w:sz w:val="28"/>
          <w:szCs w:val="28"/>
        </w:rPr>
      </w:pPr>
    </w:p>
    <w:p w14:paraId="0022DB41">
      <w:pPr>
        <w:snapToGrid w:val="0"/>
        <w:spacing w:line="500" w:lineRule="exact"/>
        <w:rPr>
          <w:rFonts w:hint="eastAsia" w:ascii="仿宋" w:hAnsi="仿宋" w:eastAsia="仿宋" w:cs="仿宋"/>
          <w:sz w:val="28"/>
          <w:szCs w:val="28"/>
        </w:rPr>
      </w:pPr>
      <w:r>
        <w:rPr>
          <w:rFonts w:hint="eastAsia" w:ascii="仿宋" w:hAnsi="仿宋" w:eastAsia="仿宋" w:cs="仿宋"/>
          <w:sz w:val="28"/>
          <w:szCs w:val="28"/>
        </w:rPr>
        <w:t>甲方：</w:t>
      </w:r>
      <w:r>
        <w:rPr>
          <w:rFonts w:hint="eastAsia" w:ascii="仿宋" w:hAnsi="仿宋" w:eastAsia="仿宋" w:cs="仿宋"/>
          <w:sz w:val="28"/>
          <w:szCs w:val="28"/>
          <w:u w:val="single"/>
        </w:rPr>
        <w:t>凉山州现代房屋建筑集成制造有限公司</w:t>
      </w:r>
      <w:r>
        <w:rPr>
          <w:rFonts w:hint="eastAsia" w:ascii="仿宋" w:hAnsi="仿宋" w:eastAsia="仿宋" w:cs="仿宋"/>
          <w:sz w:val="28"/>
          <w:szCs w:val="28"/>
        </w:rPr>
        <w:t xml:space="preserve">    </w:t>
      </w:r>
      <w:r>
        <w:rPr>
          <w:rFonts w:ascii="仿宋" w:hAnsi="仿宋" w:eastAsia="仿宋" w:cs="仿宋"/>
          <w:sz w:val="28"/>
          <w:szCs w:val="28"/>
        </w:rPr>
        <w:t xml:space="preserve">  </w:t>
      </w:r>
      <w:r>
        <w:rPr>
          <w:rFonts w:hint="eastAsia" w:ascii="仿宋" w:hAnsi="仿宋" w:eastAsia="仿宋" w:cs="仿宋"/>
          <w:sz w:val="28"/>
          <w:szCs w:val="28"/>
        </w:rPr>
        <w:t xml:space="preserve">合同编号：  </w:t>
      </w:r>
    </w:p>
    <w:p w14:paraId="04D34F78">
      <w:pPr>
        <w:snapToGrid w:val="0"/>
        <w:spacing w:line="500" w:lineRule="exact"/>
        <w:jc w:val="left"/>
        <w:rPr>
          <w:rFonts w:hint="eastAsia" w:ascii="仿宋" w:hAnsi="仿宋" w:eastAsia="仿宋" w:cs="仿宋"/>
          <w:sz w:val="28"/>
          <w:szCs w:val="28"/>
        </w:rPr>
      </w:pPr>
      <w:r>
        <w:rPr>
          <w:rFonts w:hint="eastAsia" w:ascii="仿宋" w:hAnsi="仿宋" w:eastAsia="仿宋" w:cs="仿宋"/>
          <w:sz w:val="28"/>
          <w:szCs w:val="28"/>
        </w:rPr>
        <w:t>乙方：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签订地点：西昌市</w:t>
      </w:r>
    </w:p>
    <w:p w14:paraId="410BEB75">
      <w:pPr>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sz w:val="28"/>
          <w:szCs w:val="28"/>
        </w:rPr>
        <w:t>依照《中华人民共和国民法典》及其它相关法律法规的规定，遵循平等、自愿、公平和诚实信用的原则，经双方协商一致，订立本合同，以资共同遵照执行。</w:t>
      </w:r>
    </w:p>
    <w:p w14:paraId="2DE8A35B">
      <w:pPr>
        <w:numPr>
          <w:ilvl w:val="0"/>
          <w:numId w:val="1"/>
        </w:numPr>
        <w:spacing w:line="500" w:lineRule="exact"/>
        <w:rPr>
          <w:rFonts w:hint="eastAsia" w:ascii="仿宋" w:hAnsi="仿宋" w:eastAsia="仿宋" w:cs="仿宋"/>
          <w:b/>
          <w:kern w:val="0"/>
          <w:sz w:val="28"/>
          <w:szCs w:val="28"/>
        </w:rPr>
      </w:pPr>
      <w:r>
        <w:rPr>
          <w:rFonts w:hint="eastAsia" w:ascii="仿宋" w:hAnsi="仿宋" w:eastAsia="仿宋" w:cs="仿宋"/>
          <w:b/>
          <w:kern w:val="0"/>
          <w:sz w:val="28"/>
          <w:szCs w:val="28"/>
        </w:rPr>
        <w:t>物资描述：</w:t>
      </w:r>
    </w:p>
    <w:tbl>
      <w:tblPr>
        <w:tblStyle w:val="6"/>
        <w:tblW w:w="8940" w:type="dxa"/>
        <w:jc w:val="center"/>
        <w:tblLayout w:type="autofit"/>
        <w:tblCellMar>
          <w:top w:w="0" w:type="dxa"/>
          <w:left w:w="108" w:type="dxa"/>
          <w:bottom w:w="0" w:type="dxa"/>
          <w:right w:w="108" w:type="dxa"/>
        </w:tblCellMar>
      </w:tblPr>
      <w:tblGrid>
        <w:gridCol w:w="740"/>
        <w:gridCol w:w="1340"/>
        <w:gridCol w:w="1100"/>
        <w:gridCol w:w="960"/>
        <w:gridCol w:w="960"/>
        <w:gridCol w:w="960"/>
        <w:gridCol w:w="960"/>
        <w:gridCol w:w="960"/>
        <w:gridCol w:w="960"/>
      </w:tblGrid>
      <w:tr w14:paraId="33FAC26C">
        <w:tblPrEx>
          <w:tblCellMar>
            <w:top w:w="0" w:type="dxa"/>
            <w:left w:w="108" w:type="dxa"/>
            <w:bottom w:w="0" w:type="dxa"/>
            <w:right w:w="108" w:type="dxa"/>
          </w:tblCellMar>
        </w:tblPrEx>
        <w:trPr>
          <w:trHeight w:val="490" w:hRule="atLeast"/>
          <w:jc w:val="center"/>
        </w:trPr>
        <w:tc>
          <w:tcPr>
            <w:tcW w:w="740" w:type="dxa"/>
            <w:tcBorders>
              <w:top w:val="single" w:color="auto" w:sz="4" w:space="0"/>
              <w:left w:val="single" w:color="auto" w:sz="4" w:space="0"/>
              <w:bottom w:val="single" w:color="auto" w:sz="4" w:space="0"/>
              <w:right w:val="single" w:color="auto" w:sz="4" w:space="0"/>
            </w:tcBorders>
            <w:noWrap/>
            <w:vAlign w:val="center"/>
          </w:tcPr>
          <w:p w14:paraId="571B7691">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序号</w:t>
            </w:r>
          </w:p>
        </w:tc>
        <w:tc>
          <w:tcPr>
            <w:tcW w:w="1340" w:type="dxa"/>
            <w:tcBorders>
              <w:top w:val="single" w:color="auto" w:sz="4" w:space="0"/>
              <w:left w:val="nil"/>
              <w:bottom w:val="single" w:color="auto" w:sz="4" w:space="0"/>
              <w:right w:val="single" w:color="auto" w:sz="4" w:space="0"/>
            </w:tcBorders>
            <w:noWrap/>
            <w:vAlign w:val="center"/>
          </w:tcPr>
          <w:p w14:paraId="53A06C38">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材料名称</w:t>
            </w:r>
          </w:p>
        </w:tc>
        <w:tc>
          <w:tcPr>
            <w:tcW w:w="1100" w:type="dxa"/>
            <w:tcBorders>
              <w:top w:val="single" w:color="auto" w:sz="4" w:space="0"/>
              <w:left w:val="nil"/>
              <w:bottom w:val="single" w:color="auto" w:sz="4" w:space="0"/>
              <w:right w:val="single" w:color="auto" w:sz="4" w:space="0"/>
            </w:tcBorders>
            <w:noWrap/>
            <w:vAlign w:val="center"/>
          </w:tcPr>
          <w:p w14:paraId="4C648E7D">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规格型号</w:t>
            </w:r>
          </w:p>
        </w:tc>
        <w:tc>
          <w:tcPr>
            <w:tcW w:w="960" w:type="dxa"/>
            <w:tcBorders>
              <w:top w:val="single" w:color="auto" w:sz="4" w:space="0"/>
              <w:left w:val="nil"/>
              <w:bottom w:val="single" w:color="auto" w:sz="4" w:space="0"/>
              <w:right w:val="single" w:color="auto" w:sz="4" w:space="0"/>
            </w:tcBorders>
            <w:noWrap/>
            <w:vAlign w:val="center"/>
          </w:tcPr>
          <w:p w14:paraId="48BB2BB3">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单位</w:t>
            </w:r>
          </w:p>
        </w:tc>
        <w:tc>
          <w:tcPr>
            <w:tcW w:w="960" w:type="dxa"/>
            <w:tcBorders>
              <w:top w:val="single" w:color="auto" w:sz="4" w:space="0"/>
              <w:left w:val="nil"/>
              <w:bottom w:val="single" w:color="auto" w:sz="4" w:space="0"/>
              <w:right w:val="single" w:color="auto" w:sz="4" w:space="0"/>
            </w:tcBorders>
            <w:vAlign w:val="center"/>
          </w:tcPr>
          <w:p w14:paraId="4F884725">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暂定数量</w:t>
            </w:r>
          </w:p>
        </w:tc>
        <w:tc>
          <w:tcPr>
            <w:tcW w:w="960" w:type="dxa"/>
            <w:tcBorders>
              <w:top w:val="single" w:color="auto" w:sz="4" w:space="0"/>
              <w:left w:val="nil"/>
              <w:bottom w:val="single" w:color="auto" w:sz="4" w:space="0"/>
              <w:right w:val="single" w:color="auto" w:sz="4" w:space="0"/>
            </w:tcBorders>
            <w:vAlign w:val="center"/>
          </w:tcPr>
          <w:p w14:paraId="3A1E3D78">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单价</w:t>
            </w:r>
          </w:p>
        </w:tc>
        <w:tc>
          <w:tcPr>
            <w:tcW w:w="960" w:type="dxa"/>
            <w:tcBorders>
              <w:top w:val="single" w:color="auto" w:sz="4" w:space="0"/>
              <w:left w:val="nil"/>
              <w:bottom w:val="single" w:color="auto" w:sz="4" w:space="0"/>
              <w:right w:val="single" w:color="auto" w:sz="4" w:space="0"/>
            </w:tcBorders>
            <w:vAlign w:val="center"/>
          </w:tcPr>
          <w:p w14:paraId="3528F511">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金额</w:t>
            </w:r>
          </w:p>
        </w:tc>
        <w:tc>
          <w:tcPr>
            <w:tcW w:w="960" w:type="dxa"/>
            <w:tcBorders>
              <w:top w:val="single" w:color="auto" w:sz="4" w:space="0"/>
              <w:left w:val="nil"/>
              <w:bottom w:val="single" w:color="auto" w:sz="4" w:space="0"/>
              <w:right w:val="single" w:color="auto" w:sz="4" w:space="0"/>
            </w:tcBorders>
            <w:noWrap/>
            <w:vAlign w:val="center"/>
          </w:tcPr>
          <w:p w14:paraId="7F4E6A29">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供货地点</w:t>
            </w:r>
          </w:p>
        </w:tc>
        <w:tc>
          <w:tcPr>
            <w:tcW w:w="960" w:type="dxa"/>
            <w:tcBorders>
              <w:top w:val="single" w:color="auto" w:sz="4" w:space="0"/>
              <w:left w:val="nil"/>
              <w:bottom w:val="single" w:color="auto" w:sz="4" w:space="0"/>
              <w:right w:val="single" w:color="auto" w:sz="4" w:space="0"/>
            </w:tcBorders>
            <w:noWrap/>
            <w:vAlign w:val="center"/>
          </w:tcPr>
          <w:p w14:paraId="7E4B90B1">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备注</w:t>
            </w:r>
          </w:p>
        </w:tc>
      </w:tr>
      <w:tr w14:paraId="743567EE">
        <w:tblPrEx>
          <w:tblCellMar>
            <w:top w:w="0" w:type="dxa"/>
            <w:left w:w="108" w:type="dxa"/>
            <w:bottom w:w="0" w:type="dxa"/>
            <w:right w:w="108" w:type="dxa"/>
          </w:tblCellMar>
        </w:tblPrEx>
        <w:trPr>
          <w:trHeight w:val="640" w:hRule="atLeast"/>
          <w:jc w:val="center"/>
        </w:trPr>
        <w:tc>
          <w:tcPr>
            <w:tcW w:w="740" w:type="dxa"/>
            <w:tcBorders>
              <w:top w:val="nil"/>
              <w:left w:val="single" w:color="auto" w:sz="4" w:space="0"/>
              <w:bottom w:val="single" w:color="auto" w:sz="4" w:space="0"/>
              <w:right w:val="single" w:color="auto" w:sz="4" w:space="0"/>
            </w:tcBorders>
            <w:noWrap/>
            <w:vAlign w:val="center"/>
          </w:tcPr>
          <w:p w14:paraId="36018745">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1</w:t>
            </w:r>
          </w:p>
        </w:tc>
        <w:tc>
          <w:tcPr>
            <w:tcW w:w="1340" w:type="dxa"/>
            <w:tcBorders>
              <w:top w:val="nil"/>
              <w:left w:val="nil"/>
              <w:bottom w:val="single" w:color="auto" w:sz="4" w:space="0"/>
              <w:right w:val="single" w:color="auto" w:sz="4" w:space="0"/>
            </w:tcBorders>
            <w:noWrap/>
            <w:vAlign w:val="center"/>
          </w:tcPr>
          <w:p w14:paraId="73AF3A54">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商品混凝土</w:t>
            </w:r>
          </w:p>
        </w:tc>
        <w:tc>
          <w:tcPr>
            <w:tcW w:w="1100" w:type="dxa"/>
            <w:tcBorders>
              <w:top w:val="nil"/>
              <w:left w:val="nil"/>
              <w:bottom w:val="single" w:color="auto" w:sz="4" w:space="0"/>
              <w:right w:val="single" w:color="auto" w:sz="4" w:space="0"/>
            </w:tcBorders>
            <w:noWrap/>
            <w:vAlign w:val="center"/>
          </w:tcPr>
          <w:p w14:paraId="245DA7AC">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xml:space="preserve"> C15</w:t>
            </w:r>
          </w:p>
        </w:tc>
        <w:tc>
          <w:tcPr>
            <w:tcW w:w="960" w:type="dxa"/>
            <w:tcBorders>
              <w:top w:val="nil"/>
              <w:left w:val="nil"/>
              <w:bottom w:val="single" w:color="auto" w:sz="4" w:space="0"/>
              <w:right w:val="single" w:color="auto" w:sz="4" w:space="0"/>
            </w:tcBorders>
            <w:noWrap/>
            <w:vAlign w:val="center"/>
          </w:tcPr>
          <w:p w14:paraId="37F62E67">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m3</w:t>
            </w:r>
          </w:p>
        </w:tc>
        <w:tc>
          <w:tcPr>
            <w:tcW w:w="960" w:type="dxa"/>
            <w:tcBorders>
              <w:top w:val="nil"/>
              <w:left w:val="nil"/>
              <w:bottom w:val="single" w:color="auto" w:sz="4" w:space="0"/>
              <w:right w:val="single" w:color="auto" w:sz="4" w:space="0"/>
            </w:tcBorders>
            <w:noWrap/>
            <w:vAlign w:val="center"/>
          </w:tcPr>
          <w:p w14:paraId="7A5EF2BE">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1425</w:t>
            </w:r>
          </w:p>
        </w:tc>
        <w:tc>
          <w:tcPr>
            <w:tcW w:w="960" w:type="dxa"/>
            <w:tcBorders>
              <w:top w:val="nil"/>
              <w:left w:val="nil"/>
              <w:bottom w:val="single" w:color="auto" w:sz="4" w:space="0"/>
              <w:right w:val="single" w:color="auto" w:sz="4" w:space="0"/>
            </w:tcBorders>
            <w:noWrap/>
            <w:vAlign w:val="center"/>
          </w:tcPr>
          <w:p w14:paraId="27934E3F">
            <w:pPr>
              <w:widowControl/>
              <w:jc w:val="center"/>
              <w:rPr>
                <w:rFonts w:hint="eastAsia" w:ascii="宋体" w:hAnsi="宋体" w:cs="宋体"/>
                <w:color w:val="000000"/>
                <w:kern w:val="0"/>
                <w:sz w:val="20"/>
                <w:szCs w:val="20"/>
              </w:rPr>
            </w:pPr>
          </w:p>
        </w:tc>
        <w:tc>
          <w:tcPr>
            <w:tcW w:w="960" w:type="dxa"/>
            <w:tcBorders>
              <w:top w:val="nil"/>
              <w:left w:val="nil"/>
              <w:bottom w:val="single" w:color="auto" w:sz="4" w:space="0"/>
              <w:right w:val="single" w:color="auto" w:sz="4" w:space="0"/>
            </w:tcBorders>
            <w:noWrap/>
            <w:vAlign w:val="center"/>
          </w:tcPr>
          <w:p w14:paraId="592D9E07">
            <w:pPr>
              <w:widowControl/>
              <w:jc w:val="center"/>
              <w:rPr>
                <w:rFonts w:hint="eastAsia" w:ascii="宋体" w:hAnsi="宋体" w:cs="宋体"/>
                <w:color w:val="000000"/>
                <w:kern w:val="0"/>
                <w:sz w:val="20"/>
                <w:szCs w:val="20"/>
              </w:rPr>
            </w:pPr>
          </w:p>
        </w:tc>
        <w:tc>
          <w:tcPr>
            <w:tcW w:w="960" w:type="dxa"/>
            <w:vMerge w:val="restart"/>
            <w:tcBorders>
              <w:top w:val="nil"/>
              <w:left w:val="single" w:color="auto" w:sz="4" w:space="0"/>
              <w:bottom w:val="single" w:color="auto" w:sz="4" w:space="0"/>
              <w:right w:val="single" w:color="auto" w:sz="4" w:space="0"/>
            </w:tcBorders>
            <w:vAlign w:val="center"/>
          </w:tcPr>
          <w:p w14:paraId="461455E6">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会理市鱼鲊村</w:t>
            </w:r>
          </w:p>
        </w:tc>
        <w:tc>
          <w:tcPr>
            <w:tcW w:w="960" w:type="dxa"/>
            <w:vMerge w:val="restart"/>
            <w:tcBorders>
              <w:top w:val="nil"/>
              <w:left w:val="single" w:color="auto" w:sz="4" w:space="0"/>
              <w:bottom w:val="single" w:color="auto" w:sz="4" w:space="0"/>
              <w:right w:val="single" w:color="auto" w:sz="4" w:space="0"/>
            </w:tcBorders>
            <w:vAlign w:val="center"/>
          </w:tcPr>
          <w:p w14:paraId="15302CDA">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混凝土材料费税率为13%，运费税率为9%，泵送费税率为6%。</w:t>
            </w:r>
          </w:p>
        </w:tc>
      </w:tr>
      <w:tr w14:paraId="5D639A46">
        <w:tblPrEx>
          <w:tblCellMar>
            <w:top w:w="0" w:type="dxa"/>
            <w:left w:w="108" w:type="dxa"/>
            <w:bottom w:w="0" w:type="dxa"/>
            <w:right w:w="108" w:type="dxa"/>
          </w:tblCellMar>
        </w:tblPrEx>
        <w:trPr>
          <w:trHeight w:val="640" w:hRule="atLeast"/>
          <w:jc w:val="center"/>
        </w:trPr>
        <w:tc>
          <w:tcPr>
            <w:tcW w:w="740" w:type="dxa"/>
            <w:tcBorders>
              <w:top w:val="nil"/>
              <w:left w:val="single" w:color="auto" w:sz="4" w:space="0"/>
              <w:bottom w:val="single" w:color="auto" w:sz="4" w:space="0"/>
              <w:right w:val="single" w:color="auto" w:sz="4" w:space="0"/>
            </w:tcBorders>
            <w:noWrap/>
            <w:vAlign w:val="center"/>
          </w:tcPr>
          <w:p w14:paraId="3FE11344">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2</w:t>
            </w:r>
          </w:p>
        </w:tc>
        <w:tc>
          <w:tcPr>
            <w:tcW w:w="1340" w:type="dxa"/>
            <w:tcBorders>
              <w:top w:val="nil"/>
              <w:left w:val="nil"/>
              <w:bottom w:val="single" w:color="auto" w:sz="4" w:space="0"/>
              <w:right w:val="single" w:color="auto" w:sz="4" w:space="0"/>
            </w:tcBorders>
            <w:noWrap/>
            <w:vAlign w:val="center"/>
          </w:tcPr>
          <w:p w14:paraId="38ACF0A5">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商品混凝土</w:t>
            </w:r>
          </w:p>
        </w:tc>
        <w:tc>
          <w:tcPr>
            <w:tcW w:w="1100" w:type="dxa"/>
            <w:tcBorders>
              <w:top w:val="nil"/>
              <w:left w:val="nil"/>
              <w:bottom w:val="single" w:color="auto" w:sz="4" w:space="0"/>
              <w:right w:val="single" w:color="auto" w:sz="4" w:space="0"/>
            </w:tcBorders>
            <w:noWrap/>
            <w:vAlign w:val="center"/>
          </w:tcPr>
          <w:p w14:paraId="5D98B4B8">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C20</w:t>
            </w:r>
          </w:p>
        </w:tc>
        <w:tc>
          <w:tcPr>
            <w:tcW w:w="960" w:type="dxa"/>
            <w:tcBorders>
              <w:top w:val="nil"/>
              <w:left w:val="nil"/>
              <w:bottom w:val="single" w:color="auto" w:sz="4" w:space="0"/>
              <w:right w:val="single" w:color="auto" w:sz="4" w:space="0"/>
            </w:tcBorders>
            <w:noWrap/>
            <w:vAlign w:val="center"/>
          </w:tcPr>
          <w:p w14:paraId="4659DB53">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m3</w:t>
            </w:r>
          </w:p>
        </w:tc>
        <w:tc>
          <w:tcPr>
            <w:tcW w:w="960" w:type="dxa"/>
            <w:tcBorders>
              <w:top w:val="nil"/>
              <w:left w:val="nil"/>
              <w:bottom w:val="single" w:color="auto" w:sz="4" w:space="0"/>
              <w:right w:val="single" w:color="auto" w:sz="4" w:space="0"/>
            </w:tcBorders>
            <w:noWrap/>
            <w:vAlign w:val="center"/>
          </w:tcPr>
          <w:p w14:paraId="003FC8E3">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2965</w:t>
            </w:r>
          </w:p>
        </w:tc>
        <w:tc>
          <w:tcPr>
            <w:tcW w:w="960" w:type="dxa"/>
            <w:tcBorders>
              <w:top w:val="nil"/>
              <w:left w:val="nil"/>
              <w:bottom w:val="single" w:color="auto" w:sz="4" w:space="0"/>
              <w:right w:val="single" w:color="auto" w:sz="4" w:space="0"/>
            </w:tcBorders>
            <w:noWrap/>
            <w:vAlign w:val="center"/>
          </w:tcPr>
          <w:p w14:paraId="2A0A55C1">
            <w:pPr>
              <w:widowControl/>
              <w:jc w:val="center"/>
              <w:rPr>
                <w:rFonts w:hint="eastAsia" w:ascii="宋体" w:hAnsi="宋体" w:cs="宋体"/>
                <w:color w:val="000000"/>
                <w:kern w:val="0"/>
                <w:sz w:val="20"/>
                <w:szCs w:val="20"/>
              </w:rPr>
            </w:pPr>
          </w:p>
        </w:tc>
        <w:tc>
          <w:tcPr>
            <w:tcW w:w="960" w:type="dxa"/>
            <w:tcBorders>
              <w:top w:val="nil"/>
              <w:left w:val="nil"/>
              <w:bottom w:val="single" w:color="auto" w:sz="4" w:space="0"/>
              <w:right w:val="single" w:color="auto" w:sz="4" w:space="0"/>
            </w:tcBorders>
            <w:noWrap/>
            <w:vAlign w:val="center"/>
          </w:tcPr>
          <w:p w14:paraId="698883CF">
            <w:pPr>
              <w:widowControl/>
              <w:jc w:val="center"/>
              <w:rPr>
                <w:rFonts w:hint="eastAsia" w:ascii="宋体" w:hAnsi="宋体" w:cs="宋体"/>
                <w:color w:val="000000"/>
                <w:kern w:val="0"/>
                <w:sz w:val="20"/>
                <w:szCs w:val="20"/>
              </w:rPr>
            </w:pPr>
          </w:p>
        </w:tc>
        <w:tc>
          <w:tcPr>
            <w:tcW w:w="960" w:type="dxa"/>
            <w:vMerge w:val="continue"/>
            <w:tcBorders>
              <w:top w:val="nil"/>
              <w:left w:val="single" w:color="auto" w:sz="4" w:space="0"/>
              <w:bottom w:val="single" w:color="auto" w:sz="4" w:space="0"/>
              <w:right w:val="single" w:color="auto" w:sz="4" w:space="0"/>
            </w:tcBorders>
            <w:vAlign w:val="center"/>
          </w:tcPr>
          <w:p w14:paraId="35359B5A">
            <w:pPr>
              <w:widowControl/>
              <w:jc w:val="left"/>
              <w:rPr>
                <w:rFonts w:hint="eastAsia" w:ascii="宋体" w:hAnsi="宋体" w:cs="宋体"/>
                <w:color w:val="000000"/>
                <w:kern w:val="0"/>
                <w:sz w:val="20"/>
                <w:szCs w:val="20"/>
              </w:rPr>
            </w:pPr>
          </w:p>
        </w:tc>
        <w:tc>
          <w:tcPr>
            <w:tcW w:w="960" w:type="dxa"/>
            <w:vMerge w:val="continue"/>
            <w:tcBorders>
              <w:top w:val="nil"/>
              <w:left w:val="single" w:color="auto" w:sz="4" w:space="0"/>
              <w:bottom w:val="single" w:color="auto" w:sz="4" w:space="0"/>
              <w:right w:val="single" w:color="auto" w:sz="4" w:space="0"/>
            </w:tcBorders>
            <w:vAlign w:val="center"/>
          </w:tcPr>
          <w:p w14:paraId="6495AEE6">
            <w:pPr>
              <w:widowControl/>
              <w:jc w:val="left"/>
              <w:rPr>
                <w:rFonts w:hint="eastAsia" w:ascii="宋体" w:hAnsi="宋体" w:cs="宋体"/>
                <w:color w:val="000000"/>
                <w:kern w:val="0"/>
                <w:sz w:val="20"/>
                <w:szCs w:val="20"/>
              </w:rPr>
            </w:pPr>
          </w:p>
        </w:tc>
      </w:tr>
      <w:tr w14:paraId="19E492CB">
        <w:tblPrEx>
          <w:tblCellMar>
            <w:top w:w="0" w:type="dxa"/>
            <w:left w:w="108" w:type="dxa"/>
            <w:bottom w:w="0" w:type="dxa"/>
            <w:right w:w="108" w:type="dxa"/>
          </w:tblCellMar>
        </w:tblPrEx>
        <w:trPr>
          <w:trHeight w:val="640" w:hRule="atLeast"/>
          <w:jc w:val="center"/>
        </w:trPr>
        <w:tc>
          <w:tcPr>
            <w:tcW w:w="740" w:type="dxa"/>
            <w:tcBorders>
              <w:top w:val="nil"/>
              <w:left w:val="single" w:color="auto" w:sz="4" w:space="0"/>
              <w:bottom w:val="single" w:color="auto" w:sz="4" w:space="0"/>
              <w:right w:val="single" w:color="auto" w:sz="4" w:space="0"/>
            </w:tcBorders>
            <w:noWrap/>
            <w:vAlign w:val="center"/>
          </w:tcPr>
          <w:p w14:paraId="51225EC6">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3</w:t>
            </w:r>
          </w:p>
        </w:tc>
        <w:tc>
          <w:tcPr>
            <w:tcW w:w="1340" w:type="dxa"/>
            <w:tcBorders>
              <w:top w:val="nil"/>
              <w:left w:val="nil"/>
              <w:bottom w:val="single" w:color="auto" w:sz="4" w:space="0"/>
              <w:right w:val="single" w:color="auto" w:sz="4" w:space="0"/>
            </w:tcBorders>
            <w:noWrap/>
            <w:vAlign w:val="center"/>
          </w:tcPr>
          <w:p w14:paraId="2E9AA8A0">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商品混凝土</w:t>
            </w:r>
          </w:p>
        </w:tc>
        <w:tc>
          <w:tcPr>
            <w:tcW w:w="1100" w:type="dxa"/>
            <w:tcBorders>
              <w:top w:val="nil"/>
              <w:left w:val="nil"/>
              <w:bottom w:val="single" w:color="auto" w:sz="4" w:space="0"/>
              <w:right w:val="single" w:color="auto" w:sz="4" w:space="0"/>
            </w:tcBorders>
            <w:noWrap/>
            <w:vAlign w:val="center"/>
          </w:tcPr>
          <w:p w14:paraId="7E43BBAB">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C25</w:t>
            </w:r>
          </w:p>
        </w:tc>
        <w:tc>
          <w:tcPr>
            <w:tcW w:w="960" w:type="dxa"/>
            <w:tcBorders>
              <w:top w:val="nil"/>
              <w:left w:val="nil"/>
              <w:bottom w:val="single" w:color="auto" w:sz="4" w:space="0"/>
              <w:right w:val="single" w:color="auto" w:sz="4" w:space="0"/>
            </w:tcBorders>
            <w:noWrap/>
            <w:vAlign w:val="center"/>
          </w:tcPr>
          <w:p w14:paraId="07837C25">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m3</w:t>
            </w:r>
          </w:p>
        </w:tc>
        <w:tc>
          <w:tcPr>
            <w:tcW w:w="960" w:type="dxa"/>
            <w:tcBorders>
              <w:top w:val="nil"/>
              <w:left w:val="nil"/>
              <w:bottom w:val="single" w:color="auto" w:sz="4" w:space="0"/>
              <w:right w:val="single" w:color="auto" w:sz="4" w:space="0"/>
            </w:tcBorders>
            <w:noWrap/>
            <w:vAlign w:val="center"/>
          </w:tcPr>
          <w:p w14:paraId="5A3E5601">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1630</w:t>
            </w:r>
          </w:p>
        </w:tc>
        <w:tc>
          <w:tcPr>
            <w:tcW w:w="960" w:type="dxa"/>
            <w:tcBorders>
              <w:top w:val="nil"/>
              <w:left w:val="nil"/>
              <w:bottom w:val="single" w:color="auto" w:sz="4" w:space="0"/>
              <w:right w:val="single" w:color="auto" w:sz="4" w:space="0"/>
            </w:tcBorders>
            <w:noWrap/>
            <w:vAlign w:val="center"/>
          </w:tcPr>
          <w:p w14:paraId="247657E8">
            <w:pPr>
              <w:widowControl/>
              <w:jc w:val="center"/>
              <w:rPr>
                <w:rFonts w:hint="eastAsia" w:ascii="宋体" w:hAnsi="宋体" w:cs="宋体"/>
                <w:color w:val="000000"/>
                <w:kern w:val="0"/>
                <w:sz w:val="20"/>
                <w:szCs w:val="20"/>
              </w:rPr>
            </w:pPr>
          </w:p>
        </w:tc>
        <w:tc>
          <w:tcPr>
            <w:tcW w:w="960" w:type="dxa"/>
            <w:tcBorders>
              <w:top w:val="nil"/>
              <w:left w:val="nil"/>
              <w:bottom w:val="single" w:color="auto" w:sz="4" w:space="0"/>
              <w:right w:val="single" w:color="auto" w:sz="4" w:space="0"/>
            </w:tcBorders>
            <w:noWrap/>
            <w:vAlign w:val="center"/>
          </w:tcPr>
          <w:p w14:paraId="6B171634">
            <w:pPr>
              <w:widowControl/>
              <w:jc w:val="center"/>
              <w:rPr>
                <w:rFonts w:hint="eastAsia" w:ascii="宋体" w:hAnsi="宋体" w:cs="宋体"/>
                <w:color w:val="000000"/>
                <w:kern w:val="0"/>
                <w:sz w:val="20"/>
                <w:szCs w:val="20"/>
              </w:rPr>
            </w:pPr>
          </w:p>
        </w:tc>
        <w:tc>
          <w:tcPr>
            <w:tcW w:w="960" w:type="dxa"/>
            <w:vMerge w:val="continue"/>
            <w:tcBorders>
              <w:top w:val="nil"/>
              <w:left w:val="single" w:color="auto" w:sz="4" w:space="0"/>
              <w:bottom w:val="single" w:color="auto" w:sz="4" w:space="0"/>
              <w:right w:val="single" w:color="auto" w:sz="4" w:space="0"/>
            </w:tcBorders>
            <w:vAlign w:val="center"/>
          </w:tcPr>
          <w:p w14:paraId="6FBBA832">
            <w:pPr>
              <w:widowControl/>
              <w:jc w:val="left"/>
              <w:rPr>
                <w:rFonts w:hint="eastAsia" w:ascii="宋体" w:hAnsi="宋体" w:cs="宋体"/>
                <w:color w:val="000000"/>
                <w:kern w:val="0"/>
                <w:sz w:val="20"/>
                <w:szCs w:val="20"/>
              </w:rPr>
            </w:pPr>
          </w:p>
        </w:tc>
        <w:tc>
          <w:tcPr>
            <w:tcW w:w="960" w:type="dxa"/>
            <w:vMerge w:val="continue"/>
            <w:tcBorders>
              <w:top w:val="nil"/>
              <w:left w:val="single" w:color="auto" w:sz="4" w:space="0"/>
              <w:bottom w:val="single" w:color="auto" w:sz="4" w:space="0"/>
              <w:right w:val="single" w:color="auto" w:sz="4" w:space="0"/>
            </w:tcBorders>
            <w:vAlign w:val="center"/>
          </w:tcPr>
          <w:p w14:paraId="0D30882B">
            <w:pPr>
              <w:widowControl/>
              <w:jc w:val="left"/>
              <w:rPr>
                <w:rFonts w:hint="eastAsia" w:ascii="宋体" w:hAnsi="宋体" w:cs="宋体"/>
                <w:color w:val="000000"/>
                <w:kern w:val="0"/>
                <w:sz w:val="20"/>
                <w:szCs w:val="20"/>
              </w:rPr>
            </w:pPr>
          </w:p>
        </w:tc>
      </w:tr>
      <w:tr w14:paraId="0175FE7C">
        <w:tblPrEx>
          <w:tblCellMar>
            <w:top w:w="0" w:type="dxa"/>
            <w:left w:w="108" w:type="dxa"/>
            <w:bottom w:w="0" w:type="dxa"/>
            <w:right w:w="108" w:type="dxa"/>
          </w:tblCellMar>
        </w:tblPrEx>
        <w:trPr>
          <w:trHeight w:val="640" w:hRule="atLeast"/>
          <w:jc w:val="center"/>
        </w:trPr>
        <w:tc>
          <w:tcPr>
            <w:tcW w:w="740" w:type="dxa"/>
            <w:tcBorders>
              <w:top w:val="nil"/>
              <w:left w:val="single" w:color="auto" w:sz="4" w:space="0"/>
              <w:bottom w:val="single" w:color="auto" w:sz="4" w:space="0"/>
              <w:right w:val="single" w:color="auto" w:sz="4" w:space="0"/>
            </w:tcBorders>
            <w:noWrap/>
            <w:vAlign w:val="center"/>
          </w:tcPr>
          <w:p w14:paraId="70E03FEC">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4</w:t>
            </w:r>
          </w:p>
        </w:tc>
        <w:tc>
          <w:tcPr>
            <w:tcW w:w="1340" w:type="dxa"/>
            <w:tcBorders>
              <w:top w:val="nil"/>
              <w:left w:val="nil"/>
              <w:bottom w:val="single" w:color="auto" w:sz="4" w:space="0"/>
              <w:right w:val="single" w:color="auto" w:sz="4" w:space="0"/>
            </w:tcBorders>
            <w:noWrap/>
            <w:vAlign w:val="center"/>
          </w:tcPr>
          <w:p w14:paraId="66013A31">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商品混凝土</w:t>
            </w:r>
          </w:p>
        </w:tc>
        <w:tc>
          <w:tcPr>
            <w:tcW w:w="1100" w:type="dxa"/>
            <w:tcBorders>
              <w:top w:val="nil"/>
              <w:left w:val="nil"/>
              <w:bottom w:val="single" w:color="auto" w:sz="4" w:space="0"/>
              <w:right w:val="single" w:color="auto" w:sz="4" w:space="0"/>
            </w:tcBorders>
            <w:noWrap/>
            <w:vAlign w:val="center"/>
          </w:tcPr>
          <w:p w14:paraId="58225493">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C30</w:t>
            </w:r>
          </w:p>
        </w:tc>
        <w:tc>
          <w:tcPr>
            <w:tcW w:w="960" w:type="dxa"/>
            <w:tcBorders>
              <w:top w:val="nil"/>
              <w:left w:val="nil"/>
              <w:bottom w:val="single" w:color="auto" w:sz="4" w:space="0"/>
              <w:right w:val="single" w:color="auto" w:sz="4" w:space="0"/>
            </w:tcBorders>
            <w:noWrap/>
            <w:vAlign w:val="center"/>
          </w:tcPr>
          <w:p w14:paraId="38135F06">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m3</w:t>
            </w:r>
          </w:p>
        </w:tc>
        <w:tc>
          <w:tcPr>
            <w:tcW w:w="960" w:type="dxa"/>
            <w:tcBorders>
              <w:top w:val="nil"/>
              <w:left w:val="nil"/>
              <w:bottom w:val="single" w:color="auto" w:sz="4" w:space="0"/>
              <w:right w:val="single" w:color="auto" w:sz="4" w:space="0"/>
            </w:tcBorders>
            <w:noWrap/>
            <w:vAlign w:val="center"/>
          </w:tcPr>
          <w:p w14:paraId="5A3137EE">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1985</w:t>
            </w:r>
          </w:p>
        </w:tc>
        <w:tc>
          <w:tcPr>
            <w:tcW w:w="960" w:type="dxa"/>
            <w:tcBorders>
              <w:top w:val="nil"/>
              <w:left w:val="nil"/>
              <w:bottom w:val="single" w:color="auto" w:sz="4" w:space="0"/>
              <w:right w:val="single" w:color="auto" w:sz="4" w:space="0"/>
            </w:tcBorders>
            <w:noWrap/>
            <w:vAlign w:val="center"/>
          </w:tcPr>
          <w:p w14:paraId="2D3B7BA1">
            <w:pPr>
              <w:widowControl/>
              <w:jc w:val="center"/>
              <w:rPr>
                <w:rFonts w:hint="eastAsia" w:ascii="宋体" w:hAnsi="宋体" w:cs="宋体"/>
                <w:color w:val="000000"/>
                <w:kern w:val="0"/>
                <w:sz w:val="20"/>
                <w:szCs w:val="20"/>
              </w:rPr>
            </w:pPr>
          </w:p>
        </w:tc>
        <w:tc>
          <w:tcPr>
            <w:tcW w:w="960" w:type="dxa"/>
            <w:tcBorders>
              <w:top w:val="nil"/>
              <w:left w:val="nil"/>
              <w:bottom w:val="single" w:color="auto" w:sz="4" w:space="0"/>
              <w:right w:val="single" w:color="auto" w:sz="4" w:space="0"/>
            </w:tcBorders>
            <w:noWrap/>
            <w:vAlign w:val="center"/>
          </w:tcPr>
          <w:p w14:paraId="5E02A4FB">
            <w:pPr>
              <w:widowControl/>
              <w:jc w:val="center"/>
              <w:rPr>
                <w:rFonts w:hint="eastAsia" w:ascii="宋体" w:hAnsi="宋体" w:cs="宋体"/>
                <w:color w:val="000000"/>
                <w:kern w:val="0"/>
                <w:sz w:val="20"/>
                <w:szCs w:val="20"/>
              </w:rPr>
            </w:pPr>
          </w:p>
        </w:tc>
        <w:tc>
          <w:tcPr>
            <w:tcW w:w="960" w:type="dxa"/>
            <w:vMerge w:val="continue"/>
            <w:tcBorders>
              <w:top w:val="nil"/>
              <w:left w:val="single" w:color="auto" w:sz="4" w:space="0"/>
              <w:bottom w:val="single" w:color="auto" w:sz="4" w:space="0"/>
              <w:right w:val="single" w:color="auto" w:sz="4" w:space="0"/>
            </w:tcBorders>
            <w:vAlign w:val="center"/>
          </w:tcPr>
          <w:p w14:paraId="268014B1">
            <w:pPr>
              <w:widowControl/>
              <w:jc w:val="left"/>
              <w:rPr>
                <w:rFonts w:hint="eastAsia" w:ascii="宋体" w:hAnsi="宋体" w:cs="宋体"/>
                <w:color w:val="000000"/>
                <w:kern w:val="0"/>
                <w:sz w:val="20"/>
                <w:szCs w:val="20"/>
              </w:rPr>
            </w:pPr>
          </w:p>
        </w:tc>
        <w:tc>
          <w:tcPr>
            <w:tcW w:w="960" w:type="dxa"/>
            <w:vMerge w:val="continue"/>
            <w:tcBorders>
              <w:top w:val="nil"/>
              <w:left w:val="single" w:color="auto" w:sz="4" w:space="0"/>
              <w:bottom w:val="single" w:color="auto" w:sz="4" w:space="0"/>
              <w:right w:val="single" w:color="auto" w:sz="4" w:space="0"/>
            </w:tcBorders>
            <w:vAlign w:val="center"/>
          </w:tcPr>
          <w:p w14:paraId="1AA6862C">
            <w:pPr>
              <w:widowControl/>
              <w:jc w:val="left"/>
              <w:rPr>
                <w:rFonts w:hint="eastAsia" w:ascii="宋体" w:hAnsi="宋体" w:cs="宋体"/>
                <w:color w:val="000000"/>
                <w:kern w:val="0"/>
                <w:sz w:val="20"/>
                <w:szCs w:val="20"/>
              </w:rPr>
            </w:pPr>
          </w:p>
        </w:tc>
      </w:tr>
      <w:tr w14:paraId="15F1228A">
        <w:tblPrEx>
          <w:tblCellMar>
            <w:top w:w="0" w:type="dxa"/>
            <w:left w:w="108" w:type="dxa"/>
            <w:bottom w:w="0" w:type="dxa"/>
            <w:right w:w="108" w:type="dxa"/>
          </w:tblCellMar>
        </w:tblPrEx>
        <w:trPr>
          <w:trHeight w:val="640" w:hRule="atLeast"/>
          <w:jc w:val="center"/>
        </w:trPr>
        <w:tc>
          <w:tcPr>
            <w:tcW w:w="740" w:type="dxa"/>
            <w:tcBorders>
              <w:top w:val="nil"/>
              <w:left w:val="single" w:color="auto" w:sz="4" w:space="0"/>
              <w:bottom w:val="single" w:color="auto" w:sz="4" w:space="0"/>
              <w:right w:val="single" w:color="auto" w:sz="4" w:space="0"/>
            </w:tcBorders>
            <w:noWrap/>
            <w:vAlign w:val="center"/>
          </w:tcPr>
          <w:p w14:paraId="26B08CE0">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5</w:t>
            </w:r>
          </w:p>
        </w:tc>
        <w:tc>
          <w:tcPr>
            <w:tcW w:w="1340" w:type="dxa"/>
            <w:tcBorders>
              <w:top w:val="nil"/>
              <w:left w:val="nil"/>
              <w:bottom w:val="single" w:color="auto" w:sz="4" w:space="0"/>
              <w:right w:val="single" w:color="auto" w:sz="4" w:space="0"/>
            </w:tcBorders>
            <w:noWrap/>
            <w:vAlign w:val="center"/>
          </w:tcPr>
          <w:p w14:paraId="5E193F32">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商品混凝土</w:t>
            </w:r>
          </w:p>
        </w:tc>
        <w:tc>
          <w:tcPr>
            <w:tcW w:w="1100" w:type="dxa"/>
            <w:tcBorders>
              <w:top w:val="nil"/>
              <w:left w:val="nil"/>
              <w:bottom w:val="single" w:color="auto" w:sz="4" w:space="0"/>
              <w:right w:val="single" w:color="auto" w:sz="4" w:space="0"/>
            </w:tcBorders>
            <w:noWrap/>
            <w:vAlign w:val="center"/>
          </w:tcPr>
          <w:p w14:paraId="099A53FF">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C35</w:t>
            </w:r>
          </w:p>
        </w:tc>
        <w:tc>
          <w:tcPr>
            <w:tcW w:w="960" w:type="dxa"/>
            <w:tcBorders>
              <w:top w:val="nil"/>
              <w:left w:val="nil"/>
              <w:bottom w:val="single" w:color="auto" w:sz="4" w:space="0"/>
              <w:right w:val="single" w:color="auto" w:sz="4" w:space="0"/>
            </w:tcBorders>
            <w:noWrap/>
            <w:vAlign w:val="center"/>
          </w:tcPr>
          <w:p w14:paraId="00950BF2">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m3</w:t>
            </w:r>
          </w:p>
        </w:tc>
        <w:tc>
          <w:tcPr>
            <w:tcW w:w="960" w:type="dxa"/>
            <w:tcBorders>
              <w:top w:val="nil"/>
              <w:left w:val="nil"/>
              <w:bottom w:val="single" w:color="auto" w:sz="4" w:space="0"/>
              <w:right w:val="single" w:color="auto" w:sz="4" w:space="0"/>
            </w:tcBorders>
            <w:noWrap/>
            <w:vAlign w:val="center"/>
          </w:tcPr>
          <w:p w14:paraId="70F80021">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480</w:t>
            </w:r>
          </w:p>
        </w:tc>
        <w:tc>
          <w:tcPr>
            <w:tcW w:w="960" w:type="dxa"/>
            <w:tcBorders>
              <w:top w:val="nil"/>
              <w:left w:val="nil"/>
              <w:bottom w:val="single" w:color="auto" w:sz="4" w:space="0"/>
              <w:right w:val="single" w:color="auto" w:sz="4" w:space="0"/>
            </w:tcBorders>
            <w:noWrap/>
            <w:vAlign w:val="center"/>
          </w:tcPr>
          <w:p w14:paraId="7529DB30">
            <w:pPr>
              <w:widowControl/>
              <w:jc w:val="center"/>
              <w:rPr>
                <w:rFonts w:hint="eastAsia" w:ascii="宋体" w:hAnsi="宋体" w:cs="宋体"/>
                <w:color w:val="000000"/>
                <w:kern w:val="0"/>
                <w:sz w:val="20"/>
                <w:szCs w:val="20"/>
              </w:rPr>
            </w:pPr>
          </w:p>
        </w:tc>
        <w:tc>
          <w:tcPr>
            <w:tcW w:w="960" w:type="dxa"/>
            <w:tcBorders>
              <w:top w:val="nil"/>
              <w:left w:val="nil"/>
              <w:bottom w:val="single" w:color="auto" w:sz="4" w:space="0"/>
              <w:right w:val="single" w:color="auto" w:sz="4" w:space="0"/>
            </w:tcBorders>
            <w:noWrap/>
            <w:vAlign w:val="center"/>
          </w:tcPr>
          <w:p w14:paraId="61CAA6B6">
            <w:pPr>
              <w:widowControl/>
              <w:jc w:val="center"/>
              <w:rPr>
                <w:rFonts w:hint="eastAsia" w:ascii="宋体" w:hAnsi="宋体" w:cs="宋体"/>
                <w:color w:val="000000"/>
                <w:kern w:val="0"/>
                <w:sz w:val="20"/>
                <w:szCs w:val="20"/>
              </w:rPr>
            </w:pPr>
          </w:p>
        </w:tc>
        <w:tc>
          <w:tcPr>
            <w:tcW w:w="960" w:type="dxa"/>
            <w:vMerge w:val="continue"/>
            <w:tcBorders>
              <w:top w:val="nil"/>
              <w:left w:val="single" w:color="auto" w:sz="4" w:space="0"/>
              <w:bottom w:val="single" w:color="auto" w:sz="4" w:space="0"/>
              <w:right w:val="single" w:color="auto" w:sz="4" w:space="0"/>
            </w:tcBorders>
            <w:vAlign w:val="center"/>
          </w:tcPr>
          <w:p w14:paraId="366A9213">
            <w:pPr>
              <w:widowControl/>
              <w:jc w:val="left"/>
              <w:rPr>
                <w:rFonts w:hint="eastAsia" w:ascii="宋体" w:hAnsi="宋体" w:cs="宋体"/>
                <w:color w:val="000000"/>
                <w:kern w:val="0"/>
                <w:sz w:val="20"/>
                <w:szCs w:val="20"/>
              </w:rPr>
            </w:pPr>
          </w:p>
        </w:tc>
        <w:tc>
          <w:tcPr>
            <w:tcW w:w="960" w:type="dxa"/>
            <w:vMerge w:val="continue"/>
            <w:tcBorders>
              <w:top w:val="nil"/>
              <w:left w:val="single" w:color="auto" w:sz="4" w:space="0"/>
              <w:bottom w:val="single" w:color="auto" w:sz="4" w:space="0"/>
              <w:right w:val="single" w:color="auto" w:sz="4" w:space="0"/>
            </w:tcBorders>
            <w:vAlign w:val="center"/>
          </w:tcPr>
          <w:p w14:paraId="3172A358">
            <w:pPr>
              <w:widowControl/>
              <w:jc w:val="left"/>
              <w:rPr>
                <w:rFonts w:hint="eastAsia" w:ascii="宋体" w:hAnsi="宋体" w:cs="宋体"/>
                <w:color w:val="000000"/>
                <w:kern w:val="0"/>
                <w:sz w:val="20"/>
                <w:szCs w:val="20"/>
              </w:rPr>
            </w:pPr>
          </w:p>
        </w:tc>
      </w:tr>
      <w:tr w14:paraId="73FAE668">
        <w:trPr>
          <w:trHeight w:val="640" w:hRule="atLeast"/>
          <w:jc w:val="center"/>
        </w:trPr>
        <w:tc>
          <w:tcPr>
            <w:tcW w:w="740" w:type="dxa"/>
            <w:tcBorders>
              <w:top w:val="nil"/>
              <w:left w:val="single" w:color="auto" w:sz="4" w:space="0"/>
              <w:bottom w:val="single" w:color="auto" w:sz="4" w:space="0"/>
              <w:right w:val="single" w:color="auto" w:sz="4" w:space="0"/>
            </w:tcBorders>
            <w:noWrap/>
            <w:vAlign w:val="center"/>
          </w:tcPr>
          <w:p w14:paraId="5EC6CB1E">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6</w:t>
            </w:r>
          </w:p>
        </w:tc>
        <w:tc>
          <w:tcPr>
            <w:tcW w:w="1340" w:type="dxa"/>
            <w:tcBorders>
              <w:top w:val="nil"/>
              <w:left w:val="nil"/>
              <w:bottom w:val="single" w:color="auto" w:sz="4" w:space="0"/>
              <w:right w:val="single" w:color="auto" w:sz="4" w:space="0"/>
            </w:tcBorders>
            <w:noWrap/>
            <w:vAlign w:val="center"/>
          </w:tcPr>
          <w:p w14:paraId="0B6B2694">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商品混凝土</w:t>
            </w:r>
          </w:p>
        </w:tc>
        <w:tc>
          <w:tcPr>
            <w:tcW w:w="1100" w:type="dxa"/>
            <w:tcBorders>
              <w:top w:val="nil"/>
              <w:left w:val="nil"/>
              <w:bottom w:val="single" w:color="auto" w:sz="4" w:space="0"/>
              <w:right w:val="single" w:color="auto" w:sz="4" w:space="0"/>
            </w:tcBorders>
            <w:vAlign w:val="center"/>
          </w:tcPr>
          <w:p w14:paraId="28B3A5BA">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xml:space="preserve"> C40无收缩细石</w:t>
            </w:r>
          </w:p>
        </w:tc>
        <w:tc>
          <w:tcPr>
            <w:tcW w:w="960" w:type="dxa"/>
            <w:tcBorders>
              <w:top w:val="nil"/>
              <w:left w:val="nil"/>
              <w:bottom w:val="single" w:color="auto" w:sz="4" w:space="0"/>
              <w:right w:val="single" w:color="auto" w:sz="4" w:space="0"/>
            </w:tcBorders>
            <w:noWrap/>
            <w:vAlign w:val="center"/>
          </w:tcPr>
          <w:p w14:paraId="0EE99F9F">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m3</w:t>
            </w:r>
          </w:p>
        </w:tc>
        <w:tc>
          <w:tcPr>
            <w:tcW w:w="960" w:type="dxa"/>
            <w:tcBorders>
              <w:top w:val="nil"/>
              <w:left w:val="nil"/>
              <w:bottom w:val="single" w:color="auto" w:sz="4" w:space="0"/>
              <w:right w:val="single" w:color="auto" w:sz="4" w:space="0"/>
            </w:tcBorders>
            <w:noWrap/>
            <w:vAlign w:val="center"/>
          </w:tcPr>
          <w:p w14:paraId="339D6271">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5</w:t>
            </w:r>
          </w:p>
        </w:tc>
        <w:tc>
          <w:tcPr>
            <w:tcW w:w="960" w:type="dxa"/>
            <w:tcBorders>
              <w:top w:val="nil"/>
              <w:left w:val="nil"/>
              <w:bottom w:val="single" w:color="auto" w:sz="4" w:space="0"/>
              <w:right w:val="single" w:color="auto" w:sz="4" w:space="0"/>
            </w:tcBorders>
            <w:noWrap/>
            <w:vAlign w:val="center"/>
          </w:tcPr>
          <w:p w14:paraId="37D64E10">
            <w:pPr>
              <w:widowControl/>
              <w:jc w:val="center"/>
              <w:rPr>
                <w:rFonts w:hint="eastAsia" w:ascii="宋体" w:hAnsi="宋体" w:cs="宋体"/>
                <w:color w:val="000000"/>
                <w:kern w:val="0"/>
                <w:sz w:val="20"/>
                <w:szCs w:val="20"/>
              </w:rPr>
            </w:pPr>
          </w:p>
        </w:tc>
        <w:tc>
          <w:tcPr>
            <w:tcW w:w="960" w:type="dxa"/>
            <w:tcBorders>
              <w:top w:val="nil"/>
              <w:left w:val="nil"/>
              <w:bottom w:val="single" w:color="auto" w:sz="4" w:space="0"/>
              <w:right w:val="single" w:color="auto" w:sz="4" w:space="0"/>
            </w:tcBorders>
            <w:noWrap/>
            <w:vAlign w:val="center"/>
          </w:tcPr>
          <w:p w14:paraId="337D7A74">
            <w:pPr>
              <w:widowControl/>
              <w:jc w:val="center"/>
              <w:rPr>
                <w:rFonts w:hint="eastAsia" w:ascii="宋体" w:hAnsi="宋体" w:cs="宋体"/>
                <w:color w:val="000000"/>
                <w:kern w:val="0"/>
                <w:sz w:val="20"/>
                <w:szCs w:val="20"/>
              </w:rPr>
            </w:pPr>
          </w:p>
        </w:tc>
        <w:tc>
          <w:tcPr>
            <w:tcW w:w="960" w:type="dxa"/>
            <w:vMerge w:val="continue"/>
            <w:tcBorders>
              <w:top w:val="nil"/>
              <w:left w:val="single" w:color="auto" w:sz="4" w:space="0"/>
              <w:bottom w:val="single" w:color="auto" w:sz="4" w:space="0"/>
              <w:right w:val="single" w:color="auto" w:sz="4" w:space="0"/>
            </w:tcBorders>
            <w:vAlign w:val="center"/>
          </w:tcPr>
          <w:p w14:paraId="6FCF8848">
            <w:pPr>
              <w:widowControl/>
              <w:jc w:val="left"/>
              <w:rPr>
                <w:rFonts w:hint="eastAsia" w:ascii="宋体" w:hAnsi="宋体" w:cs="宋体"/>
                <w:color w:val="000000"/>
                <w:kern w:val="0"/>
                <w:sz w:val="20"/>
                <w:szCs w:val="20"/>
              </w:rPr>
            </w:pPr>
          </w:p>
        </w:tc>
        <w:tc>
          <w:tcPr>
            <w:tcW w:w="960" w:type="dxa"/>
            <w:vMerge w:val="continue"/>
            <w:tcBorders>
              <w:top w:val="nil"/>
              <w:left w:val="single" w:color="auto" w:sz="4" w:space="0"/>
              <w:bottom w:val="single" w:color="auto" w:sz="4" w:space="0"/>
              <w:right w:val="single" w:color="auto" w:sz="4" w:space="0"/>
            </w:tcBorders>
            <w:vAlign w:val="center"/>
          </w:tcPr>
          <w:p w14:paraId="07AC31B0">
            <w:pPr>
              <w:widowControl/>
              <w:jc w:val="left"/>
              <w:rPr>
                <w:rFonts w:hint="eastAsia" w:ascii="宋体" w:hAnsi="宋体" w:cs="宋体"/>
                <w:color w:val="000000"/>
                <w:kern w:val="0"/>
                <w:sz w:val="20"/>
                <w:szCs w:val="20"/>
              </w:rPr>
            </w:pPr>
          </w:p>
        </w:tc>
      </w:tr>
      <w:tr w14:paraId="75691238">
        <w:tblPrEx>
          <w:tblCellMar>
            <w:top w:w="0" w:type="dxa"/>
            <w:left w:w="108" w:type="dxa"/>
            <w:bottom w:w="0" w:type="dxa"/>
            <w:right w:w="108" w:type="dxa"/>
          </w:tblCellMar>
        </w:tblPrEx>
        <w:trPr>
          <w:trHeight w:val="640" w:hRule="atLeast"/>
          <w:jc w:val="center"/>
        </w:trPr>
        <w:tc>
          <w:tcPr>
            <w:tcW w:w="740" w:type="dxa"/>
            <w:tcBorders>
              <w:top w:val="nil"/>
              <w:left w:val="single" w:color="auto" w:sz="4" w:space="0"/>
              <w:bottom w:val="single" w:color="auto" w:sz="4" w:space="0"/>
              <w:right w:val="single" w:color="auto" w:sz="4" w:space="0"/>
            </w:tcBorders>
            <w:noWrap/>
            <w:vAlign w:val="center"/>
          </w:tcPr>
          <w:p w14:paraId="7B6609D5">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7</w:t>
            </w:r>
          </w:p>
        </w:tc>
        <w:tc>
          <w:tcPr>
            <w:tcW w:w="1340" w:type="dxa"/>
            <w:tcBorders>
              <w:top w:val="nil"/>
              <w:left w:val="nil"/>
              <w:bottom w:val="single" w:color="auto" w:sz="4" w:space="0"/>
              <w:right w:val="single" w:color="auto" w:sz="4" w:space="0"/>
            </w:tcBorders>
            <w:noWrap/>
            <w:vAlign w:val="center"/>
          </w:tcPr>
          <w:p w14:paraId="14941982">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运输费</w:t>
            </w:r>
          </w:p>
        </w:tc>
        <w:tc>
          <w:tcPr>
            <w:tcW w:w="1100" w:type="dxa"/>
            <w:tcBorders>
              <w:top w:val="nil"/>
              <w:left w:val="nil"/>
              <w:bottom w:val="single" w:color="auto" w:sz="4" w:space="0"/>
              <w:right w:val="single" w:color="auto" w:sz="4" w:space="0"/>
            </w:tcBorders>
            <w:vAlign w:val="center"/>
          </w:tcPr>
          <w:p w14:paraId="10A33DB6">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60" w:type="dxa"/>
            <w:tcBorders>
              <w:top w:val="nil"/>
              <w:left w:val="nil"/>
              <w:bottom w:val="single" w:color="auto" w:sz="4" w:space="0"/>
              <w:right w:val="single" w:color="auto" w:sz="4" w:space="0"/>
            </w:tcBorders>
            <w:noWrap/>
            <w:vAlign w:val="center"/>
          </w:tcPr>
          <w:p w14:paraId="61832C68">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m3</w:t>
            </w:r>
          </w:p>
        </w:tc>
        <w:tc>
          <w:tcPr>
            <w:tcW w:w="960" w:type="dxa"/>
            <w:tcBorders>
              <w:top w:val="nil"/>
              <w:left w:val="nil"/>
              <w:bottom w:val="single" w:color="auto" w:sz="4" w:space="0"/>
              <w:right w:val="single" w:color="auto" w:sz="4" w:space="0"/>
            </w:tcBorders>
            <w:noWrap/>
            <w:vAlign w:val="center"/>
          </w:tcPr>
          <w:p w14:paraId="004B81F4">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8490</w:t>
            </w:r>
          </w:p>
        </w:tc>
        <w:tc>
          <w:tcPr>
            <w:tcW w:w="960" w:type="dxa"/>
            <w:tcBorders>
              <w:top w:val="nil"/>
              <w:left w:val="nil"/>
              <w:bottom w:val="single" w:color="auto" w:sz="4" w:space="0"/>
              <w:right w:val="single" w:color="auto" w:sz="4" w:space="0"/>
            </w:tcBorders>
            <w:noWrap/>
            <w:vAlign w:val="center"/>
          </w:tcPr>
          <w:p w14:paraId="6BC51DE4">
            <w:pPr>
              <w:widowControl/>
              <w:jc w:val="center"/>
              <w:rPr>
                <w:rFonts w:hint="eastAsia" w:ascii="宋体" w:hAnsi="宋体" w:cs="宋体"/>
                <w:color w:val="000000"/>
                <w:kern w:val="0"/>
                <w:sz w:val="20"/>
                <w:szCs w:val="20"/>
              </w:rPr>
            </w:pPr>
          </w:p>
        </w:tc>
        <w:tc>
          <w:tcPr>
            <w:tcW w:w="960" w:type="dxa"/>
            <w:tcBorders>
              <w:top w:val="nil"/>
              <w:left w:val="nil"/>
              <w:bottom w:val="single" w:color="auto" w:sz="4" w:space="0"/>
              <w:right w:val="single" w:color="auto" w:sz="4" w:space="0"/>
            </w:tcBorders>
            <w:noWrap/>
            <w:vAlign w:val="center"/>
          </w:tcPr>
          <w:p w14:paraId="0418B323">
            <w:pPr>
              <w:widowControl/>
              <w:jc w:val="center"/>
              <w:rPr>
                <w:rFonts w:hint="eastAsia" w:ascii="宋体" w:hAnsi="宋体" w:cs="宋体"/>
                <w:color w:val="000000"/>
                <w:kern w:val="0"/>
                <w:sz w:val="20"/>
                <w:szCs w:val="20"/>
              </w:rPr>
            </w:pPr>
          </w:p>
        </w:tc>
        <w:tc>
          <w:tcPr>
            <w:tcW w:w="960" w:type="dxa"/>
            <w:vMerge w:val="continue"/>
            <w:tcBorders>
              <w:top w:val="nil"/>
              <w:left w:val="single" w:color="auto" w:sz="4" w:space="0"/>
              <w:bottom w:val="single" w:color="auto" w:sz="4" w:space="0"/>
              <w:right w:val="single" w:color="auto" w:sz="4" w:space="0"/>
            </w:tcBorders>
            <w:vAlign w:val="center"/>
          </w:tcPr>
          <w:p w14:paraId="429CF897">
            <w:pPr>
              <w:widowControl/>
              <w:jc w:val="left"/>
              <w:rPr>
                <w:rFonts w:hint="eastAsia" w:ascii="宋体" w:hAnsi="宋体" w:cs="宋体"/>
                <w:color w:val="000000"/>
                <w:kern w:val="0"/>
                <w:sz w:val="20"/>
                <w:szCs w:val="20"/>
              </w:rPr>
            </w:pPr>
          </w:p>
        </w:tc>
        <w:tc>
          <w:tcPr>
            <w:tcW w:w="960" w:type="dxa"/>
            <w:vMerge w:val="continue"/>
            <w:tcBorders>
              <w:top w:val="nil"/>
              <w:left w:val="single" w:color="auto" w:sz="4" w:space="0"/>
              <w:bottom w:val="single" w:color="auto" w:sz="4" w:space="0"/>
              <w:right w:val="single" w:color="auto" w:sz="4" w:space="0"/>
            </w:tcBorders>
            <w:vAlign w:val="center"/>
          </w:tcPr>
          <w:p w14:paraId="1AF99F83">
            <w:pPr>
              <w:widowControl/>
              <w:jc w:val="left"/>
              <w:rPr>
                <w:rFonts w:hint="eastAsia" w:ascii="宋体" w:hAnsi="宋体" w:cs="宋体"/>
                <w:color w:val="000000"/>
                <w:kern w:val="0"/>
                <w:sz w:val="20"/>
                <w:szCs w:val="20"/>
              </w:rPr>
            </w:pPr>
          </w:p>
        </w:tc>
      </w:tr>
      <w:tr w14:paraId="46092E55">
        <w:tblPrEx>
          <w:tblCellMar>
            <w:top w:w="0" w:type="dxa"/>
            <w:left w:w="108" w:type="dxa"/>
            <w:bottom w:w="0" w:type="dxa"/>
            <w:right w:w="108" w:type="dxa"/>
          </w:tblCellMar>
        </w:tblPrEx>
        <w:trPr>
          <w:trHeight w:val="640" w:hRule="atLeast"/>
          <w:jc w:val="center"/>
        </w:trPr>
        <w:tc>
          <w:tcPr>
            <w:tcW w:w="740" w:type="dxa"/>
            <w:tcBorders>
              <w:top w:val="nil"/>
              <w:left w:val="single" w:color="auto" w:sz="4" w:space="0"/>
              <w:bottom w:val="single" w:color="auto" w:sz="4" w:space="0"/>
              <w:right w:val="single" w:color="auto" w:sz="4" w:space="0"/>
            </w:tcBorders>
            <w:noWrap/>
            <w:vAlign w:val="center"/>
          </w:tcPr>
          <w:p w14:paraId="5AECDFEF">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8</w:t>
            </w:r>
          </w:p>
        </w:tc>
        <w:tc>
          <w:tcPr>
            <w:tcW w:w="1340" w:type="dxa"/>
            <w:tcBorders>
              <w:top w:val="nil"/>
              <w:left w:val="nil"/>
              <w:bottom w:val="single" w:color="auto" w:sz="4" w:space="0"/>
              <w:right w:val="single" w:color="auto" w:sz="4" w:space="0"/>
            </w:tcBorders>
            <w:noWrap/>
            <w:vAlign w:val="center"/>
          </w:tcPr>
          <w:p w14:paraId="4C57BBC0">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泵送费</w:t>
            </w:r>
          </w:p>
        </w:tc>
        <w:tc>
          <w:tcPr>
            <w:tcW w:w="1100" w:type="dxa"/>
            <w:tcBorders>
              <w:top w:val="nil"/>
              <w:left w:val="nil"/>
              <w:bottom w:val="single" w:color="auto" w:sz="4" w:space="0"/>
              <w:right w:val="single" w:color="auto" w:sz="4" w:space="0"/>
            </w:tcBorders>
            <w:vAlign w:val="center"/>
          </w:tcPr>
          <w:p w14:paraId="5CCA8C1D">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　</w:t>
            </w:r>
          </w:p>
        </w:tc>
        <w:tc>
          <w:tcPr>
            <w:tcW w:w="960" w:type="dxa"/>
            <w:tcBorders>
              <w:top w:val="nil"/>
              <w:left w:val="nil"/>
              <w:bottom w:val="single" w:color="auto" w:sz="4" w:space="0"/>
              <w:right w:val="single" w:color="auto" w:sz="4" w:space="0"/>
            </w:tcBorders>
            <w:noWrap/>
            <w:vAlign w:val="center"/>
          </w:tcPr>
          <w:p w14:paraId="616E2CCB">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m3</w:t>
            </w:r>
          </w:p>
        </w:tc>
        <w:tc>
          <w:tcPr>
            <w:tcW w:w="960" w:type="dxa"/>
            <w:tcBorders>
              <w:top w:val="nil"/>
              <w:left w:val="nil"/>
              <w:bottom w:val="single" w:color="auto" w:sz="4" w:space="0"/>
              <w:right w:val="single" w:color="auto" w:sz="4" w:space="0"/>
            </w:tcBorders>
            <w:noWrap/>
            <w:vAlign w:val="center"/>
          </w:tcPr>
          <w:p w14:paraId="5AB9560A">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8490</w:t>
            </w:r>
          </w:p>
        </w:tc>
        <w:tc>
          <w:tcPr>
            <w:tcW w:w="960" w:type="dxa"/>
            <w:tcBorders>
              <w:top w:val="nil"/>
              <w:left w:val="nil"/>
              <w:bottom w:val="single" w:color="auto" w:sz="4" w:space="0"/>
              <w:right w:val="single" w:color="auto" w:sz="4" w:space="0"/>
            </w:tcBorders>
            <w:noWrap/>
            <w:vAlign w:val="center"/>
          </w:tcPr>
          <w:p w14:paraId="1326A5DC">
            <w:pPr>
              <w:widowControl/>
              <w:jc w:val="center"/>
              <w:rPr>
                <w:rFonts w:hint="eastAsia" w:ascii="宋体" w:hAnsi="宋体" w:cs="宋体"/>
                <w:color w:val="000000"/>
                <w:kern w:val="0"/>
                <w:sz w:val="20"/>
                <w:szCs w:val="20"/>
              </w:rPr>
            </w:pPr>
          </w:p>
        </w:tc>
        <w:tc>
          <w:tcPr>
            <w:tcW w:w="960" w:type="dxa"/>
            <w:tcBorders>
              <w:top w:val="nil"/>
              <w:left w:val="nil"/>
              <w:bottom w:val="single" w:color="auto" w:sz="4" w:space="0"/>
              <w:right w:val="single" w:color="auto" w:sz="4" w:space="0"/>
            </w:tcBorders>
            <w:noWrap/>
            <w:vAlign w:val="center"/>
          </w:tcPr>
          <w:p w14:paraId="4CB5B5CC">
            <w:pPr>
              <w:widowControl/>
              <w:jc w:val="center"/>
              <w:rPr>
                <w:rFonts w:hint="eastAsia" w:ascii="宋体" w:hAnsi="宋体" w:cs="宋体"/>
                <w:color w:val="000000"/>
                <w:kern w:val="0"/>
                <w:sz w:val="20"/>
                <w:szCs w:val="20"/>
              </w:rPr>
            </w:pPr>
          </w:p>
        </w:tc>
        <w:tc>
          <w:tcPr>
            <w:tcW w:w="960" w:type="dxa"/>
            <w:vMerge w:val="continue"/>
            <w:tcBorders>
              <w:top w:val="nil"/>
              <w:left w:val="single" w:color="auto" w:sz="4" w:space="0"/>
              <w:bottom w:val="single" w:color="auto" w:sz="4" w:space="0"/>
              <w:right w:val="single" w:color="auto" w:sz="4" w:space="0"/>
            </w:tcBorders>
            <w:vAlign w:val="center"/>
          </w:tcPr>
          <w:p w14:paraId="720C3AE2">
            <w:pPr>
              <w:widowControl/>
              <w:jc w:val="left"/>
              <w:rPr>
                <w:rFonts w:hint="eastAsia" w:ascii="宋体" w:hAnsi="宋体" w:cs="宋体"/>
                <w:color w:val="000000"/>
                <w:kern w:val="0"/>
                <w:sz w:val="20"/>
                <w:szCs w:val="20"/>
              </w:rPr>
            </w:pPr>
          </w:p>
        </w:tc>
        <w:tc>
          <w:tcPr>
            <w:tcW w:w="960" w:type="dxa"/>
            <w:vMerge w:val="continue"/>
            <w:tcBorders>
              <w:top w:val="nil"/>
              <w:left w:val="single" w:color="auto" w:sz="4" w:space="0"/>
              <w:bottom w:val="single" w:color="auto" w:sz="4" w:space="0"/>
              <w:right w:val="single" w:color="auto" w:sz="4" w:space="0"/>
            </w:tcBorders>
            <w:vAlign w:val="center"/>
          </w:tcPr>
          <w:p w14:paraId="5A3BDFE5">
            <w:pPr>
              <w:widowControl/>
              <w:jc w:val="left"/>
              <w:rPr>
                <w:rFonts w:hint="eastAsia" w:ascii="宋体" w:hAnsi="宋体" w:cs="宋体"/>
                <w:color w:val="000000"/>
                <w:kern w:val="0"/>
                <w:sz w:val="20"/>
                <w:szCs w:val="20"/>
              </w:rPr>
            </w:pPr>
          </w:p>
        </w:tc>
      </w:tr>
      <w:tr w14:paraId="76A62824">
        <w:tblPrEx>
          <w:tblCellMar>
            <w:top w:w="0" w:type="dxa"/>
            <w:left w:w="108" w:type="dxa"/>
            <w:bottom w:w="0" w:type="dxa"/>
            <w:right w:w="108" w:type="dxa"/>
          </w:tblCellMar>
        </w:tblPrEx>
        <w:trPr>
          <w:trHeight w:val="640" w:hRule="atLeast"/>
          <w:jc w:val="center"/>
        </w:trPr>
        <w:tc>
          <w:tcPr>
            <w:tcW w:w="740" w:type="dxa"/>
            <w:tcBorders>
              <w:top w:val="nil"/>
              <w:left w:val="single" w:color="auto" w:sz="4" w:space="0"/>
              <w:bottom w:val="single" w:color="auto" w:sz="4" w:space="0"/>
              <w:right w:val="single" w:color="auto" w:sz="4" w:space="0"/>
            </w:tcBorders>
            <w:noWrap/>
            <w:vAlign w:val="center"/>
          </w:tcPr>
          <w:p w14:paraId="69433A0F">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9</w:t>
            </w:r>
          </w:p>
        </w:tc>
        <w:tc>
          <w:tcPr>
            <w:tcW w:w="8200" w:type="dxa"/>
            <w:gridSpan w:val="8"/>
            <w:tcBorders>
              <w:top w:val="nil"/>
              <w:left w:val="nil"/>
              <w:bottom w:val="single" w:color="auto" w:sz="4" w:space="0"/>
              <w:right w:val="single" w:color="auto" w:sz="4" w:space="0"/>
            </w:tcBorders>
            <w:noWrap/>
            <w:vAlign w:val="center"/>
          </w:tcPr>
          <w:p w14:paraId="2BB5C07C">
            <w:pPr>
              <w:widowControl/>
              <w:jc w:val="left"/>
              <w:rPr>
                <w:rFonts w:hint="eastAsia" w:ascii="宋体" w:hAnsi="宋体" w:cs="宋体"/>
                <w:color w:val="000000"/>
                <w:kern w:val="0"/>
                <w:sz w:val="20"/>
                <w:szCs w:val="20"/>
              </w:rPr>
            </w:pPr>
            <w:r>
              <w:rPr>
                <w:rFonts w:hint="eastAsia" w:ascii="宋体" w:hAnsi="宋体" w:cs="宋体"/>
                <w:b/>
                <w:bCs/>
                <w:color w:val="000000" w:themeColor="text1"/>
                <w:kern w:val="0"/>
                <w:szCs w:val="21"/>
                <w:lang w:bidi="ar"/>
                <w14:textFill>
                  <w14:solidFill>
                    <w14:schemeClr w14:val="tx1"/>
                  </w14:solidFill>
                </w14:textFill>
              </w:rPr>
              <w:t>合计（总金额</w:t>
            </w:r>
            <w:r>
              <w:rPr>
                <w:rStyle w:val="14"/>
                <w:rFonts w:hint="default"/>
                <w:color w:val="000000" w:themeColor="text1"/>
                <w:lang w:bidi="ar"/>
                <w14:textFill>
                  <w14:solidFill>
                    <w14:schemeClr w14:val="tx1"/>
                  </w14:solidFill>
                </w14:textFill>
              </w:rPr>
              <w:t>）：</w:t>
            </w:r>
            <w:r>
              <w:rPr>
                <w:rStyle w:val="15"/>
                <w:rFonts w:hint="default"/>
                <w:color w:val="000000" w:themeColor="text1"/>
                <w:lang w:bidi="ar"/>
                <w14:textFill>
                  <w14:solidFill>
                    <w14:schemeClr w14:val="tx1"/>
                  </w14:solidFill>
                </w14:textFill>
              </w:rPr>
              <w:t xml:space="preserve"> </w:t>
            </w:r>
            <w:r>
              <w:rPr>
                <w:rStyle w:val="16"/>
                <w:rFonts w:hint="default"/>
                <w:color w:val="000000" w:themeColor="text1"/>
                <w:lang w:bidi="ar"/>
                <w14:textFill>
                  <w14:solidFill>
                    <w14:schemeClr w14:val="tx1"/>
                  </w14:solidFill>
                </w14:textFill>
              </w:rPr>
              <w:t xml:space="preserve">             元  </w:t>
            </w:r>
            <w:r>
              <w:rPr>
                <w:rStyle w:val="15"/>
                <w:rFonts w:hint="default"/>
                <w:color w:val="000000" w:themeColor="text1"/>
                <w:lang w:bidi="ar"/>
                <w14:textFill>
                  <w14:solidFill>
                    <w14:schemeClr w14:val="tx1"/>
                  </w14:solidFill>
                </w14:textFill>
              </w:rPr>
              <w:t xml:space="preserve"> 大写金额：</w:t>
            </w:r>
            <w:r>
              <w:rPr>
                <w:rStyle w:val="16"/>
                <w:rFonts w:hint="default"/>
                <w:color w:val="000000" w:themeColor="text1"/>
                <w:lang w:bidi="ar"/>
                <w14:textFill>
                  <w14:solidFill>
                    <w14:schemeClr w14:val="tx1"/>
                  </w14:solidFill>
                </w14:textFill>
              </w:rPr>
              <w:t xml:space="preserve">                 </w:t>
            </w:r>
          </w:p>
        </w:tc>
      </w:tr>
      <w:tr w14:paraId="5488B9F2">
        <w:tblPrEx>
          <w:tblCellMar>
            <w:top w:w="0" w:type="dxa"/>
            <w:left w:w="108" w:type="dxa"/>
            <w:bottom w:w="0" w:type="dxa"/>
            <w:right w:w="108" w:type="dxa"/>
          </w:tblCellMar>
        </w:tblPrEx>
        <w:trPr>
          <w:trHeight w:val="1490" w:hRule="atLeast"/>
          <w:jc w:val="center"/>
        </w:trPr>
        <w:tc>
          <w:tcPr>
            <w:tcW w:w="8940" w:type="dxa"/>
            <w:gridSpan w:val="9"/>
            <w:tcBorders>
              <w:top w:val="single" w:color="auto" w:sz="4" w:space="0"/>
              <w:left w:val="single" w:color="auto" w:sz="4" w:space="0"/>
              <w:bottom w:val="single" w:color="auto" w:sz="4" w:space="0"/>
              <w:right w:val="single" w:color="000000" w:sz="4" w:space="0"/>
            </w:tcBorders>
            <w:shd w:val="clear" w:color="000000" w:fill="FFFFFF"/>
            <w:vAlign w:val="center"/>
          </w:tcPr>
          <w:p w14:paraId="153855F7">
            <w:pPr>
              <w:widowControl/>
              <w:textAlignment w:val="center"/>
              <w:rPr>
                <w:rFonts w:hint="eastAsia" w:ascii="宋体" w:hAnsi="宋体" w:cs="宋体"/>
                <w:color w:val="000000" w:themeColor="text1"/>
                <w:kern w:val="0"/>
                <w:sz w:val="24"/>
                <w:lang w:bidi="ar"/>
                <w14:textFill>
                  <w14:solidFill>
                    <w14:schemeClr w14:val="tx1"/>
                  </w14:solidFill>
                </w14:textFill>
              </w:rPr>
            </w:pPr>
            <w:r>
              <w:rPr>
                <w:rFonts w:hint="eastAsia" w:ascii="宋体" w:hAnsi="宋体" w:cs="宋体"/>
                <w:b/>
                <w:bCs/>
                <w:color w:val="000000" w:themeColor="text1"/>
                <w:kern w:val="0"/>
                <w:sz w:val="24"/>
                <w:lang w:bidi="ar"/>
                <w14:textFill>
                  <w14:solidFill>
                    <w14:schemeClr w14:val="tx1"/>
                  </w14:solidFill>
                </w14:textFill>
              </w:rPr>
              <w:t>备注：</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1、商品混凝土综合单价含水泥、砂、石等主要原材料。混凝土材料费含13%，运费含9%，泵送费含6%增值税专用发票（不含税金额：</w:t>
            </w:r>
            <w:r>
              <w:rPr>
                <w:rFonts w:hint="eastAsia" w:ascii="宋体" w:hAnsi="宋体" w:cs="宋体"/>
                <w:color w:val="000000" w:themeColor="text1"/>
                <w:kern w:val="0"/>
                <w:sz w:val="24"/>
                <w:u w:val="single"/>
                <w:lang w:bidi="ar"/>
                <w14:textFill>
                  <w14:solidFill>
                    <w14:schemeClr w14:val="tx1"/>
                  </w14:solidFill>
                </w14:textFill>
              </w:rPr>
              <w:t xml:space="preserve">           </w:t>
            </w:r>
            <w:r>
              <w:rPr>
                <w:rFonts w:hint="eastAsia" w:ascii="宋体" w:hAnsi="宋体" w:cs="宋体"/>
                <w:color w:val="000000" w:themeColor="text1"/>
                <w:kern w:val="0"/>
                <w:sz w:val="24"/>
                <w:lang w:bidi="ar"/>
                <w14:textFill>
                  <w14:solidFill>
                    <w14:schemeClr w14:val="tx1"/>
                  </w14:solidFill>
                </w14:textFill>
              </w:rPr>
              <w:t>元 ，税额：</w:t>
            </w:r>
            <w:r>
              <w:rPr>
                <w:rFonts w:hint="eastAsia" w:ascii="宋体" w:hAnsi="宋体" w:cs="宋体"/>
                <w:color w:val="000000" w:themeColor="text1"/>
                <w:kern w:val="0"/>
                <w:sz w:val="24"/>
                <w:u w:val="single"/>
                <w:lang w:bidi="ar"/>
                <w14:textFill>
                  <w14:solidFill>
                    <w14:schemeClr w14:val="tx1"/>
                  </w14:solidFill>
                </w14:textFill>
              </w:rPr>
              <w:t xml:space="preserve">       </w:t>
            </w:r>
            <w:r>
              <w:rPr>
                <w:rFonts w:hint="eastAsia" w:ascii="宋体" w:hAnsi="宋体" w:cs="宋体"/>
                <w:color w:val="000000" w:themeColor="text1"/>
                <w:kern w:val="0"/>
                <w:sz w:val="24"/>
                <w:lang w:bidi="ar"/>
                <w14:textFill>
                  <w14:solidFill>
                    <w14:schemeClr w14:val="tx1"/>
                  </w14:solidFill>
                </w14:textFill>
              </w:rPr>
              <w:t xml:space="preserve">元） ；缓凝剂，防冻剂包含于混凝土材料综合单价中，不另外计价。缓凝剂、防冻剂等由乙方综合考虑，包含在综合单价中，不作调整； </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2、执行标准：应执行现行有效的《预拌混凝土》（GB/T 14902）、《混凝土结构工程施工质量验收规范》（GB50204）、《混凝土强度检验评定标准》（GB/T 50l07）等相关标准;</w:t>
            </w:r>
          </w:p>
          <w:p w14:paraId="2D469775">
            <w:pPr>
              <w:widowControl/>
              <w:textAlignment w:val="center"/>
              <w:rPr>
                <w:rFonts w:hint="eastAsia" w:ascii="宋体" w:hAnsi="宋体" w:cs="宋体"/>
                <w:color w:val="000000" w:themeColor="text1"/>
                <w:kern w:val="0"/>
                <w:sz w:val="24"/>
                <w:lang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3、每车运输费最少以8m3计量，如不足8m3的按8m3收取；混凝土到现场后需于2小时内浇筑完毕，如超出2小时则收取每车混凝土200元/小时的超时费；</w:t>
            </w:r>
          </w:p>
          <w:p w14:paraId="5F5ED7C6">
            <w:pPr>
              <w:widowControl/>
              <w:jc w:val="left"/>
              <w:rPr>
                <w:rFonts w:hint="eastAsia" w:ascii="宋体" w:hAnsi="宋体" w:cs="宋体"/>
                <w:color w:val="000000"/>
                <w:kern w:val="0"/>
                <w:sz w:val="20"/>
                <w:szCs w:val="20"/>
              </w:rPr>
            </w:pPr>
            <w:r>
              <w:rPr>
                <w:rFonts w:hint="eastAsia" w:ascii="宋体" w:hAnsi="宋体" w:cs="宋体"/>
                <w:color w:val="000000" w:themeColor="text1"/>
                <w:kern w:val="0"/>
                <w:sz w:val="24"/>
                <w:lang w:bidi="ar"/>
                <w14:textFill>
                  <w14:solidFill>
                    <w14:schemeClr w14:val="tx1"/>
                  </w14:solidFill>
                </w14:textFill>
              </w:rPr>
              <w:t>4、如需泵送时，每次浇筑不足100 m³，泵送费按100 m³计算，如因甲方原因造成浇筑超过6小时，每超1小时加收500元泵送费；</w:t>
            </w:r>
            <w:r>
              <w:rPr>
                <w:rFonts w:hint="eastAsia" w:ascii="宋体" w:hAnsi="宋体" w:cs="宋体"/>
                <w:color w:val="000000" w:themeColor="text1"/>
                <w:kern w:val="0"/>
                <w:sz w:val="24"/>
                <w:lang w:bidi="ar"/>
                <w14:textFill>
                  <w14:solidFill>
                    <w14:schemeClr w14:val="tx1"/>
                  </w14:solidFill>
                </w14:textFill>
              </w:rPr>
              <w:br w:type="textWrapping"/>
            </w:r>
            <w:r>
              <w:rPr>
                <w:rFonts w:hint="eastAsia" w:ascii="宋体" w:hAnsi="宋体" w:cs="宋体"/>
                <w:color w:val="000000" w:themeColor="text1"/>
                <w:kern w:val="0"/>
                <w:sz w:val="24"/>
                <w:lang w:bidi="ar"/>
                <w14:textFill>
                  <w14:solidFill>
                    <w14:schemeClr w14:val="tx1"/>
                  </w14:solidFill>
                </w14:textFill>
              </w:rPr>
              <w:t>5、上述数量为暂定数量，最终以项目实际供应数量为准进行结算；</w:t>
            </w:r>
          </w:p>
        </w:tc>
      </w:tr>
    </w:tbl>
    <w:p w14:paraId="604A6931">
      <w:pPr>
        <w:spacing w:line="500" w:lineRule="exact"/>
        <w:rPr>
          <w:rFonts w:hint="eastAsia" w:ascii="仿宋" w:hAnsi="仿宋" w:eastAsia="仿宋" w:cs="仿宋"/>
          <w:sz w:val="28"/>
          <w:szCs w:val="28"/>
        </w:rPr>
      </w:pPr>
      <w:r>
        <w:rPr>
          <w:rFonts w:hint="eastAsia" w:ascii="仿宋" w:hAnsi="仿宋" w:eastAsia="仿宋" w:cs="仿宋"/>
          <w:b/>
          <w:sz w:val="28"/>
          <w:szCs w:val="28"/>
        </w:rPr>
        <w:t>二、物资技术质量要求</w:t>
      </w:r>
      <w:r>
        <w:rPr>
          <w:rFonts w:hint="eastAsia" w:ascii="仿宋" w:hAnsi="仿宋" w:eastAsia="仿宋" w:cs="仿宋"/>
          <w:sz w:val="28"/>
          <w:szCs w:val="28"/>
        </w:rPr>
        <w:t>：</w:t>
      </w:r>
    </w:p>
    <w:p w14:paraId="21B25AC3">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乙方提供的物资必须符合现行国家标准的要求，乙方提供的随货附带材质证明书和合格证书以及甲方明确要求的质量证明资料，并且资料应加盖乙方公章。</w:t>
      </w:r>
    </w:p>
    <w:p w14:paraId="5250BC23">
      <w:pPr>
        <w:spacing w:line="500" w:lineRule="exact"/>
        <w:rPr>
          <w:rFonts w:hint="eastAsia" w:ascii="仿宋" w:hAnsi="仿宋" w:eastAsia="仿宋" w:cs="仿宋"/>
          <w:b/>
          <w:sz w:val="28"/>
          <w:szCs w:val="28"/>
        </w:rPr>
      </w:pPr>
      <w:r>
        <w:rPr>
          <w:rFonts w:hint="eastAsia" w:ascii="仿宋" w:hAnsi="仿宋" w:eastAsia="仿宋" w:cs="仿宋"/>
          <w:b/>
          <w:sz w:val="28"/>
          <w:szCs w:val="28"/>
        </w:rPr>
        <w:t>三、交货时间和地点：</w:t>
      </w:r>
    </w:p>
    <w:p w14:paraId="7E4E679F">
      <w:pPr>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3.1交货时间：</w:t>
      </w:r>
      <w:r>
        <w:rPr>
          <w:rFonts w:hint="eastAsia" w:ascii="仿宋" w:hAnsi="仿宋" w:eastAsia="仿宋" w:cs="仿宋"/>
          <w:bCs/>
          <w:color w:val="000000" w:themeColor="text1"/>
          <w:sz w:val="28"/>
          <w:szCs w:val="28"/>
          <w14:textFill>
            <w14:solidFill>
              <w14:schemeClr w14:val="tx1"/>
            </w14:solidFill>
          </w14:textFill>
        </w:rPr>
        <w:t>以甲方实际需求计划为准</w:t>
      </w:r>
    </w:p>
    <w:p w14:paraId="20EA47F5">
      <w:pPr>
        <w:spacing w:line="500" w:lineRule="exact"/>
        <w:ind w:firstLine="560" w:firstLineChars="200"/>
        <w:jc w:val="left"/>
        <w:rPr>
          <w:rFonts w:hint="eastAsia" w:ascii="仿宋" w:hAnsi="仿宋" w:eastAsia="仿宋" w:cs="仿宋"/>
          <w:bCs/>
          <w:sz w:val="28"/>
          <w:szCs w:val="28"/>
          <w:u w:val="single"/>
        </w:rPr>
      </w:pPr>
      <w:r>
        <w:rPr>
          <w:rFonts w:hint="eastAsia" w:ascii="仿宋" w:hAnsi="仿宋" w:eastAsia="仿宋" w:cs="仿宋"/>
          <w:bCs/>
          <w:sz w:val="28"/>
          <w:szCs w:val="28"/>
        </w:rPr>
        <w:t>3.2指定收货人：</w:t>
      </w:r>
      <w:r>
        <w:rPr>
          <w:rFonts w:hint="eastAsia" w:ascii="仿宋" w:hAnsi="仿宋" w:eastAsia="仿宋" w:cs="仿宋"/>
          <w:bCs/>
          <w:color w:val="EE0000"/>
          <w:sz w:val="28"/>
          <w:szCs w:val="28"/>
          <w:u w:val="single"/>
        </w:rPr>
        <w:t xml:space="preserve">                </w:t>
      </w:r>
    </w:p>
    <w:p w14:paraId="0ED461EA">
      <w:pPr>
        <w:spacing w:line="50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3.3交货地点：会理市鱼鲊村</w:t>
      </w:r>
    </w:p>
    <w:p w14:paraId="1C89DA8F">
      <w:pPr>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bCs/>
          <w:sz w:val="28"/>
          <w:szCs w:val="28"/>
        </w:rPr>
        <w:t>3.4</w:t>
      </w:r>
      <w:r>
        <w:rPr>
          <w:rFonts w:hint="eastAsia" w:ascii="仿宋" w:hAnsi="仿宋" w:eastAsia="仿宋" w:cs="仿宋"/>
          <w:sz w:val="28"/>
          <w:szCs w:val="28"/>
        </w:rPr>
        <w:t>乙方出具的出库单、送料单或提货单上的数量必须与实际送货数量相符，否则甲方有权拒收材料。</w:t>
      </w:r>
    </w:p>
    <w:p w14:paraId="6F9270A5">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3.5</w:t>
      </w:r>
      <w:r>
        <w:rPr>
          <w:rFonts w:hint="eastAsia" w:ascii="仿宋" w:hAnsi="仿宋" w:eastAsia="仿宋" w:cs="仿宋"/>
          <w:sz w:val="28"/>
          <w:szCs w:val="28"/>
        </w:rPr>
        <w:t>甲方指定人员对货物的签收，只针对货物数量和表面质量，不是对货物价格的认可，也不排除乙方所供货物的质量责任。乙方供货单上若标注货物单价或总价，即使有甲方指定人员签名，该供货单上的单价或总价，对甲方无约束力。</w:t>
      </w:r>
    </w:p>
    <w:p w14:paraId="5FF85BD5">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3.6</w:t>
      </w:r>
      <w:r>
        <w:rPr>
          <w:rFonts w:hint="eastAsia" w:ascii="仿宋" w:hAnsi="仿宋" w:eastAsia="仿宋" w:cs="仿宋"/>
          <w:sz w:val="28"/>
          <w:szCs w:val="28"/>
        </w:rPr>
        <w:t>交货时，乙方应随货提供符合产品要求的质量证明资料（包括但不限于产品的合格证、检测报告），需加盖乙方公章。未提供符合要求的质量证明材料的，甲方可拒绝收货。</w:t>
      </w:r>
    </w:p>
    <w:p w14:paraId="55E7D7D0">
      <w:pPr>
        <w:numPr>
          <w:ilvl w:val="0"/>
          <w:numId w:val="2"/>
        </w:numPr>
        <w:spacing w:line="500" w:lineRule="exact"/>
        <w:rPr>
          <w:rFonts w:hint="eastAsia" w:ascii="仿宋" w:hAnsi="仿宋" w:eastAsia="仿宋" w:cs="仿宋"/>
          <w:b/>
          <w:sz w:val="28"/>
          <w:szCs w:val="28"/>
        </w:rPr>
      </w:pPr>
      <w:r>
        <w:rPr>
          <w:rFonts w:hint="eastAsia" w:ascii="仿宋" w:hAnsi="仿宋" w:eastAsia="仿宋" w:cs="仿宋"/>
          <w:b/>
          <w:sz w:val="28"/>
          <w:szCs w:val="28"/>
        </w:rPr>
        <w:t>运输方式、装卸等费用负担：</w:t>
      </w:r>
    </w:p>
    <w:p w14:paraId="3A4F33CF">
      <w:pPr>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   </w:t>
      </w:r>
      <w:r>
        <w:rPr>
          <w:rFonts w:hint="eastAsia" w:ascii="仿宋" w:hAnsi="仿宋" w:eastAsia="仿宋" w:cs="仿宋"/>
          <w:bCs/>
          <w:sz w:val="28"/>
          <w:szCs w:val="28"/>
        </w:rPr>
        <w:t xml:space="preserve"> 4.1运输、装卸费用采用以下</w:t>
      </w:r>
      <w:r>
        <w:rPr>
          <w:rFonts w:hint="eastAsia" w:ascii="仿宋" w:hAnsi="仿宋" w:eastAsia="仿宋" w:cs="仿宋"/>
          <w:bCs/>
          <w:sz w:val="28"/>
          <w:szCs w:val="28"/>
          <w:u w:val="single"/>
        </w:rPr>
        <w:t xml:space="preserve">第  </w:t>
      </w:r>
      <w:r>
        <w:rPr>
          <w:rFonts w:hint="eastAsia" w:ascii="仿宋" w:hAnsi="仿宋" w:eastAsia="仿宋" w:cs="仿宋"/>
          <w:sz w:val="28"/>
          <w:szCs w:val="28"/>
          <w:u w:val="single"/>
        </w:rPr>
        <w:t>4.1.1</w:t>
      </w:r>
      <w:r>
        <w:rPr>
          <w:rFonts w:hint="eastAsia" w:ascii="仿宋" w:hAnsi="仿宋" w:eastAsia="仿宋" w:cs="仿宋"/>
          <w:bCs/>
          <w:sz w:val="28"/>
          <w:szCs w:val="28"/>
          <w:u w:val="single"/>
        </w:rPr>
        <w:t xml:space="preserve">   种</w:t>
      </w:r>
      <w:r>
        <w:rPr>
          <w:rFonts w:hint="eastAsia" w:ascii="仿宋" w:hAnsi="仿宋" w:eastAsia="仿宋" w:cs="仿宋"/>
          <w:bCs/>
          <w:sz w:val="28"/>
          <w:szCs w:val="28"/>
        </w:rPr>
        <w:t>方式：</w:t>
      </w:r>
    </w:p>
    <w:p w14:paraId="0B835F99">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4.1.1由乙方组织运输并承担运输费用并承担上车下卸车费用。乙方所承担费用已包含在合同单价内，不另行计算。</w:t>
      </w:r>
    </w:p>
    <w:p w14:paraId="49F72A6D">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4.1.2由乙方组织运输并承担运输费用并承担上车费用，货到甲方指定地点后，由甲方派人下车并自行承担下车费用。乙方所承担费用已包含在合同单价内，不另行计算。</w:t>
      </w:r>
    </w:p>
    <w:p w14:paraId="2A237A21">
      <w:pPr>
        <w:spacing w:line="500" w:lineRule="exact"/>
        <w:rPr>
          <w:rFonts w:hint="eastAsia" w:ascii="仿宋" w:hAnsi="仿宋" w:eastAsia="仿宋" w:cs="仿宋"/>
          <w:sz w:val="28"/>
          <w:szCs w:val="28"/>
        </w:rPr>
      </w:pPr>
      <w:r>
        <w:rPr>
          <w:rFonts w:hint="eastAsia" w:ascii="仿宋" w:hAnsi="仿宋" w:eastAsia="仿宋" w:cs="仿宋"/>
          <w:b/>
          <w:sz w:val="28"/>
          <w:szCs w:val="28"/>
        </w:rPr>
        <w:t>五、物资验收标准、方法及表面质量异议期限</w:t>
      </w:r>
      <w:r>
        <w:rPr>
          <w:rFonts w:hint="eastAsia" w:ascii="仿宋" w:hAnsi="仿宋" w:eastAsia="仿宋" w:cs="仿宋"/>
          <w:sz w:val="28"/>
          <w:szCs w:val="28"/>
        </w:rPr>
        <w:t>：</w:t>
      </w:r>
    </w:p>
    <w:p w14:paraId="2E11185C">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w:t>
      </w:r>
      <w:r>
        <w:rPr>
          <w:rFonts w:hint="eastAsia" w:ascii="仿宋" w:hAnsi="仿宋" w:eastAsia="仿宋" w:cs="仿宋"/>
          <w:bCs/>
          <w:sz w:val="28"/>
          <w:szCs w:val="28"/>
        </w:rPr>
        <w:t>甲方指定的收货人仅为对数量和表面质量的初步收货，若在收货人签收后，</w:t>
      </w:r>
      <w:r>
        <w:rPr>
          <w:rFonts w:hint="eastAsia" w:ascii="仿宋" w:hAnsi="仿宋" w:eastAsia="仿宋" w:cs="仿宋"/>
          <w:sz w:val="28"/>
          <w:szCs w:val="28"/>
        </w:rPr>
        <w:t>甲方对乙方提供的货物有质量疑义的，有权将产品直接送相关检验部门进行检验。如检验合格，有关检验费用由甲方自行承担；如检验不合格，由乙方承担一切费用，并赔偿由此给甲方造成的经济损失。</w:t>
      </w:r>
    </w:p>
    <w:p w14:paraId="60E04920">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5.2甲方提出表面质量异议的期限为收货后15天之内。</w:t>
      </w:r>
    </w:p>
    <w:p w14:paraId="17624A50">
      <w:pPr>
        <w:numPr>
          <w:ilvl w:val="0"/>
          <w:numId w:val="3"/>
        </w:numPr>
        <w:spacing w:line="500" w:lineRule="exact"/>
        <w:rPr>
          <w:rFonts w:hint="eastAsia" w:ascii="仿宋" w:hAnsi="仿宋" w:eastAsia="仿宋" w:cs="仿宋"/>
          <w:b/>
          <w:sz w:val="28"/>
          <w:szCs w:val="28"/>
        </w:rPr>
      </w:pPr>
      <w:r>
        <w:rPr>
          <w:rFonts w:hint="eastAsia" w:ascii="仿宋" w:hAnsi="仿宋" w:eastAsia="仿宋" w:cs="仿宋"/>
          <w:b/>
          <w:sz w:val="28"/>
          <w:szCs w:val="28"/>
        </w:rPr>
        <w:t>货款结算方式</w:t>
      </w:r>
      <w:r>
        <w:rPr>
          <w:rFonts w:hint="eastAsia" w:ascii="仿宋" w:hAnsi="仿宋" w:eastAsia="仿宋" w:cs="仿宋"/>
          <w:b/>
          <w:bCs/>
          <w:sz w:val="28"/>
          <w:szCs w:val="28"/>
        </w:rPr>
        <w:t>及</w:t>
      </w:r>
      <w:r>
        <w:rPr>
          <w:rFonts w:hint="eastAsia" w:ascii="仿宋" w:hAnsi="仿宋" w:eastAsia="仿宋" w:cs="仿宋"/>
          <w:b/>
          <w:sz w:val="28"/>
          <w:szCs w:val="28"/>
        </w:rPr>
        <w:t>支付方式</w:t>
      </w:r>
    </w:p>
    <w:p w14:paraId="30C991F1">
      <w:pPr>
        <w:snapToGrid w:val="0"/>
        <w:spacing w:line="600" w:lineRule="exact"/>
        <w:ind w:firstLine="562"/>
        <w:rPr>
          <w:rFonts w:hint="eastAsia" w:ascii="仿宋" w:hAnsi="仿宋" w:eastAsia="仿宋" w:cs="仿宋"/>
          <w:bCs/>
          <w:strike/>
          <w:sz w:val="28"/>
          <w:szCs w:val="28"/>
        </w:rPr>
      </w:pPr>
      <w:r>
        <w:rPr>
          <w:rFonts w:hint="eastAsia" w:ascii="仿宋" w:hAnsi="仿宋" w:eastAsia="仿宋" w:cs="仿宋"/>
          <w:bCs/>
          <w:sz w:val="28"/>
          <w:szCs w:val="28"/>
        </w:rPr>
        <w:t>6.1乙方充分理解甲方相关制度，并按照甲方制度和甲方要求进行进度对账和请款。双方办理合同结算时，乙方应向甲方提交经甲方收货人确认的送货单（收货单），甲方物资管理部门进行审核，核实供货的规格型号、时间、数量、单价、总价等信息，确认无误后双方办理结算，结算书应经甲方物资部部门经理及甲方物资部门分管领导签字后，加盖甲方公章生效。未经甲方物资部门分管领导签字，未加盖甲方公章不对甲方发生效力。</w:t>
      </w:r>
    </w:p>
    <w:p w14:paraId="532D6222">
      <w:pPr>
        <w:snapToGrid w:val="0"/>
        <w:spacing w:line="500" w:lineRule="exact"/>
        <w:textAlignment w:val="baseline"/>
        <w:rPr>
          <w:rFonts w:hint="eastAsia" w:ascii="仿宋" w:hAnsi="仿宋" w:eastAsia="仿宋" w:cs="仿宋"/>
          <w:color w:val="333333"/>
          <w:sz w:val="28"/>
          <w:szCs w:val="28"/>
          <w:shd w:val="clear" w:color="auto" w:fill="FFFFFF"/>
        </w:rPr>
      </w:pPr>
      <w:r>
        <w:rPr>
          <w:rFonts w:hint="eastAsia" w:ascii="仿宋" w:hAnsi="仿宋" w:eastAsia="仿宋" w:cs="仿宋"/>
          <w:sz w:val="28"/>
          <w:szCs w:val="28"/>
        </w:rPr>
        <w:t xml:space="preserve">    6.2</w:t>
      </w:r>
      <w:r>
        <w:rPr>
          <w:rFonts w:hint="eastAsia" w:ascii="仿宋" w:hAnsi="仿宋" w:eastAsia="仿宋" w:cs="仿宋"/>
          <w:color w:val="333333"/>
          <w:sz w:val="28"/>
          <w:szCs w:val="28"/>
          <w:shd w:val="clear" w:color="auto" w:fill="FFFFFF"/>
        </w:rPr>
        <w:t>货到甲方现场验收合格，每月25日核对当月供应量，双方确认无误，开具</w:t>
      </w:r>
      <w:r>
        <w:rPr>
          <w:rFonts w:hint="eastAsia" w:ascii="仿宋" w:hAnsi="仿宋" w:eastAsia="仿宋" w:cs="仿宋"/>
          <w:color w:val="FF0000"/>
          <w:sz w:val="28"/>
          <w:szCs w:val="28"/>
          <w:shd w:val="clear" w:color="auto" w:fill="FFFFFF"/>
        </w:rPr>
        <w:t>混凝土材料费13%，运费9%，泵送费6%</w:t>
      </w:r>
      <w:r>
        <w:rPr>
          <w:rFonts w:hint="eastAsia" w:ascii="仿宋" w:hAnsi="仿宋" w:eastAsia="仿宋" w:cs="仿宋"/>
          <w:color w:val="333333"/>
          <w:sz w:val="28"/>
          <w:szCs w:val="28"/>
          <w:shd w:val="clear" w:color="auto" w:fill="FFFFFF"/>
        </w:rPr>
        <w:t>增值税专用发票挂账后</w:t>
      </w:r>
      <w:r>
        <w:rPr>
          <w:rFonts w:hint="eastAsia" w:ascii="仿宋" w:hAnsi="仿宋" w:eastAsia="仿宋" w:cs="仿宋"/>
          <w:color w:val="FF0000"/>
          <w:sz w:val="28"/>
          <w:szCs w:val="28"/>
          <w:u w:val="single"/>
          <w:shd w:val="clear" w:color="auto" w:fill="FFFFFF"/>
        </w:rPr>
        <w:t xml:space="preserve"> 30 </w:t>
      </w:r>
      <w:r>
        <w:rPr>
          <w:rFonts w:hint="eastAsia" w:ascii="仿宋" w:hAnsi="仿宋" w:eastAsia="仿宋" w:cs="仿宋"/>
          <w:color w:val="FF0000"/>
          <w:sz w:val="28"/>
          <w:szCs w:val="28"/>
          <w:shd w:val="clear" w:color="auto" w:fill="FFFFFF"/>
        </w:rPr>
        <w:t>个工作日内</w:t>
      </w:r>
      <w:r>
        <w:rPr>
          <w:rFonts w:hint="eastAsia" w:ascii="仿宋" w:hAnsi="仿宋" w:eastAsia="仿宋" w:cs="仿宋"/>
          <w:color w:val="333333"/>
          <w:sz w:val="28"/>
          <w:szCs w:val="28"/>
          <w:shd w:val="clear" w:color="auto" w:fill="FFFFFF"/>
        </w:rPr>
        <w:t>，支付当期货款的100%。</w:t>
      </w:r>
      <w:r>
        <w:rPr>
          <w:rFonts w:hint="eastAsia" w:ascii="仿宋" w:hAnsi="仿宋" w:eastAsia="仿宋" w:cs="仿宋"/>
          <w:color w:val="FF0000"/>
          <w:sz w:val="28"/>
          <w:szCs w:val="28"/>
          <w:shd w:val="clear" w:color="auto" w:fill="FFFFFF"/>
        </w:rPr>
        <w:t>如果甲方未付款，乙方有权拒绝发货，并不承担由此带来的一切损失。</w:t>
      </w:r>
    </w:p>
    <w:p w14:paraId="0A0B2E1B">
      <w:pPr>
        <w:snapToGrid w:val="0"/>
        <w:spacing w:line="500" w:lineRule="exact"/>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6.3双方同意采用转帐方式支付货款。</w:t>
      </w:r>
    </w:p>
    <w:p w14:paraId="69F466AC">
      <w:pPr>
        <w:snapToGrid w:val="0"/>
        <w:spacing w:line="500" w:lineRule="exact"/>
        <w:ind w:firstLine="562" w:firstLineChars="200"/>
        <w:textAlignment w:val="baseline"/>
        <w:rPr>
          <w:rFonts w:hint="eastAsia" w:ascii="仿宋" w:hAnsi="仿宋" w:eastAsia="仿宋" w:cs="仿宋"/>
          <w:b/>
          <w:bCs/>
          <w:sz w:val="28"/>
          <w:szCs w:val="28"/>
        </w:rPr>
      </w:pPr>
      <w:r>
        <w:rPr>
          <w:rFonts w:hint="eastAsia" w:ascii="仿宋" w:hAnsi="仿宋" w:eastAsia="仿宋" w:cs="仿宋"/>
          <w:b/>
          <w:bCs/>
          <w:sz w:val="28"/>
          <w:szCs w:val="28"/>
        </w:rPr>
        <w:t>6.4若乙方未提前开具足额增值税专用发票，则甲方可拒绝付款，并不承担违约责任。</w:t>
      </w:r>
    </w:p>
    <w:p w14:paraId="779E767C">
      <w:pPr>
        <w:spacing w:line="500" w:lineRule="exact"/>
        <w:ind w:firstLine="562" w:firstLineChars="200"/>
        <w:rPr>
          <w:rFonts w:hint="eastAsia" w:ascii="仿宋" w:hAnsi="仿宋" w:eastAsia="仿宋" w:cs="仿宋"/>
          <w:sz w:val="28"/>
          <w:szCs w:val="28"/>
        </w:rPr>
      </w:pPr>
      <w:r>
        <w:rPr>
          <w:rFonts w:hint="eastAsia" w:ascii="仿宋" w:hAnsi="仿宋" w:eastAsia="仿宋" w:cs="仿宋"/>
          <w:b/>
          <w:sz w:val="28"/>
          <w:szCs w:val="28"/>
        </w:rPr>
        <w:t>七、违约责任</w:t>
      </w:r>
      <w:r>
        <w:rPr>
          <w:rFonts w:hint="eastAsia" w:ascii="仿宋" w:hAnsi="仿宋" w:eastAsia="仿宋" w:cs="仿宋"/>
          <w:sz w:val="28"/>
          <w:szCs w:val="28"/>
        </w:rPr>
        <w:t>：</w:t>
      </w:r>
    </w:p>
    <w:p w14:paraId="1534616B">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7.1乙方逾期交货</w:t>
      </w:r>
      <w:r>
        <w:fldChar w:fldCharType="begin"/>
      </w:r>
      <w:r>
        <w:instrText xml:space="preserve"> HYPERLINK "http://www.51paper.net" \t "_blank" \o "论文资料网" </w:instrText>
      </w:r>
      <w:r>
        <w:fldChar w:fldCharType="separate"/>
      </w:r>
      <w:r>
        <w:rPr>
          <w:rFonts w:hint="eastAsia" w:ascii="仿宋" w:hAnsi="仿宋" w:eastAsia="仿宋" w:cs="仿宋"/>
          <w:sz w:val="28"/>
          <w:szCs w:val="28"/>
        </w:rPr>
        <w:t>，</w:t>
      </w:r>
      <w:r>
        <w:rPr>
          <w:rFonts w:hint="eastAsia" w:ascii="仿宋" w:hAnsi="仿宋" w:eastAsia="仿宋" w:cs="仿宋"/>
          <w:sz w:val="28"/>
          <w:szCs w:val="28"/>
        </w:rPr>
        <w:fldChar w:fldCharType="end"/>
      </w:r>
      <w:r>
        <w:rPr>
          <w:rFonts w:hint="eastAsia" w:ascii="仿宋" w:hAnsi="仿宋" w:eastAsia="仿宋" w:cs="仿宋"/>
          <w:sz w:val="28"/>
          <w:szCs w:val="28"/>
        </w:rPr>
        <w:t>每逾期一天</w:t>
      </w:r>
      <w:r>
        <w:fldChar w:fldCharType="begin"/>
      </w:r>
      <w:r>
        <w:instrText xml:space="preserve"> HYPERLINK "http://www.51paper.net" \t "_blank" \o "论文资料网" </w:instrText>
      </w:r>
      <w:r>
        <w:fldChar w:fldCharType="separate"/>
      </w:r>
      <w:r>
        <w:rPr>
          <w:rFonts w:hint="eastAsia" w:ascii="仿宋" w:hAnsi="仿宋" w:eastAsia="仿宋" w:cs="仿宋"/>
          <w:sz w:val="28"/>
          <w:szCs w:val="28"/>
        </w:rPr>
        <w:t>，</w:t>
      </w:r>
      <w:r>
        <w:rPr>
          <w:rFonts w:hint="eastAsia" w:ascii="仿宋" w:hAnsi="仿宋" w:eastAsia="仿宋" w:cs="仿宋"/>
          <w:sz w:val="28"/>
          <w:szCs w:val="28"/>
        </w:rPr>
        <w:fldChar w:fldCharType="end"/>
      </w:r>
      <w:r>
        <w:rPr>
          <w:rFonts w:hint="eastAsia" w:ascii="仿宋" w:hAnsi="仿宋" w:eastAsia="仿宋" w:cs="仿宋"/>
          <w:sz w:val="28"/>
          <w:szCs w:val="28"/>
        </w:rPr>
        <w:t>向甲方支付合同总额</w:t>
      </w:r>
      <w:r>
        <w:rPr>
          <w:rFonts w:hint="eastAsia" w:ascii="仿宋" w:hAnsi="仿宋" w:eastAsia="仿宋" w:cs="仿宋"/>
          <w:sz w:val="28"/>
          <w:szCs w:val="28"/>
          <w:u w:val="single"/>
        </w:rPr>
        <w:t xml:space="preserve"> 万分之三 </w:t>
      </w:r>
      <w:r>
        <w:rPr>
          <w:rFonts w:hint="eastAsia" w:ascii="仿宋" w:hAnsi="仿宋" w:eastAsia="仿宋" w:cs="仿宋"/>
          <w:sz w:val="28"/>
          <w:szCs w:val="28"/>
        </w:rPr>
        <w:t>的违约金</w:t>
      </w:r>
      <w:r>
        <w:fldChar w:fldCharType="begin"/>
      </w:r>
      <w:r>
        <w:instrText xml:space="preserve"> HYPERLINK "http://www.51paper.net" \t "_blank" \o "论文资料网" </w:instrText>
      </w:r>
      <w:r>
        <w:fldChar w:fldCharType="separate"/>
      </w:r>
      <w:r>
        <w:rPr>
          <w:rFonts w:hint="eastAsia" w:ascii="仿宋" w:hAnsi="仿宋" w:eastAsia="仿宋" w:cs="仿宋"/>
          <w:sz w:val="28"/>
          <w:szCs w:val="28"/>
        </w:rPr>
        <w:t>，</w:t>
      </w:r>
      <w:r>
        <w:rPr>
          <w:rFonts w:hint="eastAsia" w:ascii="仿宋" w:hAnsi="仿宋" w:eastAsia="仿宋" w:cs="仿宋"/>
          <w:sz w:val="28"/>
          <w:szCs w:val="28"/>
        </w:rPr>
        <w:fldChar w:fldCharType="end"/>
      </w:r>
      <w:r>
        <w:rPr>
          <w:rFonts w:hint="eastAsia" w:ascii="仿宋" w:hAnsi="仿宋" w:eastAsia="仿宋" w:cs="仿宋"/>
          <w:sz w:val="28"/>
          <w:szCs w:val="28"/>
        </w:rPr>
        <w:t>逾期交货超过</w:t>
      </w:r>
      <w:r>
        <w:rPr>
          <w:rFonts w:hint="eastAsia" w:ascii="仿宋" w:hAnsi="仿宋" w:eastAsia="仿宋" w:cs="仿宋"/>
          <w:sz w:val="28"/>
          <w:szCs w:val="28"/>
          <w:u w:val="single"/>
        </w:rPr>
        <w:t xml:space="preserve"> 7 </w:t>
      </w:r>
      <w:r>
        <w:rPr>
          <w:rFonts w:hint="eastAsia" w:ascii="仿宋" w:hAnsi="仿宋" w:eastAsia="仿宋" w:cs="仿宋"/>
          <w:sz w:val="28"/>
          <w:szCs w:val="28"/>
        </w:rPr>
        <w:t>天</w:t>
      </w:r>
      <w:r>
        <w:fldChar w:fldCharType="begin"/>
      </w:r>
      <w:r>
        <w:instrText xml:space="preserve"> HYPERLINK "http://www.51paper.net" \t "_blank" \o "论文资料网" </w:instrText>
      </w:r>
      <w:r>
        <w:fldChar w:fldCharType="separate"/>
      </w:r>
      <w:r>
        <w:rPr>
          <w:rFonts w:hint="eastAsia" w:ascii="仿宋" w:hAnsi="仿宋" w:eastAsia="仿宋" w:cs="仿宋"/>
          <w:sz w:val="28"/>
          <w:szCs w:val="28"/>
        </w:rPr>
        <w:t>，</w:t>
      </w:r>
      <w:r>
        <w:rPr>
          <w:rFonts w:hint="eastAsia" w:ascii="仿宋" w:hAnsi="仿宋" w:eastAsia="仿宋" w:cs="仿宋"/>
          <w:sz w:val="28"/>
          <w:szCs w:val="28"/>
        </w:rPr>
        <w:fldChar w:fldCharType="end"/>
      </w:r>
      <w:r>
        <w:rPr>
          <w:rFonts w:hint="eastAsia" w:ascii="仿宋" w:hAnsi="仿宋" w:eastAsia="仿宋" w:cs="仿宋"/>
          <w:sz w:val="28"/>
          <w:szCs w:val="28"/>
        </w:rPr>
        <w:t>视为不能交货</w:t>
      </w:r>
      <w:r>
        <w:fldChar w:fldCharType="begin"/>
      </w:r>
      <w:r>
        <w:instrText xml:space="preserve"> HYPERLINK "http://www.51paper.net" \t "_blank" \o "论文资料网" </w:instrText>
      </w:r>
      <w:r>
        <w:fldChar w:fldCharType="separate"/>
      </w:r>
      <w:r>
        <w:rPr>
          <w:rFonts w:hint="eastAsia" w:ascii="仿宋" w:hAnsi="仿宋" w:eastAsia="仿宋" w:cs="仿宋"/>
          <w:sz w:val="28"/>
          <w:szCs w:val="28"/>
        </w:rPr>
        <w:t>，</w:t>
      </w:r>
      <w:r>
        <w:rPr>
          <w:rFonts w:hint="eastAsia" w:ascii="仿宋" w:hAnsi="仿宋" w:eastAsia="仿宋" w:cs="仿宋"/>
          <w:sz w:val="28"/>
          <w:szCs w:val="28"/>
        </w:rPr>
        <w:fldChar w:fldCharType="end"/>
      </w:r>
      <w:r>
        <w:rPr>
          <w:rFonts w:hint="eastAsia" w:ascii="仿宋" w:hAnsi="仿宋" w:eastAsia="仿宋" w:cs="仿宋"/>
          <w:sz w:val="28"/>
          <w:szCs w:val="28"/>
        </w:rPr>
        <w:t>甲方有权解除合同并要求乙方支付合同金额的</w:t>
      </w:r>
      <w:r>
        <w:rPr>
          <w:rFonts w:hint="eastAsia" w:ascii="仿宋" w:hAnsi="仿宋" w:eastAsia="仿宋" w:cs="仿宋"/>
          <w:sz w:val="28"/>
          <w:szCs w:val="28"/>
          <w:u w:val="single"/>
        </w:rPr>
        <w:t xml:space="preserve"> 5 </w:t>
      </w:r>
      <w:r>
        <w:rPr>
          <w:rFonts w:hint="eastAsia" w:ascii="仿宋" w:hAnsi="仿宋" w:eastAsia="仿宋" w:cs="仿宋"/>
          <w:sz w:val="28"/>
          <w:szCs w:val="28"/>
        </w:rPr>
        <w:t>%违约金</w:t>
      </w:r>
      <w:r>
        <w:fldChar w:fldCharType="begin"/>
      </w:r>
      <w:r>
        <w:instrText xml:space="preserve"> HYPERLINK "http://www.51paper.net" \t "_blank" \o "论文资料网" </w:instrText>
      </w:r>
      <w:r>
        <w:fldChar w:fldCharType="separate"/>
      </w:r>
      <w:r>
        <w:rPr>
          <w:rFonts w:hint="eastAsia" w:ascii="仿宋" w:hAnsi="仿宋" w:eastAsia="仿宋" w:cs="仿宋"/>
          <w:sz w:val="28"/>
          <w:szCs w:val="28"/>
        </w:rPr>
        <w:t>。</w:t>
      </w:r>
      <w:r>
        <w:rPr>
          <w:rFonts w:hint="eastAsia" w:ascii="仿宋" w:hAnsi="仿宋" w:eastAsia="仿宋" w:cs="仿宋"/>
          <w:sz w:val="28"/>
          <w:szCs w:val="28"/>
        </w:rPr>
        <w:fldChar w:fldCharType="end"/>
      </w:r>
    </w:p>
    <w:p w14:paraId="158A0EC7">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7.2因乙方逾期交货或因产品质量原因给甲方造成的所有损失均由乙方承担。</w:t>
      </w:r>
    </w:p>
    <w:p w14:paraId="6C65B804">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7.3经验收不合格</w:t>
      </w:r>
      <w:r>
        <w:fldChar w:fldCharType="begin"/>
      </w:r>
      <w:r>
        <w:instrText xml:space="preserve"> HYPERLINK "http://www.51paper.net" \t "_blank" \o "论文资料网" </w:instrText>
      </w:r>
      <w:r>
        <w:fldChar w:fldCharType="separate"/>
      </w:r>
      <w:r>
        <w:rPr>
          <w:rFonts w:hint="eastAsia" w:ascii="仿宋" w:hAnsi="仿宋" w:eastAsia="仿宋" w:cs="仿宋"/>
          <w:sz w:val="28"/>
          <w:szCs w:val="28"/>
        </w:rPr>
        <w:t>，</w:t>
      </w:r>
      <w:r>
        <w:rPr>
          <w:rFonts w:hint="eastAsia" w:ascii="仿宋" w:hAnsi="仿宋" w:eastAsia="仿宋" w:cs="仿宋"/>
          <w:sz w:val="28"/>
          <w:szCs w:val="28"/>
        </w:rPr>
        <w:fldChar w:fldCharType="end"/>
      </w:r>
      <w:r>
        <w:rPr>
          <w:rFonts w:hint="eastAsia" w:ascii="仿宋" w:hAnsi="仿宋" w:eastAsia="仿宋" w:cs="仿宋"/>
          <w:sz w:val="28"/>
          <w:szCs w:val="28"/>
        </w:rPr>
        <w:t>甲方有权拒收货物，由此造成的损失由乙方自行承担。</w:t>
      </w:r>
    </w:p>
    <w:p w14:paraId="1551557C">
      <w:pPr>
        <w:spacing w:line="500" w:lineRule="exact"/>
        <w:ind w:firstLine="562" w:firstLineChars="200"/>
        <w:rPr>
          <w:rFonts w:hint="eastAsia" w:ascii="仿宋" w:hAnsi="仿宋" w:eastAsia="仿宋" w:cs="仿宋"/>
          <w:sz w:val="28"/>
          <w:szCs w:val="28"/>
        </w:rPr>
      </w:pPr>
      <w:r>
        <w:rPr>
          <w:rFonts w:hint="eastAsia" w:ascii="仿宋" w:hAnsi="仿宋" w:eastAsia="仿宋" w:cs="仿宋"/>
          <w:b/>
          <w:sz w:val="28"/>
          <w:szCs w:val="28"/>
        </w:rPr>
        <w:t>八、解决合同纠纷方式</w:t>
      </w:r>
      <w:r>
        <w:rPr>
          <w:rFonts w:hint="eastAsia" w:ascii="仿宋" w:hAnsi="仿宋" w:eastAsia="仿宋" w:cs="仿宋"/>
          <w:sz w:val="28"/>
          <w:szCs w:val="28"/>
        </w:rPr>
        <w:t>：</w:t>
      </w:r>
    </w:p>
    <w:p w14:paraId="6C493C67">
      <w:pPr>
        <w:adjustRightInd w:val="0"/>
        <w:spacing w:line="6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8.1在双方发生合同争议时，应本着平等互利、实事求是的原则协商解决，若在此前提下仍不能解决，选择向西昌市人民法院起诉。</w:t>
      </w:r>
    </w:p>
    <w:p w14:paraId="509F2AC3">
      <w:pPr>
        <w:adjustRightInd w:val="0"/>
        <w:spacing w:line="6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因本合同发生诉讼（仲裁）纠纷，任何一方均可依法申请保全对方财产。但是，申请财产保全的，应当有确切的证据证明被保全的一方存在使生效法律文书确定的给付义务难以执行的情形，否则，申请保全的一方应当向对方支付违约金。被保全的一方如果能够证明其所有账户的总资金额度大于保全申请金额，则视为不符合保全申请条件，申请保全的一方应当向对方支付违约金。如果有担保公司或者保险公司为被保全的一方提供担保，或者有单位（包括但不限于被保全的一方）或个人以其资产（相应资产需经具有评估资质的单位评估，且全部资产的评估价总金额需在保全申请金额的 120% 及以上）为被保全的一方提供担保，则申请保全的一方无条件接受以前述担保之一置换保全，向司法机关申请解除保全措施。申请保全的一方拒不申请解除保全措施的，应当向对方支付违约金。本条所涉违约金均以保全申请金额为基数，按照月利率2%的标准，自司法机关采取保全措施之日起算，计至保全措施被解除之日止）。</w:t>
      </w:r>
    </w:p>
    <w:p w14:paraId="053851B0">
      <w:pPr>
        <w:adjustRightInd w:val="0"/>
        <w:spacing w:line="6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8.3因本合同发生诉讼（仲裁）纠纷，一方申请保全对方财产，但生效法律文书确定被保全的一方应承担的给付义务金额少于保全申请金额的（如果申请保全的一方撤诉或者撤回仲裁申请，或者以判决、裁决、调解等任意形式确定被保全的一方无需向申请保全的一方承担责任，则被保全的一方应承担的给付义务额度为零），申请保全的一方应当向被保全的一方支付保全财产占用费（以生效法律文书确定被保全的一方应承担的给付义务金额与保全申请金额之间的差额为基数，按照月利率2%的标准，自司法机关采取保全措施之日起算，计至保全措施解除之日止）。</w:t>
      </w:r>
    </w:p>
    <w:p w14:paraId="5CA26E0E">
      <w:pPr>
        <w:spacing w:line="500" w:lineRule="exact"/>
        <w:ind w:left="630"/>
        <w:rPr>
          <w:rFonts w:hint="eastAsia" w:ascii="仿宋" w:hAnsi="仿宋" w:eastAsia="仿宋" w:cs="仿宋"/>
          <w:b/>
          <w:sz w:val="28"/>
          <w:szCs w:val="28"/>
        </w:rPr>
      </w:pPr>
      <w:r>
        <w:rPr>
          <w:rFonts w:hint="eastAsia" w:ascii="仿宋" w:hAnsi="仿宋" w:eastAsia="仿宋" w:cs="仿宋"/>
          <w:b/>
          <w:sz w:val="28"/>
          <w:szCs w:val="28"/>
        </w:rPr>
        <w:t>九、特别提示</w:t>
      </w:r>
    </w:p>
    <w:p w14:paraId="5E64F3DD">
      <w:pPr>
        <w:snapToGrid w:val="0"/>
        <w:spacing w:line="600" w:lineRule="exact"/>
        <w:ind w:firstLine="562"/>
        <w:rPr>
          <w:rFonts w:hint="eastAsia" w:ascii="仿宋" w:hAnsi="仿宋" w:eastAsia="仿宋" w:cs="仿宋"/>
          <w:b/>
          <w:sz w:val="28"/>
          <w:szCs w:val="28"/>
        </w:rPr>
      </w:pPr>
      <w:r>
        <w:rPr>
          <w:rFonts w:hint="eastAsia" w:ascii="仿宋" w:hAnsi="仿宋" w:eastAsia="仿宋" w:cs="仿宋"/>
          <w:b/>
          <w:sz w:val="28"/>
          <w:szCs w:val="28"/>
        </w:rPr>
        <w:t>9.1甲乙双方一致确认：甲方从未也不会授权项目印章（包括但不限于技术资料专用章等）及工作人员有签认合同结算类文件的权力，双方结算必须加盖甲方公章后方可正式生效，仅有项目经理、部门负责人或其他工作人员签字及/或项目章确认的供货结算审批表及其他任何形式的结算类文件，对甲方不具有任何约束力。</w:t>
      </w:r>
    </w:p>
    <w:p w14:paraId="61EC4AE3">
      <w:pPr>
        <w:snapToGrid w:val="0"/>
        <w:spacing w:line="600" w:lineRule="exact"/>
        <w:ind w:firstLine="562"/>
        <w:rPr>
          <w:rFonts w:hint="eastAsia" w:ascii="仿宋" w:hAnsi="仿宋" w:eastAsia="仿宋" w:cs="仿宋"/>
          <w:b/>
          <w:sz w:val="28"/>
          <w:szCs w:val="28"/>
        </w:rPr>
      </w:pPr>
      <w:r>
        <w:rPr>
          <w:rFonts w:hint="eastAsia" w:ascii="仿宋" w:hAnsi="仿宋" w:eastAsia="仿宋" w:cs="仿宋"/>
          <w:b/>
          <w:sz w:val="28"/>
          <w:szCs w:val="28"/>
        </w:rPr>
        <w:t>9.2本合同中甲方指定的所有人员超出其权限范围的行为或超出权限签署的文件无效，同时，甲方指定的所有人员均无权将其权限转授他人行使。若相关人员或人员权限嗣后发生变更，仅以加盖甲方公章（已在公安机关备案，本合同中均指此意）的书面变更文书为有效变更文书。</w:t>
      </w:r>
    </w:p>
    <w:p w14:paraId="4101CBFE">
      <w:pPr>
        <w:snapToGrid w:val="0"/>
        <w:spacing w:line="600" w:lineRule="exact"/>
        <w:ind w:firstLine="562"/>
        <w:rPr>
          <w:rFonts w:hint="eastAsia" w:ascii="仿宋" w:hAnsi="仿宋" w:eastAsia="仿宋" w:cs="仿宋"/>
          <w:b/>
          <w:sz w:val="28"/>
          <w:szCs w:val="28"/>
        </w:rPr>
      </w:pPr>
      <w:r>
        <w:rPr>
          <w:rFonts w:hint="eastAsia" w:ascii="仿宋" w:hAnsi="仿宋" w:eastAsia="仿宋" w:cs="仿宋"/>
          <w:b/>
          <w:sz w:val="28"/>
          <w:szCs w:val="28"/>
        </w:rPr>
        <w:t>9.3除本合同有约定或者甲方加盖公章嗣后追认或者甲方加盖公章书面授权的外，甲方的内部单位（如甲方工程项目部、分公司、职能部门等）、甲方员工均无权以任何方式排除、限制、减免、让渡甲方权利，为甲方设定、确认债务。其前述行为形成的任何文书（如对账、结算、各类协议、承诺、借款、贷款、保证、说明、担保等）对甲方不产生任何效力。 乙方充分知悉并承诺不会基于加盖甲方公章授权文件以外的其他文件或事由相信其他单位或个人对甲方具有代理权。</w:t>
      </w:r>
    </w:p>
    <w:p w14:paraId="7CFBADD4">
      <w:pPr>
        <w:spacing w:line="500" w:lineRule="exact"/>
        <w:ind w:left="630"/>
        <w:rPr>
          <w:rFonts w:hint="eastAsia" w:ascii="仿宋" w:hAnsi="仿宋" w:eastAsia="仿宋" w:cs="仿宋"/>
          <w:sz w:val="28"/>
          <w:szCs w:val="28"/>
        </w:rPr>
      </w:pPr>
      <w:r>
        <w:rPr>
          <w:rFonts w:hint="eastAsia" w:ascii="仿宋" w:hAnsi="仿宋" w:eastAsia="仿宋" w:cs="仿宋"/>
          <w:b/>
          <w:sz w:val="28"/>
          <w:szCs w:val="28"/>
        </w:rPr>
        <w:t>十、其他约定</w:t>
      </w:r>
    </w:p>
    <w:p w14:paraId="5E48A70F">
      <w:pPr>
        <w:adjustRightIn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10.1除双方指定人员签字以外，本合同其他内容仅以电脑打印文本为有效文本，手写的内容一律无效（无论是否加盖了印章、是否捺指印）。本合同文本系双方核定后打印成稿，无任何删、改内容。如果出现删、改内容，该删、改无效，仍以删、改前的文本为准。</w:t>
      </w:r>
    </w:p>
    <w:p w14:paraId="243DCCD5">
      <w:pPr>
        <w:adjustRightIn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10.2甲乙双方及其签约相关人员、担保方（如果有）已特别注意本合同中关于设定、变更、排除、限制、加重、减免权利、义务、责任的条款，并已逐条进行明确而充分的说明、协商，直至各方均充分理解并一致接受。本合同各项条款均是经充分协商、谈判后达成，是各方基于对自身权利义务责任的完全理解以及对市场环境的充分调查、评估后达成的合意，不存在显失公平、重大误解等情形，是各方自由、自愿、真实的意思表示。</w:t>
      </w:r>
    </w:p>
    <w:p w14:paraId="71E7CDCF">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十一、本合同自签字并盖章之日起生效，一式</w:t>
      </w:r>
      <w:r>
        <w:rPr>
          <w:rFonts w:hint="eastAsia" w:ascii="仿宋" w:hAnsi="仿宋" w:eastAsia="仿宋" w:cs="仿宋"/>
          <w:sz w:val="28"/>
          <w:szCs w:val="28"/>
          <w:lang w:val="en-US" w:eastAsia="zh-CN"/>
        </w:rPr>
        <w:t>肆</w:t>
      </w:r>
      <w:r>
        <w:rPr>
          <w:rFonts w:hint="eastAsia" w:ascii="仿宋" w:hAnsi="仿宋" w:eastAsia="仿宋" w:cs="仿宋"/>
          <w:sz w:val="28"/>
          <w:szCs w:val="28"/>
        </w:rPr>
        <w:t>份，双方各执贰份，传真件具有同等法律效力。</w:t>
      </w:r>
    </w:p>
    <w:p w14:paraId="737300BA">
      <w:pPr>
        <w:spacing w:line="500" w:lineRule="exact"/>
        <w:ind w:firstLine="560" w:firstLineChars="200"/>
        <w:rPr>
          <w:rFonts w:hint="eastAsia" w:ascii="仿宋" w:hAnsi="仿宋" w:eastAsia="仿宋" w:cs="仿宋"/>
          <w:sz w:val="28"/>
          <w:szCs w:val="28"/>
        </w:rPr>
      </w:pPr>
    </w:p>
    <w:p w14:paraId="14FE50F9">
      <w:pPr>
        <w:spacing w:line="500" w:lineRule="exact"/>
        <w:ind w:firstLine="560" w:firstLineChars="200"/>
        <w:rPr>
          <w:rFonts w:hint="eastAsia" w:ascii="仿宋" w:hAnsi="仿宋" w:eastAsia="仿宋" w:cs="仿宋"/>
          <w:sz w:val="28"/>
          <w:szCs w:val="28"/>
        </w:rPr>
      </w:pPr>
    </w:p>
    <w:p w14:paraId="59983ACF">
      <w:pPr>
        <w:spacing w:line="500" w:lineRule="exact"/>
        <w:ind w:firstLine="560" w:firstLineChars="200"/>
        <w:rPr>
          <w:rFonts w:hint="eastAsia" w:ascii="仿宋" w:hAnsi="仿宋" w:eastAsia="仿宋" w:cs="仿宋"/>
          <w:sz w:val="28"/>
          <w:szCs w:val="28"/>
        </w:rPr>
      </w:pPr>
    </w:p>
    <w:p w14:paraId="7FA65055">
      <w:pPr>
        <w:spacing w:line="500" w:lineRule="exact"/>
        <w:ind w:firstLine="560" w:firstLineChars="200"/>
        <w:rPr>
          <w:rFonts w:hint="eastAsia" w:ascii="仿宋" w:hAnsi="仿宋" w:eastAsia="仿宋" w:cs="仿宋"/>
          <w:sz w:val="28"/>
          <w:szCs w:val="28"/>
        </w:rPr>
      </w:pPr>
    </w:p>
    <w:p w14:paraId="7A5596C4">
      <w:pPr>
        <w:spacing w:line="500" w:lineRule="exact"/>
        <w:ind w:firstLine="560" w:firstLineChars="200"/>
        <w:rPr>
          <w:rFonts w:hint="eastAsia" w:ascii="仿宋" w:hAnsi="仿宋" w:eastAsia="仿宋" w:cs="仿宋"/>
          <w:sz w:val="28"/>
          <w:szCs w:val="28"/>
        </w:rPr>
      </w:pPr>
    </w:p>
    <w:p w14:paraId="69F9170C">
      <w:pPr>
        <w:spacing w:line="500" w:lineRule="exact"/>
        <w:ind w:firstLine="560" w:firstLineChars="200"/>
        <w:rPr>
          <w:rFonts w:hint="eastAsia" w:ascii="仿宋" w:hAnsi="仿宋" w:eastAsia="仿宋" w:cs="仿宋"/>
          <w:sz w:val="28"/>
          <w:szCs w:val="28"/>
        </w:rPr>
      </w:pPr>
      <w:bookmarkStart w:id="0" w:name="_GoBack"/>
      <w:bookmarkEnd w:id="0"/>
    </w:p>
    <w:tbl>
      <w:tblPr>
        <w:tblStyle w:val="6"/>
        <w:tblW w:w="96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70"/>
        <w:gridCol w:w="4886"/>
      </w:tblGrid>
      <w:tr w14:paraId="1B7183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770" w:type="dxa"/>
          </w:tcPr>
          <w:p w14:paraId="281D26BB">
            <w:pPr>
              <w:spacing w:line="360" w:lineRule="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甲方：</w:t>
            </w:r>
          </w:p>
          <w:p w14:paraId="0163AD7A">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单位名称：</w:t>
            </w:r>
            <w:r>
              <w:rPr>
                <w:rFonts w:ascii="宋体" w:hAnsi="宋体" w:cs="宋体"/>
                <w:color w:val="000000" w:themeColor="text1"/>
                <w:sz w:val="24"/>
                <w14:textFill>
                  <w14:solidFill>
                    <w14:schemeClr w14:val="tx1"/>
                  </w14:solidFill>
                </w14:textFill>
              </w:rPr>
              <w:t>凉山州现代房屋建筑集成制造有限公司</w:t>
            </w:r>
          </w:p>
          <w:p w14:paraId="6802D71E">
            <w:pPr>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单位地址:</w:t>
            </w:r>
            <w:r>
              <w:rPr>
                <w:rFonts w:hint="eastAsia" w:ascii="宋体" w:hAnsi="宋体" w:cs="宋体"/>
                <w:bCs/>
                <w:color w:val="000000" w:themeColor="text1"/>
                <w:sz w:val="24"/>
                <w14:textFill>
                  <w14:solidFill>
                    <w14:schemeClr w14:val="tx1"/>
                  </w14:solidFill>
                </w14:textFill>
              </w:rPr>
              <w:t>凉山州西昌市下顺城街1幢8楼</w:t>
            </w:r>
            <w:r>
              <w:rPr>
                <w:rFonts w:hint="eastAsia" w:ascii="宋体" w:hAnsi="宋体" w:cs="宋体"/>
                <w:b/>
                <w:color w:val="000000" w:themeColor="text1"/>
                <w:sz w:val="28"/>
                <w:szCs w:val="28"/>
                <w14:textFill>
                  <w14:solidFill>
                    <w14:schemeClr w14:val="tx1"/>
                  </w14:solidFill>
                </w14:textFill>
              </w:rPr>
              <w:t>法定代表人：</w:t>
            </w:r>
            <w:r>
              <w:rPr>
                <w:rFonts w:hint="eastAsia" w:ascii="宋体" w:hAnsi="宋体" w:cs="宋体"/>
                <w:bCs/>
                <w:color w:val="000000" w:themeColor="text1"/>
                <w:sz w:val="24"/>
                <w14:textFill>
                  <w14:solidFill>
                    <w14:schemeClr w14:val="tx1"/>
                  </w14:solidFill>
                </w14:textFill>
              </w:rPr>
              <w:t>李小平</w:t>
            </w:r>
          </w:p>
          <w:p w14:paraId="500383C6">
            <w:pPr>
              <w:spacing w:line="360" w:lineRule="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经办人：</w:t>
            </w:r>
          </w:p>
          <w:p w14:paraId="31E31B1F">
            <w:pPr>
              <w:spacing w:line="360" w:lineRule="auto"/>
              <w:rPr>
                <w:rFonts w:hint="eastAsia" w:ascii="宋体" w:hAnsi="宋体" w:cs="宋体"/>
                <w:b/>
                <w:bCs/>
                <w:color w:val="000000" w:themeColor="text1"/>
                <w:sz w:val="24"/>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开户银行：</w:t>
            </w:r>
            <w:r>
              <w:rPr>
                <w:rFonts w:hint="eastAsia" w:ascii="宋体" w:hAnsi="宋体" w:cs="宋体"/>
                <w:bCs/>
                <w:color w:val="000000" w:themeColor="text1"/>
                <w:sz w:val="24"/>
                <w14:textFill>
                  <w14:solidFill>
                    <w14:schemeClr w14:val="tx1"/>
                  </w14:solidFill>
                </w14:textFill>
              </w:rPr>
              <w:t>浙商银行凉山分户</w:t>
            </w:r>
          </w:p>
          <w:p w14:paraId="70944615">
            <w:pPr>
              <w:spacing w:line="360" w:lineRule="auto"/>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账号：</w:t>
            </w:r>
            <w:r>
              <w:rPr>
                <w:rFonts w:hint="eastAsia" w:ascii="宋体" w:hAnsi="宋体" w:cs="宋体"/>
                <w:bCs/>
                <w:color w:val="000000" w:themeColor="text1"/>
                <w:sz w:val="24"/>
                <w14:textFill>
                  <w14:solidFill>
                    <w14:schemeClr w14:val="tx1"/>
                  </w14:solidFill>
                </w14:textFill>
              </w:rPr>
              <w:t>6840000010120100001229</w:t>
            </w:r>
          </w:p>
        </w:tc>
        <w:tc>
          <w:tcPr>
            <w:tcW w:w="4886" w:type="dxa"/>
          </w:tcPr>
          <w:p w14:paraId="03517AF6">
            <w:pPr>
              <w:spacing w:line="360" w:lineRule="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乙方：</w:t>
            </w:r>
          </w:p>
          <w:p w14:paraId="67E6CF0F">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单位名称：</w:t>
            </w:r>
            <w:r>
              <w:rPr>
                <w:rFonts w:hint="eastAsia" w:ascii="宋体" w:hAnsi="宋体" w:cs="宋体"/>
                <w:color w:val="000000" w:themeColor="text1"/>
                <w:sz w:val="24"/>
                <w14:textFill>
                  <w14:solidFill>
                    <w14:schemeClr w14:val="tx1"/>
                  </w14:solidFill>
                </w14:textFill>
              </w:rPr>
              <w:t xml:space="preserve"> </w:t>
            </w:r>
          </w:p>
          <w:p w14:paraId="1CA26C4A">
            <w:pPr>
              <w:pStyle w:val="3"/>
              <w:rPr>
                <w:color w:val="000000" w:themeColor="text1"/>
                <w14:textFill>
                  <w14:solidFill>
                    <w14:schemeClr w14:val="tx1"/>
                  </w14:solidFill>
                </w14:textFill>
              </w:rPr>
            </w:pPr>
          </w:p>
          <w:p w14:paraId="1E210456">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单位地址：</w:t>
            </w:r>
            <w:r>
              <w:rPr>
                <w:rFonts w:hint="eastAsia" w:ascii="宋体" w:hAnsi="宋体" w:cs="宋体"/>
                <w:bCs/>
                <w:color w:val="000000" w:themeColor="text1"/>
                <w:szCs w:val="21"/>
                <w14:textFill>
                  <w14:solidFill>
                    <w14:schemeClr w14:val="tx1"/>
                  </w14:solidFill>
                </w14:textFill>
              </w:rPr>
              <w:t xml:space="preserve"> </w:t>
            </w:r>
          </w:p>
          <w:p w14:paraId="73B02C95">
            <w:pPr>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法定代表人：</w:t>
            </w:r>
          </w:p>
          <w:p w14:paraId="48AB4C0F">
            <w:pPr>
              <w:spacing w:line="360" w:lineRule="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经办人：</w:t>
            </w:r>
          </w:p>
          <w:p w14:paraId="6E91C612">
            <w:pPr>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开户银行：</w:t>
            </w:r>
            <w:r>
              <w:rPr>
                <w:rFonts w:hint="eastAsia" w:ascii="宋体" w:hAnsi="宋体" w:cs="宋体"/>
                <w:bCs/>
                <w:color w:val="000000" w:themeColor="text1"/>
                <w:sz w:val="24"/>
                <w14:textFill>
                  <w14:solidFill>
                    <w14:schemeClr w14:val="tx1"/>
                  </w14:solidFill>
                </w14:textFill>
              </w:rPr>
              <w:t xml:space="preserve"> </w:t>
            </w:r>
          </w:p>
          <w:p w14:paraId="69688C95">
            <w:pPr>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账号：</w:t>
            </w:r>
          </w:p>
          <w:p w14:paraId="6AE62DA2">
            <w:pPr>
              <w:spacing w:line="360" w:lineRule="auto"/>
              <w:rPr>
                <w:rFonts w:hint="eastAsia" w:ascii="宋体" w:hAnsi="宋体" w:cs="宋体"/>
                <w:b/>
                <w:color w:val="000000" w:themeColor="text1"/>
                <w:sz w:val="28"/>
                <w:szCs w:val="28"/>
                <w14:textFill>
                  <w14:solidFill>
                    <w14:schemeClr w14:val="tx1"/>
                  </w14:solidFill>
                </w14:textFill>
              </w:rPr>
            </w:pPr>
          </w:p>
        </w:tc>
      </w:tr>
    </w:tbl>
    <w:p w14:paraId="64CF7482">
      <w:pPr>
        <w:adjustRightInd w:val="0"/>
        <w:spacing w:line="500" w:lineRule="exact"/>
        <w:rPr>
          <w:rFonts w:hint="eastAsia" w:ascii="仿宋" w:hAnsi="仿宋" w:eastAsia="仿宋" w:cs="仿宋"/>
          <w:b/>
          <w:bCs/>
          <w:sz w:val="28"/>
          <w:szCs w:val="28"/>
        </w:rPr>
      </w:pPr>
    </w:p>
    <w:p w14:paraId="7F923C38">
      <w:pPr>
        <w:widowControl/>
        <w:jc w:val="left"/>
        <w:rPr>
          <w:rFonts w:hint="eastAsia" w:ascii="仿宋" w:hAnsi="仿宋" w:eastAsia="仿宋" w:cs="仿宋"/>
          <w:b/>
          <w:bCs/>
          <w:sz w:val="28"/>
          <w:szCs w:val="28"/>
        </w:rPr>
      </w:pPr>
      <w:r>
        <w:rPr>
          <w:rFonts w:hint="eastAsia" w:ascii="仿宋" w:hAnsi="仿宋" w:eastAsia="仿宋" w:cs="仿宋"/>
          <w:b/>
          <w:bCs/>
          <w:sz w:val="28"/>
          <w:szCs w:val="28"/>
        </w:rPr>
        <w:br w:type="page"/>
      </w:r>
    </w:p>
    <w:p w14:paraId="477B76F4">
      <w:pPr>
        <w:adjustRightInd w:val="0"/>
        <w:spacing w:line="500" w:lineRule="exact"/>
        <w:rPr>
          <w:rFonts w:hint="eastAsia" w:ascii="仿宋" w:hAnsi="仿宋" w:eastAsia="仿宋" w:cs="仿宋"/>
          <w:b/>
          <w:bCs/>
          <w:sz w:val="28"/>
          <w:szCs w:val="28"/>
        </w:rPr>
      </w:pPr>
    </w:p>
    <w:p w14:paraId="25F8A1B5">
      <w:pPr>
        <w:spacing w:line="500" w:lineRule="exact"/>
        <w:jc w:val="center"/>
        <w:rPr>
          <w:rFonts w:hint="eastAsia" w:ascii="仿宋" w:hAnsi="仿宋" w:eastAsia="仿宋" w:cs="仿宋"/>
          <w:kern w:val="0"/>
          <w:sz w:val="28"/>
          <w:szCs w:val="28"/>
        </w:rPr>
      </w:pPr>
      <w:r>
        <w:rPr>
          <w:rFonts w:hint="eastAsia" w:ascii="仿宋" w:hAnsi="仿宋" w:eastAsia="仿宋" w:cs="仿宋"/>
          <w:sz w:val="28"/>
          <w:szCs w:val="28"/>
          <w:lang w:bidi="ar"/>
        </w:rPr>
        <w:tab/>
      </w:r>
      <w:r>
        <w:rPr>
          <w:rFonts w:hint="eastAsia" w:ascii="仿宋" w:hAnsi="仿宋" w:eastAsia="仿宋" w:cs="仿宋"/>
          <w:b/>
          <w:bCs/>
          <w:kern w:val="0"/>
          <w:sz w:val="28"/>
          <w:szCs w:val="28"/>
          <w:lang w:bidi="ar"/>
        </w:rPr>
        <w:t>相关方环境和职业健康安全协议书</w:t>
      </w:r>
    </w:p>
    <w:p w14:paraId="4E607026">
      <w:pPr>
        <w:spacing w:line="500" w:lineRule="exact"/>
        <w:jc w:val="center"/>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w:t>
      </w:r>
    </w:p>
    <w:p w14:paraId="64BB4203">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甲方：</w:t>
      </w:r>
      <w:r>
        <w:rPr>
          <w:rFonts w:hint="eastAsia" w:ascii="仿宋" w:hAnsi="仿宋" w:eastAsia="仿宋" w:cs="仿宋"/>
          <w:kern w:val="0"/>
          <w:sz w:val="28"/>
          <w:szCs w:val="28"/>
          <w:u w:val="single"/>
          <w:lang w:bidi="ar"/>
        </w:rPr>
        <w:t xml:space="preserve">凉山州现代房屋建筑集成制造有限公司 </w:t>
      </w:r>
      <w:r>
        <w:rPr>
          <w:rFonts w:hint="eastAsia" w:ascii="仿宋" w:hAnsi="仿宋" w:eastAsia="仿宋" w:cs="仿宋"/>
          <w:kern w:val="0"/>
          <w:sz w:val="28"/>
          <w:szCs w:val="28"/>
          <w:lang w:bidi="ar"/>
        </w:rPr>
        <w:t xml:space="preserve">           （以下简称甲方）</w:t>
      </w:r>
    </w:p>
    <w:p w14:paraId="7EE04F9E">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乙方：</w:t>
      </w:r>
      <w:r>
        <w:rPr>
          <w:rFonts w:hint="eastAsia" w:ascii="仿宋" w:hAnsi="仿宋" w:eastAsia="仿宋" w:cs="仿宋"/>
          <w:kern w:val="0"/>
          <w:sz w:val="28"/>
          <w:szCs w:val="28"/>
          <w:u w:val="single"/>
          <w:lang w:bidi="ar"/>
        </w:rPr>
        <w:t xml:space="preserve">                               </w:t>
      </w:r>
      <w:r>
        <w:rPr>
          <w:rFonts w:hint="eastAsia" w:ascii="仿宋" w:hAnsi="仿宋" w:eastAsia="仿宋" w:cs="仿宋"/>
          <w:kern w:val="0"/>
          <w:sz w:val="28"/>
          <w:szCs w:val="28"/>
          <w:lang w:bidi="ar"/>
        </w:rPr>
        <w:t xml:space="preserve">             （以下简称乙方）</w:t>
      </w:r>
    </w:p>
    <w:p w14:paraId="7E5B5B21">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为了更好地落实甲方建立环境管理体系（ISO14001：2015）及职业健康安全管理体系（OHSAS18001：2011）的要求，确保乙方为甲方提供产品和服务过程中减少对环境的污染、资源的浪费，确保作业人员的职业健康安全，明确甲乙双方的权利、义务和责任，以符合甲方环境和职业健康安全方针。现</w:t>
      </w:r>
      <w:r>
        <w:rPr>
          <w:rFonts w:hint="eastAsia" w:ascii="仿宋" w:hAnsi="仿宋" w:eastAsia="仿宋" w:cs="仿宋"/>
          <w:sz w:val="28"/>
          <w:szCs w:val="28"/>
          <w:lang w:bidi="ar"/>
        </w:rPr>
        <w:t>甲乙双方依照《中华人民共和国民法典》及有关法律、法规的规定，在平等、自愿、协商一致的基础上</w:t>
      </w:r>
      <w:r>
        <w:rPr>
          <w:rFonts w:hint="eastAsia" w:ascii="仿宋" w:hAnsi="仿宋" w:eastAsia="仿宋" w:cs="仿宋"/>
          <w:kern w:val="0"/>
          <w:sz w:val="28"/>
          <w:szCs w:val="28"/>
          <w:lang w:bidi="ar"/>
        </w:rPr>
        <w:t xml:space="preserve">，特签订此协议书，以期实现甲方现场良好的环境绩效及甲乙双方作业的职业健康安全。 </w:t>
      </w:r>
    </w:p>
    <w:p w14:paraId="11C3EF36">
      <w:pPr>
        <w:spacing w:line="500" w:lineRule="exact"/>
        <w:ind w:firstLine="200"/>
        <w:rPr>
          <w:rFonts w:hint="eastAsia" w:ascii="仿宋" w:hAnsi="仿宋" w:eastAsia="仿宋" w:cs="仿宋"/>
          <w:b/>
          <w:kern w:val="0"/>
          <w:sz w:val="28"/>
          <w:szCs w:val="28"/>
        </w:rPr>
      </w:pPr>
      <w:r>
        <w:rPr>
          <w:rFonts w:hint="eastAsia" w:ascii="仿宋" w:hAnsi="仿宋" w:eastAsia="仿宋" w:cs="仿宋"/>
          <w:b/>
          <w:kern w:val="0"/>
          <w:sz w:val="28"/>
          <w:szCs w:val="28"/>
          <w:lang w:bidi="ar"/>
        </w:rPr>
        <w:t xml:space="preserve">  一、适用范围</w:t>
      </w:r>
    </w:p>
    <w:p w14:paraId="24BCA596">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本协议适用于所有物资与服务的供应方、工程承包方、废弃物收购商、回收处理商、物流运输公司、服务商及个体供应商人员和车辆。</w:t>
      </w:r>
    </w:p>
    <w:p w14:paraId="74294375">
      <w:pPr>
        <w:spacing w:line="500" w:lineRule="exact"/>
        <w:ind w:firstLine="545" w:firstLineChars="194"/>
        <w:rPr>
          <w:rFonts w:hint="eastAsia" w:ascii="仿宋" w:hAnsi="仿宋" w:eastAsia="仿宋" w:cs="仿宋"/>
          <w:b/>
          <w:kern w:val="0"/>
          <w:sz w:val="28"/>
          <w:szCs w:val="28"/>
        </w:rPr>
      </w:pPr>
      <w:r>
        <w:rPr>
          <w:rFonts w:hint="eastAsia" w:ascii="仿宋" w:hAnsi="仿宋" w:eastAsia="仿宋" w:cs="仿宋"/>
          <w:b/>
          <w:kern w:val="0"/>
          <w:sz w:val="28"/>
          <w:szCs w:val="28"/>
          <w:lang w:bidi="ar"/>
        </w:rPr>
        <w:t>二、甲方的权利</w:t>
      </w:r>
    </w:p>
    <w:p w14:paraId="6E0DC2C8">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1．甲方有权进入乙方生产作业场所检查环境卫生工作，调阅有关资料，向有关单位和人员了解情况，并可要求乙方负责人员对相关事宜作出解释。</w:t>
      </w:r>
    </w:p>
    <w:p w14:paraId="20F6666C">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2．甲方有权检查乙方的资质和乙方特种从业人员是否持有从事该特种工作的上岗证。</w:t>
      </w:r>
    </w:p>
    <w:p w14:paraId="27C40923">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3．甲方有权对检查中发现的污染环境、违章作业、危险作业等违法生产行为，当场予以纠正或者要求乙方限期改正。</w:t>
      </w:r>
    </w:p>
    <w:p w14:paraId="269F5DA1">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4.采用先进的施工设施、施工方法等，不得采用国家或地方已禁止使用的生产工艺，生产施工设备。在生产过程中，采取必要的措施降低噪声污染，对现场的废弃物妥善处置。</w:t>
      </w:r>
    </w:p>
    <w:p w14:paraId="4AD7C221">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5．甲方有权对检查中发现的事故隐患，责令乙方立即排除或者对乙方下达限期整改意见。</w:t>
      </w:r>
    </w:p>
    <w:p w14:paraId="523F4142">
      <w:pPr>
        <w:spacing w:line="500" w:lineRule="exact"/>
        <w:ind w:firstLine="200"/>
        <w:rPr>
          <w:rFonts w:hint="eastAsia" w:ascii="仿宋" w:hAnsi="仿宋" w:eastAsia="仿宋" w:cs="仿宋"/>
          <w:kern w:val="0"/>
          <w:sz w:val="28"/>
          <w:szCs w:val="28"/>
          <w:lang w:bidi="ar"/>
        </w:rPr>
      </w:pPr>
      <w:r>
        <w:rPr>
          <w:rFonts w:hint="eastAsia" w:ascii="仿宋" w:hAnsi="仿宋" w:eastAsia="仿宋" w:cs="仿宋"/>
          <w:kern w:val="0"/>
          <w:sz w:val="28"/>
          <w:szCs w:val="28"/>
          <w:lang w:bidi="ar"/>
        </w:rPr>
        <w:t xml:space="preserve">  6．甲方有权对乙方在甲方管理范围内的访问和交流等可能影响甲方生产环境和安全的活动行为进行监督、管理和考核。</w:t>
      </w:r>
    </w:p>
    <w:p w14:paraId="5FB74F93">
      <w:pPr>
        <w:spacing w:line="500" w:lineRule="exact"/>
        <w:ind w:firstLine="200"/>
        <w:rPr>
          <w:rFonts w:hint="eastAsia" w:ascii="仿宋" w:hAnsi="仿宋" w:eastAsia="仿宋" w:cs="仿宋"/>
          <w:kern w:val="0"/>
          <w:sz w:val="28"/>
          <w:szCs w:val="28"/>
          <w:lang w:bidi="ar"/>
        </w:rPr>
      </w:pPr>
    </w:p>
    <w:p w14:paraId="1674A900">
      <w:pPr>
        <w:spacing w:line="500" w:lineRule="exact"/>
        <w:ind w:firstLine="545" w:firstLineChars="194"/>
        <w:rPr>
          <w:rFonts w:hint="eastAsia" w:ascii="仿宋" w:hAnsi="仿宋" w:eastAsia="仿宋" w:cs="仿宋"/>
          <w:b/>
          <w:kern w:val="0"/>
          <w:sz w:val="28"/>
          <w:szCs w:val="28"/>
        </w:rPr>
      </w:pPr>
      <w:r>
        <w:rPr>
          <w:rFonts w:hint="eastAsia" w:ascii="仿宋" w:hAnsi="仿宋" w:eastAsia="仿宋" w:cs="仿宋"/>
          <w:b/>
          <w:kern w:val="0"/>
          <w:sz w:val="28"/>
          <w:szCs w:val="28"/>
          <w:lang w:bidi="ar"/>
        </w:rPr>
        <w:t>三、乙方的权利</w:t>
      </w:r>
    </w:p>
    <w:p w14:paraId="14841C60">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1．乙方有权依法自主开展环境和安全生产管理工作。</w:t>
      </w:r>
    </w:p>
    <w:p w14:paraId="2B414B45">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2．乙方有权要求甲方统一协调涉及到双方的重大环境和安全生产问题。</w:t>
      </w:r>
    </w:p>
    <w:p w14:paraId="02F158FB">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3．乙方有权要求被告知甲方的重大环境因素和高风险危险源。</w:t>
      </w:r>
    </w:p>
    <w:p w14:paraId="7FEF5086">
      <w:pPr>
        <w:spacing w:line="500" w:lineRule="exact"/>
        <w:ind w:firstLine="545" w:firstLineChars="194"/>
        <w:rPr>
          <w:rFonts w:hint="eastAsia" w:ascii="仿宋" w:hAnsi="仿宋" w:eastAsia="仿宋" w:cs="仿宋"/>
          <w:b/>
          <w:kern w:val="0"/>
          <w:sz w:val="28"/>
          <w:szCs w:val="28"/>
        </w:rPr>
      </w:pPr>
      <w:r>
        <w:rPr>
          <w:rFonts w:hint="eastAsia" w:ascii="仿宋" w:hAnsi="仿宋" w:eastAsia="仿宋" w:cs="仿宋"/>
          <w:b/>
          <w:kern w:val="0"/>
          <w:sz w:val="28"/>
          <w:szCs w:val="28"/>
          <w:lang w:bidi="ar"/>
        </w:rPr>
        <w:t>四、甲方应承担的责任和义务</w:t>
      </w:r>
    </w:p>
    <w:p w14:paraId="1AF11F7E">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1．为乙方介绍项目的现场和周围环境，以及甲方的管理制度和要求。</w:t>
      </w:r>
    </w:p>
    <w:p w14:paraId="2F51E417">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2．按照《中华人民共和国环境保护法》和《中华人民共和国安全生产法》的规定，对乙方的环境和安全生产工作统一协调、管理。</w:t>
      </w:r>
    </w:p>
    <w:p w14:paraId="73A80C7C">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3．负责对乙方人员进行环境保护及职业健康安全方面的入厂教育。</w:t>
      </w:r>
    </w:p>
    <w:p w14:paraId="10F3F1DA">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4．有责任将重大环境因素和高风险危险源告知乙方。</w:t>
      </w:r>
    </w:p>
    <w:p w14:paraId="7991F4F5">
      <w:pPr>
        <w:spacing w:line="500" w:lineRule="exact"/>
        <w:ind w:firstLine="545" w:firstLineChars="194"/>
        <w:rPr>
          <w:rFonts w:hint="eastAsia" w:ascii="仿宋" w:hAnsi="仿宋" w:eastAsia="仿宋" w:cs="仿宋"/>
          <w:b/>
          <w:kern w:val="0"/>
          <w:sz w:val="28"/>
          <w:szCs w:val="28"/>
        </w:rPr>
      </w:pPr>
      <w:r>
        <w:rPr>
          <w:rFonts w:hint="eastAsia" w:ascii="仿宋" w:hAnsi="仿宋" w:eastAsia="仿宋" w:cs="仿宋"/>
          <w:b/>
          <w:kern w:val="0"/>
          <w:sz w:val="28"/>
          <w:szCs w:val="28"/>
          <w:lang w:bidi="ar"/>
        </w:rPr>
        <w:t>五、乙方应承担的责任和义务</w:t>
      </w:r>
    </w:p>
    <w:p w14:paraId="6F6F671E">
      <w:pPr>
        <w:spacing w:line="500" w:lineRule="exact"/>
        <w:ind w:firstLine="406" w:firstLineChars="145"/>
        <w:rPr>
          <w:rFonts w:hint="eastAsia" w:ascii="仿宋" w:hAnsi="仿宋" w:eastAsia="仿宋" w:cs="仿宋"/>
          <w:kern w:val="0"/>
          <w:sz w:val="28"/>
          <w:szCs w:val="28"/>
        </w:rPr>
      </w:pPr>
      <w:r>
        <w:rPr>
          <w:rFonts w:hint="eastAsia" w:ascii="仿宋" w:hAnsi="仿宋" w:eastAsia="仿宋" w:cs="仿宋"/>
          <w:kern w:val="0"/>
          <w:sz w:val="28"/>
          <w:szCs w:val="28"/>
          <w:lang w:bidi="ar"/>
        </w:rPr>
        <w:t>（一）环境管理方面的义务</w:t>
      </w:r>
    </w:p>
    <w:p w14:paraId="1FD3DD84">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1．相关方（施工单位）负责落实施工阶段的环保要求及施工过程中环保措施，建立健全环境控制制度，主要包括：</w:t>
      </w:r>
    </w:p>
    <w:p w14:paraId="1DE5CEEC">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（1）使用机械设备可能产生噪声污染时，向周围生活环境排放施工噪声应符合国家规定的建筑施工厂界环境噪声排放标准。</w:t>
      </w:r>
    </w:p>
    <w:p w14:paraId="143FEF88">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（2）施工方案优先考虑采用无污染或少污染、无危害或少危害的生产工艺、生产与施工设备、先进的施工方法等，不得采用国家或地方已禁止使用的生产工艺与施工设备。</w:t>
      </w:r>
    </w:p>
    <w:p w14:paraId="73D4E5EE">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（3）保护施工现场周围的环境，防止对自然环境造成不应有的破坏。</w:t>
      </w:r>
    </w:p>
    <w:p w14:paraId="4985DE23">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（4）防止粉尘、噪声、振动等对周围生活居住区的污染和危害。</w:t>
      </w:r>
    </w:p>
    <w:p w14:paraId="2FA7B62A">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（5）合理处理建筑施工中产生的固体废弃物。工程竣工后，施工单位应当修整恢复在建设过程中受到破坏的环境。</w:t>
      </w:r>
    </w:p>
    <w:p w14:paraId="50042DBE">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（6）产生的生活垃圾集中放置所属工厂指定场所，以减轻对环境的影响，并根据规定将废物合理处理。按照工作岗位的工作区域确定环境管理责任人，明确管理责任。</w:t>
      </w:r>
    </w:p>
    <w:p w14:paraId="4B5BAC9D">
      <w:pPr>
        <w:spacing w:line="500" w:lineRule="exact"/>
        <w:ind w:firstLine="140" w:firstLineChars="5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2．回收废旧物资的部门，应按规定提供相应的资质，回收物品处理时，避免二次污染。</w:t>
      </w:r>
    </w:p>
    <w:p w14:paraId="16F9CDAB">
      <w:pPr>
        <w:spacing w:line="500" w:lineRule="exact"/>
        <w:ind w:firstLine="140" w:firstLineChars="5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3．储运过程中，应遵守交通运输法规，保证运输车辆状况良好，车辆排放的废气、噪声及车辆冲洗废水要符合国家规定的排放标准，不得扰乱厂区附近居民的生活。</w:t>
      </w:r>
    </w:p>
    <w:p w14:paraId="0853C94E">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4．所提供的产品及产品的原材料、生产过程、服务应满足（或设法满足）国家、地方、行业的有关环境保护方面的法律、法规要求，在保证质量的前提下，确保安全与环境性能，并减少包装材料的使用。</w:t>
      </w:r>
    </w:p>
    <w:p w14:paraId="115E60F3">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（二）安全管理方面的义务</w:t>
      </w:r>
    </w:p>
    <w:p w14:paraId="6CB9F2D0">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1．相关方（施工单位）负责落实施工阶段的安全要求及施工过程中的安全措施，主要包括：</w:t>
      </w:r>
    </w:p>
    <w:p w14:paraId="34A4F9AB">
      <w:pPr>
        <w:spacing w:line="500" w:lineRule="exact"/>
        <w:ind w:firstLine="280" w:firstLineChars="100"/>
        <w:rPr>
          <w:rFonts w:hint="eastAsia" w:ascii="仿宋" w:hAnsi="仿宋" w:eastAsia="仿宋" w:cs="仿宋"/>
          <w:kern w:val="0"/>
          <w:sz w:val="28"/>
          <w:szCs w:val="28"/>
        </w:rPr>
      </w:pPr>
      <w:r>
        <w:rPr>
          <w:rFonts w:hint="eastAsia" w:ascii="仿宋" w:hAnsi="仿宋" w:eastAsia="仿宋" w:cs="仿宋"/>
          <w:kern w:val="0"/>
          <w:sz w:val="28"/>
          <w:szCs w:val="28"/>
          <w:lang w:bidi="ar"/>
        </w:rPr>
        <w:t>（1）项目施工方</w:t>
      </w:r>
      <w:r>
        <w:rPr>
          <w:rFonts w:hint="eastAsia" w:ascii="仿宋" w:hAnsi="仿宋" w:eastAsia="仿宋" w:cs="仿宋"/>
          <w:sz w:val="28"/>
          <w:szCs w:val="28"/>
          <w:lang w:bidi="ar"/>
        </w:rPr>
        <w:t>必须具备本项目的安全生产能力及相关资质。</w:t>
      </w:r>
    </w:p>
    <w:p w14:paraId="380AE25F">
      <w:pPr>
        <w:spacing w:line="500" w:lineRule="exact"/>
        <w:ind w:firstLine="280" w:firstLineChars="100"/>
        <w:rPr>
          <w:rFonts w:hint="eastAsia" w:ascii="仿宋" w:hAnsi="仿宋" w:eastAsia="仿宋" w:cs="仿宋"/>
          <w:kern w:val="0"/>
          <w:sz w:val="28"/>
          <w:szCs w:val="28"/>
        </w:rPr>
      </w:pPr>
      <w:r>
        <w:rPr>
          <w:rFonts w:hint="eastAsia" w:ascii="仿宋" w:hAnsi="仿宋" w:eastAsia="仿宋" w:cs="仿宋"/>
          <w:kern w:val="0"/>
          <w:sz w:val="28"/>
          <w:szCs w:val="28"/>
          <w:lang w:bidi="ar"/>
        </w:rPr>
        <w:t>（2）项目施工时制定严格的安全技术保障措施，教育自己的员工按照相应的安全操作规程操作，并遵守安全生产规章制度（包括甲方告知的制度及乙方自己的制度）。</w:t>
      </w:r>
    </w:p>
    <w:p w14:paraId="149B3AC5">
      <w:pPr>
        <w:spacing w:line="500" w:lineRule="exact"/>
        <w:ind w:firstLine="280" w:firstLineChars="100"/>
        <w:rPr>
          <w:rFonts w:hint="eastAsia" w:ascii="仿宋" w:hAnsi="仿宋" w:eastAsia="仿宋" w:cs="仿宋"/>
          <w:kern w:val="0"/>
          <w:sz w:val="28"/>
          <w:szCs w:val="28"/>
        </w:rPr>
      </w:pPr>
      <w:r>
        <w:rPr>
          <w:rFonts w:hint="eastAsia" w:ascii="仿宋" w:hAnsi="仿宋" w:eastAsia="仿宋" w:cs="仿宋"/>
          <w:kern w:val="0"/>
          <w:sz w:val="28"/>
          <w:szCs w:val="28"/>
          <w:lang w:bidi="ar"/>
        </w:rPr>
        <w:t>（3）施工现场人员必须按规定佩带合格的劳动防护用具（乙方自备），特种作业人员必须持证上岗，严格执行操作规程，并确保在指定地点作业。</w:t>
      </w:r>
    </w:p>
    <w:p w14:paraId="222A4C65">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2．进入厂区，必须遵守公司的安全生产管理规章制度。</w:t>
      </w:r>
    </w:p>
    <w:p w14:paraId="4BC17457">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3．必须主动接受公司的安全、防火教育和交底。</w:t>
      </w:r>
    </w:p>
    <w:p w14:paraId="5799098B">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4．外来人员进入生产现场，须有公司内业务负责人员陪同，并按照生产现场人行路线行走。</w:t>
      </w:r>
    </w:p>
    <w:p w14:paraId="250FEE77">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5．进入生产现场，按要求穿戴好劳动防护用品，严禁坦胸露背、穿凉鞋、拖鞋。</w:t>
      </w:r>
    </w:p>
    <w:p w14:paraId="6F3C2451">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6．不能与同行人员打闹，酒后不能进入作业场所。</w:t>
      </w:r>
    </w:p>
    <w:p w14:paraId="714A3680">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7．不准随意移动作业区内的各类设备及工具。</w:t>
      </w:r>
    </w:p>
    <w:p w14:paraId="4719CF1A">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8．运输危险化学品和易燃易爆品，要具备运输资质，采取一定的防护措施，避免运输途中产生泄漏，在搬运、装卸过程中注意轻拿轻放，避免野蛮装卸。</w:t>
      </w:r>
    </w:p>
    <w:p w14:paraId="442AE300">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9．经批准进入厂区的应注意观看各类警示标识，遵守警示标识的指令。不准在吊物下通过或停留。</w:t>
      </w:r>
    </w:p>
    <w:p w14:paraId="3C534693">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10．外来车辆进入厂区内减速慢行，车辆右行，并按公司规定的线路行驶，不能并行，不得高声鸣笛。</w:t>
      </w:r>
    </w:p>
    <w:p w14:paraId="61C74B7E">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11．厂区内全面禁止吸烟，凡吸烟者均按照1000元/次给予经济处罚。</w:t>
      </w:r>
    </w:p>
    <w:p w14:paraId="35A815AA">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12．厂区内临时用电、动火必须制定详细的施工方案，并经甲方安全部门、保卫部门批准后方可作业。</w:t>
      </w:r>
    </w:p>
    <w:p w14:paraId="0C53DC06">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（三）其他义务</w:t>
      </w:r>
    </w:p>
    <w:p w14:paraId="082C8DAD">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1．乙方应主动配合甲方的相关检查，并对甲方要求其解释的事项作出口头或书面解释。</w:t>
      </w:r>
    </w:p>
    <w:p w14:paraId="3043E1DE">
      <w:pPr>
        <w:spacing w:line="500" w:lineRule="exact"/>
        <w:ind w:firstLine="543" w:firstLineChars="194"/>
        <w:rPr>
          <w:rFonts w:hint="eastAsia" w:ascii="仿宋" w:hAnsi="仿宋" w:eastAsia="仿宋" w:cs="仿宋"/>
          <w:kern w:val="0"/>
          <w:sz w:val="28"/>
          <w:szCs w:val="28"/>
        </w:rPr>
      </w:pPr>
      <w:r>
        <w:rPr>
          <w:rFonts w:hint="eastAsia" w:ascii="仿宋" w:hAnsi="仿宋" w:eastAsia="仿宋" w:cs="仿宋"/>
          <w:kern w:val="0"/>
          <w:sz w:val="28"/>
          <w:szCs w:val="28"/>
          <w:lang w:bidi="ar"/>
        </w:rPr>
        <w:t>2．乙方应对甲方提出的改进方案和建议积极响应，及时与甲方沟通、协调，共同解决问题。</w:t>
      </w:r>
    </w:p>
    <w:p w14:paraId="373CC815">
      <w:pPr>
        <w:spacing w:line="500" w:lineRule="exact"/>
        <w:ind w:firstLine="543" w:firstLineChars="194"/>
        <w:rPr>
          <w:rFonts w:hint="eastAsia" w:ascii="仿宋" w:hAnsi="仿宋" w:eastAsia="仿宋" w:cs="仿宋"/>
          <w:kern w:val="0"/>
          <w:sz w:val="28"/>
          <w:szCs w:val="28"/>
        </w:rPr>
      </w:pPr>
      <w:r>
        <w:rPr>
          <w:rFonts w:hint="eastAsia" w:ascii="仿宋" w:hAnsi="仿宋" w:eastAsia="仿宋" w:cs="仿宋"/>
          <w:kern w:val="0"/>
          <w:sz w:val="28"/>
          <w:szCs w:val="28"/>
          <w:lang w:bidi="ar"/>
        </w:rPr>
        <w:t>3．乙方在向甲方提供产品或服务的过程中</w:t>
      </w:r>
      <w:r>
        <w:rPr>
          <w:rFonts w:hint="eastAsia" w:ascii="仿宋" w:hAnsi="仿宋" w:eastAsia="仿宋" w:cs="仿宋"/>
          <w:sz w:val="28"/>
          <w:szCs w:val="28"/>
          <w:lang w:bidi="ar"/>
        </w:rPr>
        <w:t>应最大限度保护好环境，确保工作人员的职业健康安全，满足甲方对乙方提出改进的要求。</w:t>
      </w:r>
    </w:p>
    <w:p w14:paraId="31D49D94">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对项目过程中发生的事故，乙方负责及时向有关部门报告，建立处理事故的应急部门，并承担因事故所产生的所有经济损失（乙方原因造成的）。如果因乙方原因造成事故给甲方造成损失的，乙方应承担全部赔偿责任。</w:t>
      </w:r>
    </w:p>
    <w:p w14:paraId="44AE0956">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5．违反本协议造成的一切事故由乙方负责，给甲方造成的一切损失及相关部门的行政处罚和法律责任均由乙方承担。</w:t>
      </w:r>
    </w:p>
    <w:p w14:paraId="63A90886">
      <w:pPr>
        <w:spacing w:line="500" w:lineRule="exact"/>
        <w:rPr>
          <w:rFonts w:hint="eastAsia" w:ascii="仿宋" w:hAnsi="仿宋" w:eastAsia="仿宋" w:cs="仿宋"/>
          <w:kern w:val="0"/>
          <w:sz w:val="28"/>
          <w:szCs w:val="28"/>
        </w:rPr>
      </w:pPr>
      <w:r>
        <w:rPr>
          <w:rFonts w:hint="eastAsia" w:ascii="仿宋" w:hAnsi="仿宋" w:eastAsia="仿宋" w:cs="仿宋"/>
          <w:kern w:val="0"/>
          <w:sz w:val="28"/>
          <w:szCs w:val="28"/>
          <w:lang w:bidi="ar"/>
        </w:rPr>
        <w:t>6．以上对甲方的环境保护及职业健康安全等相关要求由乙方的</w:t>
      </w:r>
      <w:r>
        <w:rPr>
          <w:rFonts w:hint="eastAsia" w:ascii="仿宋" w:hAnsi="仿宋" w:eastAsia="仿宋" w:cs="仿宋"/>
          <w:color w:val="EE0000"/>
          <w:kern w:val="0"/>
          <w:sz w:val="28"/>
          <w:szCs w:val="28"/>
          <w:u w:val="single"/>
          <w:lang w:bidi="ar"/>
        </w:rPr>
        <w:t xml:space="preserve">         </w:t>
      </w:r>
      <w:r>
        <w:rPr>
          <w:rFonts w:hint="eastAsia" w:ascii="仿宋" w:hAnsi="仿宋" w:eastAsia="仿宋" w:cs="仿宋"/>
          <w:kern w:val="0"/>
          <w:sz w:val="28"/>
          <w:szCs w:val="28"/>
          <w:lang w:bidi="ar"/>
        </w:rPr>
        <w:t>负责解释协调，甲方可随时与其沟通联系。</w:t>
      </w:r>
    </w:p>
    <w:p w14:paraId="66B8E62D">
      <w:pPr>
        <w:spacing w:line="50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lang w:bidi="ar"/>
        </w:rPr>
        <w:t>六、协议的生效、变更和解除</w:t>
      </w:r>
    </w:p>
    <w:p w14:paraId="5E6342F5">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1.本协议一式</w:t>
      </w:r>
      <w:r>
        <w:rPr>
          <w:rFonts w:hint="eastAsia" w:ascii="仿宋" w:hAnsi="仿宋" w:eastAsia="仿宋" w:cs="仿宋"/>
          <w:kern w:val="0"/>
          <w:sz w:val="28"/>
          <w:szCs w:val="28"/>
          <w:lang w:val="en-US" w:eastAsia="zh-CN" w:bidi="ar"/>
        </w:rPr>
        <w:t>肆</w:t>
      </w:r>
      <w:r>
        <w:rPr>
          <w:rFonts w:hint="eastAsia" w:ascii="仿宋" w:hAnsi="仿宋" w:eastAsia="仿宋" w:cs="仿宋"/>
          <w:kern w:val="0"/>
          <w:sz w:val="28"/>
          <w:szCs w:val="28"/>
          <w:lang w:bidi="ar"/>
        </w:rPr>
        <w:t>份,经双方代表签字并盖章后生效，甲方持</w:t>
      </w:r>
      <w:r>
        <w:rPr>
          <w:rFonts w:hint="eastAsia" w:ascii="仿宋" w:hAnsi="仿宋" w:eastAsia="仿宋" w:cs="仿宋"/>
          <w:kern w:val="0"/>
          <w:sz w:val="28"/>
          <w:szCs w:val="28"/>
          <w:lang w:val="en-US" w:eastAsia="zh-CN" w:bidi="ar"/>
        </w:rPr>
        <w:t>贰</w:t>
      </w:r>
      <w:r>
        <w:rPr>
          <w:rFonts w:hint="eastAsia" w:ascii="仿宋" w:hAnsi="仿宋" w:eastAsia="仿宋" w:cs="仿宋"/>
          <w:kern w:val="0"/>
          <w:sz w:val="28"/>
          <w:szCs w:val="28"/>
          <w:lang w:bidi="ar"/>
        </w:rPr>
        <w:t>份,乙方持</w:t>
      </w:r>
      <w:r>
        <w:rPr>
          <w:rFonts w:hint="eastAsia" w:ascii="仿宋" w:hAnsi="仿宋" w:eastAsia="仿宋" w:cs="仿宋"/>
          <w:kern w:val="0"/>
          <w:sz w:val="28"/>
          <w:szCs w:val="28"/>
          <w:lang w:val="en-US" w:eastAsia="zh-CN" w:bidi="ar"/>
        </w:rPr>
        <w:t>贰</w:t>
      </w:r>
      <w:r>
        <w:rPr>
          <w:rFonts w:hint="eastAsia" w:ascii="仿宋" w:hAnsi="仿宋" w:eastAsia="仿宋" w:cs="仿宋"/>
          <w:kern w:val="0"/>
          <w:sz w:val="28"/>
          <w:szCs w:val="28"/>
          <w:lang w:bidi="ar"/>
        </w:rPr>
        <w:t>份,协议有效期自</w:t>
      </w:r>
      <w:r>
        <w:rPr>
          <w:rFonts w:hint="eastAsia" w:ascii="仿宋" w:hAnsi="仿宋" w:eastAsia="仿宋" w:cs="仿宋"/>
          <w:kern w:val="0"/>
          <w:sz w:val="28"/>
          <w:szCs w:val="28"/>
          <w:u w:val="single"/>
          <w:lang w:bidi="ar"/>
        </w:rPr>
        <w:t xml:space="preserve"> </w:t>
      </w:r>
      <w:r>
        <w:rPr>
          <w:rFonts w:ascii="仿宋" w:hAnsi="仿宋" w:eastAsia="仿宋" w:cs="仿宋"/>
          <w:kern w:val="0"/>
          <w:sz w:val="28"/>
          <w:szCs w:val="28"/>
          <w:u w:val="single"/>
          <w:lang w:bidi="ar"/>
        </w:rPr>
        <w:t>202</w:t>
      </w:r>
      <w:r>
        <w:rPr>
          <w:rFonts w:hint="eastAsia" w:ascii="仿宋" w:hAnsi="仿宋" w:eastAsia="仿宋" w:cs="仿宋"/>
          <w:kern w:val="0"/>
          <w:sz w:val="28"/>
          <w:szCs w:val="28"/>
          <w:u w:val="single"/>
          <w:lang w:bidi="ar"/>
        </w:rPr>
        <w:t xml:space="preserve">6 </w:t>
      </w:r>
      <w:r>
        <w:rPr>
          <w:rFonts w:hint="eastAsia" w:ascii="仿宋" w:hAnsi="仿宋" w:eastAsia="仿宋" w:cs="仿宋"/>
          <w:kern w:val="0"/>
          <w:sz w:val="28"/>
          <w:szCs w:val="28"/>
          <w:lang w:bidi="ar"/>
        </w:rPr>
        <w:t>年</w:t>
      </w:r>
      <w:r>
        <w:rPr>
          <w:rFonts w:hint="eastAsia" w:ascii="仿宋" w:hAnsi="仿宋" w:eastAsia="仿宋" w:cs="仿宋"/>
          <w:kern w:val="0"/>
          <w:sz w:val="28"/>
          <w:szCs w:val="28"/>
          <w:u w:val="single"/>
          <w:lang w:bidi="ar"/>
        </w:rPr>
        <w:t xml:space="preserve">     </w:t>
      </w:r>
      <w:r>
        <w:rPr>
          <w:rFonts w:hint="eastAsia" w:ascii="仿宋" w:hAnsi="仿宋" w:eastAsia="仿宋" w:cs="仿宋"/>
          <w:kern w:val="0"/>
          <w:sz w:val="28"/>
          <w:szCs w:val="28"/>
          <w:lang w:bidi="ar"/>
        </w:rPr>
        <w:t>月</w:t>
      </w:r>
      <w:r>
        <w:rPr>
          <w:rFonts w:hint="eastAsia" w:ascii="仿宋" w:hAnsi="仿宋" w:eastAsia="仿宋" w:cs="仿宋"/>
          <w:kern w:val="0"/>
          <w:sz w:val="28"/>
          <w:szCs w:val="28"/>
          <w:u w:val="single"/>
          <w:lang w:bidi="ar"/>
        </w:rPr>
        <w:t xml:space="preserve">      </w:t>
      </w:r>
      <w:r>
        <w:rPr>
          <w:rFonts w:hint="eastAsia" w:ascii="仿宋" w:hAnsi="仿宋" w:eastAsia="仿宋" w:cs="仿宋"/>
          <w:kern w:val="0"/>
          <w:sz w:val="28"/>
          <w:szCs w:val="28"/>
          <w:lang w:bidi="ar"/>
        </w:rPr>
        <w:t>日至</w:t>
      </w:r>
      <w:r>
        <w:rPr>
          <w:rFonts w:hint="eastAsia" w:ascii="仿宋" w:hAnsi="仿宋" w:eastAsia="仿宋" w:cs="仿宋"/>
          <w:kern w:val="0"/>
          <w:sz w:val="28"/>
          <w:szCs w:val="28"/>
          <w:u w:val="single"/>
          <w:lang w:bidi="ar"/>
        </w:rPr>
        <w:t xml:space="preserve"> 工程完工</w:t>
      </w:r>
    </w:p>
    <w:p w14:paraId="210C9F73">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2．本协议经双方书面同意，可以予以修改、补充或调整。</w:t>
      </w:r>
    </w:p>
    <w:p w14:paraId="7C4DCE93">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3．本协议未尽事宜，双方应本着互惠互利、友好协商的原则另行约定，并应以附件或补充协议等书面形式体现。</w:t>
      </w:r>
    </w:p>
    <w:p w14:paraId="4D35EB84">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甲方单位（签章）：                          乙方单位（签章）：</w:t>
      </w:r>
    </w:p>
    <w:p w14:paraId="2898FE3F">
      <w:pPr>
        <w:spacing w:line="500" w:lineRule="exact"/>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w:t>
      </w:r>
    </w:p>
    <w:p w14:paraId="105E81D1">
      <w:pPr>
        <w:spacing w:line="500" w:lineRule="exact"/>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甲方代表（签字）：                          乙方代表（签字）：</w:t>
      </w:r>
    </w:p>
    <w:p w14:paraId="14A6FAFB">
      <w:pPr>
        <w:spacing w:line="500" w:lineRule="exact"/>
        <w:ind w:firstLine="1120" w:firstLineChars="4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w:t>
      </w:r>
    </w:p>
    <w:p w14:paraId="64F730AB">
      <w:pPr>
        <w:spacing w:line="500" w:lineRule="exact"/>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日期：                                      日期：</w:t>
      </w:r>
    </w:p>
    <w:p w14:paraId="7A1306E1">
      <w:pPr>
        <w:spacing w:line="500" w:lineRule="exact"/>
        <w:rPr>
          <w:rFonts w:hint="eastAsia" w:ascii="仿宋" w:hAnsi="仿宋" w:eastAsia="仿宋" w:cs="仿宋"/>
          <w:sz w:val="28"/>
          <w:szCs w:val="28"/>
        </w:rPr>
      </w:pPr>
    </w:p>
    <w:p w14:paraId="46FBE21F">
      <w:pPr>
        <w:spacing w:line="500" w:lineRule="exact"/>
        <w:jc w:val="center"/>
        <w:rPr>
          <w:rFonts w:hint="eastAsia" w:ascii="仿宋" w:hAnsi="仿宋" w:eastAsia="仿宋" w:cs="仿宋"/>
          <w:b/>
          <w:sz w:val="28"/>
          <w:szCs w:val="28"/>
        </w:rPr>
      </w:pPr>
      <w:r>
        <w:rPr>
          <w:rFonts w:hint="eastAsia" w:ascii="仿宋" w:hAnsi="仿宋" w:eastAsia="仿宋" w:cs="仿宋"/>
          <w:b/>
          <w:sz w:val="28"/>
          <w:szCs w:val="28"/>
          <w:lang w:bidi="ar"/>
        </w:rPr>
        <w:t>供方诚信廉洁责任规范承诺</w:t>
      </w:r>
    </w:p>
    <w:p w14:paraId="481E86D1">
      <w:pPr>
        <w:spacing w:line="500" w:lineRule="exact"/>
        <w:rPr>
          <w:rFonts w:hint="eastAsia" w:ascii="仿宋" w:hAnsi="仿宋" w:eastAsia="仿宋" w:cs="仿宋"/>
          <w:b/>
          <w:sz w:val="28"/>
          <w:szCs w:val="28"/>
        </w:rPr>
      </w:pPr>
      <w:r>
        <w:rPr>
          <w:rFonts w:hint="eastAsia" w:ascii="仿宋" w:hAnsi="仿宋" w:eastAsia="仿宋" w:cs="仿宋"/>
          <w:sz w:val="28"/>
          <w:szCs w:val="28"/>
          <w:lang w:bidi="ar"/>
        </w:rPr>
        <w:t>一、</w:t>
      </w:r>
      <w:r>
        <w:rPr>
          <w:rFonts w:hint="eastAsia" w:ascii="仿宋" w:hAnsi="仿宋" w:eastAsia="仿宋" w:cs="仿宋"/>
          <w:b/>
          <w:sz w:val="28"/>
          <w:szCs w:val="28"/>
          <w:lang w:bidi="ar"/>
        </w:rPr>
        <w:t>目的、范围：</w:t>
      </w:r>
    </w:p>
    <w:p w14:paraId="5626EBAC">
      <w:pPr>
        <w:spacing w:line="500" w:lineRule="exact"/>
        <w:ind w:firstLine="570"/>
        <w:rPr>
          <w:rFonts w:hint="eastAsia" w:ascii="仿宋" w:hAnsi="仿宋" w:eastAsia="仿宋" w:cs="仿宋"/>
          <w:sz w:val="28"/>
          <w:szCs w:val="28"/>
        </w:rPr>
      </w:pPr>
      <w:r>
        <w:rPr>
          <w:rFonts w:hint="eastAsia" w:ascii="仿宋" w:hAnsi="仿宋" w:eastAsia="仿宋" w:cs="仿宋"/>
          <w:sz w:val="28"/>
          <w:szCs w:val="28"/>
          <w:lang w:bidi="ar"/>
        </w:rPr>
        <w:t>为进一步改进和完善企业的物资采购管理，健全监督约束机制，规范凉山州现代房屋建筑集成制造有限公司（以下简称需方）采购等人员行为，加强对采购工作的监督管理，本着诚信、互惠互利和依法经营的原则，实行供方诚信廉洁责任规范制度。本规范适用于与需方有业务往来的所有供方。</w:t>
      </w:r>
    </w:p>
    <w:p w14:paraId="2E2C06F8">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二、职责：</w:t>
      </w:r>
    </w:p>
    <w:p w14:paraId="6A1417A1">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1、各业务部门为本规范的归口管理部门，负责本规范的有效实施。</w:t>
      </w:r>
    </w:p>
    <w:p w14:paraId="1FDB7CE4">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2、公司纪委为本规范实施的监督部门。</w:t>
      </w:r>
    </w:p>
    <w:p w14:paraId="425304E7">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三、管理内容：</w:t>
      </w:r>
    </w:p>
    <w:p w14:paraId="05EFF61A">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（一）、供方行为规范:</w:t>
      </w:r>
    </w:p>
    <w:p w14:paraId="61C0F14D">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1、不准向需方提供已经知道或应该知道不合格（期、质、量）的物资，不准以次充好，以劣充优。</w:t>
      </w:r>
    </w:p>
    <w:p w14:paraId="41F5F71B">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2、不准向需方采购人员、领导干部等有关人员提供回扣、好处费、有价证券、信用卡、支付凭证或报销发票。</w:t>
      </w:r>
    </w:p>
    <w:p w14:paraId="1415A260">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3、不准向需方采购人员、领导干部等有关人员提供高消费宴请、礼品、礼金和公款支付的娱乐性活动。</w:t>
      </w:r>
    </w:p>
    <w:p w14:paraId="1D02EF01">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4、不准向需方采购人员、领导干部等有关人员提供借款作为私用。</w:t>
      </w:r>
    </w:p>
    <w:p w14:paraId="1497C0B3">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5、不准向需方采购人员、领导干部的配偶、子女、亲属、子女配偶的亲属、领导干部身边的工作人员等做出违反第2、3、4条的行为。</w:t>
      </w:r>
    </w:p>
    <w:p w14:paraId="1CC84382">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6、不准安排采购人员、领导干部等人员的配偶、子女、亲属、子女配偶的亲属、领导干部身边的工作人员的亲属在供方企业就职谋业。</w:t>
      </w:r>
    </w:p>
    <w:p w14:paraId="49D299B5">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7、对需方采购人员、领导干部等有关人员的行为进行监督，有责任对不良行为、损害企业利益、信誉等行为进行举报。不得瞒报、谎报。</w:t>
      </w:r>
    </w:p>
    <w:p w14:paraId="2F5F9989">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8、不准损害需方的利益，对图纸、技术资料、价格、管理规定及管理流程、加工工艺等商业秘密负责保密。</w:t>
      </w:r>
    </w:p>
    <w:p w14:paraId="0191DC03">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9、对违规违纪问题的调查、取证予以全力配合。</w:t>
      </w:r>
    </w:p>
    <w:p w14:paraId="53B21E41">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（二）、责任追究：</w:t>
      </w:r>
    </w:p>
    <w:p w14:paraId="733F822C">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1、违反第1条规定，对造成的经济损失由供方全额承担，并取消其供货资格。</w:t>
      </w:r>
    </w:p>
    <w:p w14:paraId="6671C021">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2、违反第2、3、4、5、条规定的，一经核实，取消其供货资格。触犯法律的，移交司法机关处理。</w:t>
      </w:r>
    </w:p>
    <w:p w14:paraId="34E48C6D">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3、违反第6条规定，供方必须限期妥善解决，否则取消其供货资格。</w:t>
      </w:r>
    </w:p>
    <w:p w14:paraId="3EEC14A7">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4、违反第7条规定，故意隐瞒事实真相的，经核实后，取消其供货资格。</w:t>
      </w:r>
    </w:p>
    <w:p w14:paraId="01E12975">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5、违反第8条规定，给需方造成的一切经济损失由供方承担，需方视情节轻重给予取消供货资格或诉诸法律，追究责任。</w:t>
      </w:r>
    </w:p>
    <w:p w14:paraId="3600185D">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6、对违规违纪问题，需方有向供方调查、取证的权利，供方应积极配合。如发生故意干扰、阻止调查、取证工作；故意提供虚假材料、作假证、为当事人解脱责任等行为，造成严重后果，需方将取消其供货资格。</w:t>
      </w:r>
    </w:p>
    <w:p w14:paraId="3CB37DBB">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（三）、供方承诺：</w:t>
      </w:r>
    </w:p>
    <w:p w14:paraId="4CEB4686">
      <w:pPr>
        <w:spacing w:line="500" w:lineRule="exact"/>
        <w:ind w:firstLine="630"/>
        <w:rPr>
          <w:rFonts w:hint="eastAsia" w:ascii="仿宋" w:hAnsi="仿宋" w:eastAsia="仿宋" w:cs="仿宋"/>
          <w:sz w:val="28"/>
          <w:szCs w:val="28"/>
        </w:rPr>
      </w:pPr>
      <w:r>
        <w:rPr>
          <w:rFonts w:hint="eastAsia" w:ascii="仿宋" w:hAnsi="仿宋" w:eastAsia="仿宋" w:cs="仿宋"/>
          <w:sz w:val="28"/>
          <w:szCs w:val="28"/>
          <w:lang w:bidi="ar"/>
        </w:rPr>
        <w:t>对于上述行为规范，我方愿意遵守执行，做好物资供应工作，如有违反，我方愿意承担一切法律责任。</w:t>
      </w:r>
    </w:p>
    <w:p w14:paraId="2CC4759E">
      <w:pPr>
        <w:spacing w:line="500" w:lineRule="exact"/>
        <w:rPr>
          <w:rFonts w:hint="eastAsia" w:ascii="仿宋" w:hAnsi="仿宋" w:eastAsia="仿宋" w:cs="仿宋"/>
          <w:sz w:val="28"/>
          <w:szCs w:val="28"/>
        </w:rPr>
      </w:pPr>
      <w:r>
        <w:rPr>
          <w:rFonts w:hint="eastAsia" w:ascii="仿宋" w:hAnsi="仿宋" w:eastAsia="仿宋" w:cs="仿宋"/>
          <w:b/>
          <w:sz w:val="28"/>
          <w:szCs w:val="28"/>
          <w:lang w:bidi="ar"/>
        </w:rPr>
        <w:t xml:space="preserve"> 四、本规范一式肆份，</w:t>
      </w:r>
      <w:r>
        <w:rPr>
          <w:rFonts w:hint="eastAsia" w:ascii="仿宋" w:hAnsi="仿宋" w:eastAsia="仿宋" w:cs="仿宋"/>
          <w:b/>
          <w:color w:val="000000" w:themeColor="text1"/>
          <w:sz w:val="28"/>
          <w:szCs w:val="28"/>
          <w:lang w:bidi="ar"/>
          <w14:textFill>
            <w14:solidFill>
              <w14:schemeClr w14:val="tx1"/>
            </w14:solidFill>
          </w14:textFill>
        </w:rPr>
        <w:t>甲方执叁份，乙方执壹份。</w:t>
      </w:r>
      <w:r>
        <w:rPr>
          <w:rFonts w:hint="eastAsia" w:ascii="仿宋" w:hAnsi="仿宋" w:eastAsia="仿宋" w:cs="仿宋"/>
          <w:sz w:val="28"/>
          <w:szCs w:val="28"/>
          <w:lang w:bidi="ar"/>
        </w:rPr>
        <w:t xml:space="preserve"> </w:t>
      </w:r>
    </w:p>
    <w:p w14:paraId="07E0F177">
      <w:pPr>
        <w:spacing w:line="500" w:lineRule="exact"/>
        <w:rPr>
          <w:rFonts w:hint="eastAsia" w:ascii="仿宋" w:hAnsi="仿宋" w:eastAsia="仿宋" w:cs="仿宋"/>
          <w:b/>
          <w:sz w:val="28"/>
          <w:szCs w:val="28"/>
        </w:rPr>
      </w:pPr>
      <w:r>
        <w:rPr>
          <w:rFonts w:hint="eastAsia" w:ascii="仿宋" w:hAnsi="仿宋" w:eastAsia="仿宋" w:cs="仿宋"/>
          <w:sz w:val="28"/>
          <w:szCs w:val="28"/>
          <w:lang w:bidi="ar"/>
        </w:rPr>
        <w:t xml:space="preserve">    </w:t>
      </w:r>
      <w:r>
        <w:rPr>
          <w:rFonts w:hint="eastAsia" w:ascii="仿宋" w:hAnsi="仿宋" w:eastAsia="仿宋" w:cs="仿宋"/>
          <w:b/>
          <w:sz w:val="28"/>
          <w:szCs w:val="28"/>
          <w:lang w:bidi="ar"/>
        </w:rPr>
        <w:t>供方单位盖章：</w:t>
      </w:r>
    </w:p>
    <w:p w14:paraId="5B9C0525">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w:t>
      </w:r>
    </w:p>
    <w:p w14:paraId="0B7E4F03">
      <w:pPr>
        <w:spacing w:line="500" w:lineRule="exact"/>
        <w:rPr>
          <w:rFonts w:hint="eastAsia" w:ascii="仿宋" w:hAnsi="仿宋" w:eastAsia="仿宋" w:cs="仿宋"/>
          <w:b/>
          <w:sz w:val="28"/>
          <w:szCs w:val="28"/>
        </w:rPr>
      </w:pPr>
      <w:r>
        <w:rPr>
          <w:rFonts w:hint="eastAsia" w:ascii="仿宋" w:hAnsi="仿宋" w:eastAsia="仿宋" w:cs="仿宋"/>
          <w:sz w:val="28"/>
          <w:szCs w:val="28"/>
          <w:lang w:bidi="ar"/>
        </w:rPr>
        <w:t xml:space="preserve">    </w:t>
      </w:r>
      <w:r>
        <w:rPr>
          <w:rFonts w:hint="eastAsia" w:ascii="仿宋" w:hAnsi="仿宋" w:eastAsia="仿宋" w:cs="仿宋"/>
          <w:b/>
          <w:sz w:val="28"/>
          <w:szCs w:val="28"/>
          <w:lang w:bidi="ar"/>
        </w:rPr>
        <w:t>供方代表签字：</w:t>
      </w:r>
    </w:p>
    <w:p w14:paraId="07A9CF28">
      <w:pPr>
        <w:spacing w:line="500" w:lineRule="exact"/>
        <w:jc w:val="left"/>
        <w:rPr>
          <w:rFonts w:hint="eastAsia" w:ascii="仿宋" w:hAnsi="仿宋" w:eastAsia="仿宋" w:cs="仿宋"/>
          <w:sz w:val="28"/>
          <w:szCs w:val="28"/>
        </w:rPr>
      </w:pPr>
      <w:r>
        <w:rPr>
          <w:rFonts w:hint="eastAsia" w:ascii="仿宋" w:hAnsi="仿宋" w:eastAsia="仿宋" w:cs="仿宋"/>
          <w:sz w:val="28"/>
          <w:szCs w:val="28"/>
          <w:lang w:bidi="ar"/>
        </w:rPr>
        <w:t xml:space="preserve">       年     月      日</w:t>
      </w:r>
    </w:p>
    <w:p w14:paraId="187CD354">
      <w:pPr>
        <w:spacing w:line="500" w:lineRule="exact"/>
        <w:rPr>
          <w:rFonts w:hint="eastAsia" w:ascii="仿宋" w:hAnsi="仿宋" w:eastAsia="仿宋" w:cs="仿宋"/>
          <w:sz w:val="28"/>
          <w:szCs w:val="28"/>
        </w:rPr>
      </w:pPr>
    </w:p>
    <w:p w14:paraId="07C3EDEC"/>
    <w:sectPr>
      <w:footerReference r:id="rId3" w:type="default"/>
      <w:pgSz w:w="11906" w:h="16838"/>
      <w:pgMar w:top="1134" w:right="1080" w:bottom="1134"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B6B30">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83560B">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683560B">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088121"/>
    <w:multiLevelType w:val="singleLevel"/>
    <w:tmpl w:val="92088121"/>
    <w:lvl w:ilvl="0" w:tentative="0">
      <w:start w:val="4"/>
      <w:numFmt w:val="chineseCounting"/>
      <w:suff w:val="nothing"/>
      <w:lvlText w:val="%1、"/>
      <w:lvlJc w:val="left"/>
      <w:rPr>
        <w:rFonts w:hint="eastAsia"/>
      </w:rPr>
    </w:lvl>
  </w:abstractNum>
  <w:abstractNum w:abstractNumId="1">
    <w:nsid w:val="D9EE3FE8"/>
    <w:multiLevelType w:val="singleLevel"/>
    <w:tmpl w:val="D9EE3FE8"/>
    <w:lvl w:ilvl="0" w:tentative="0">
      <w:start w:val="6"/>
      <w:numFmt w:val="chineseCounting"/>
      <w:suff w:val="nothing"/>
      <w:lvlText w:val="%1、"/>
      <w:lvlJc w:val="left"/>
      <w:pPr>
        <w:ind w:left="420"/>
      </w:pPr>
      <w:rPr>
        <w:rFonts w:hint="eastAsia"/>
      </w:rPr>
    </w:lvl>
  </w:abstractNum>
  <w:abstractNum w:abstractNumId="2">
    <w:nsid w:val="723E0955"/>
    <w:multiLevelType w:val="singleLevel"/>
    <w:tmpl w:val="723E0955"/>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VkOTkwN2I1NGM2ODhjODZkMjhhZDI3ODI5YzVhMjgifQ=="/>
  </w:docVars>
  <w:rsids>
    <w:rsidRoot w:val="07330A38"/>
    <w:rsid w:val="00046FEA"/>
    <w:rsid w:val="000F3DEA"/>
    <w:rsid w:val="00157874"/>
    <w:rsid w:val="00157CFB"/>
    <w:rsid w:val="00195669"/>
    <w:rsid w:val="001A7CBC"/>
    <w:rsid w:val="001D3C8A"/>
    <w:rsid w:val="002650F9"/>
    <w:rsid w:val="0027497C"/>
    <w:rsid w:val="00341060"/>
    <w:rsid w:val="00383946"/>
    <w:rsid w:val="003A2C8A"/>
    <w:rsid w:val="00417669"/>
    <w:rsid w:val="004D4994"/>
    <w:rsid w:val="00583FFE"/>
    <w:rsid w:val="005B6523"/>
    <w:rsid w:val="005D09A9"/>
    <w:rsid w:val="0068628D"/>
    <w:rsid w:val="007B28DA"/>
    <w:rsid w:val="007F0A01"/>
    <w:rsid w:val="00817592"/>
    <w:rsid w:val="0082715B"/>
    <w:rsid w:val="00894DAE"/>
    <w:rsid w:val="00A03B5B"/>
    <w:rsid w:val="00A41922"/>
    <w:rsid w:val="00A61290"/>
    <w:rsid w:val="00A70160"/>
    <w:rsid w:val="00A7074B"/>
    <w:rsid w:val="00A728BC"/>
    <w:rsid w:val="00AE45C0"/>
    <w:rsid w:val="00AF3A02"/>
    <w:rsid w:val="00B12D38"/>
    <w:rsid w:val="00B30E6B"/>
    <w:rsid w:val="00B33C14"/>
    <w:rsid w:val="00B508C2"/>
    <w:rsid w:val="00BE08B1"/>
    <w:rsid w:val="00BE1A3B"/>
    <w:rsid w:val="00C55A94"/>
    <w:rsid w:val="00C96D94"/>
    <w:rsid w:val="00E157CC"/>
    <w:rsid w:val="00E26924"/>
    <w:rsid w:val="00E657B6"/>
    <w:rsid w:val="00F04969"/>
    <w:rsid w:val="00F07925"/>
    <w:rsid w:val="00F95D98"/>
    <w:rsid w:val="00FC448C"/>
    <w:rsid w:val="00FD1659"/>
    <w:rsid w:val="00FF3AED"/>
    <w:rsid w:val="07330A38"/>
    <w:rsid w:val="08B31E4E"/>
    <w:rsid w:val="1BF02FC6"/>
    <w:rsid w:val="1CBF2475"/>
    <w:rsid w:val="37C4498C"/>
    <w:rsid w:val="40441409"/>
    <w:rsid w:val="67995896"/>
    <w:rsid w:val="698661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link w:val="13"/>
    <w:qFormat/>
    <w:uiPriority w:val="1"/>
    <w:pPr>
      <w:ind w:left="328"/>
    </w:pPr>
    <w:rPr>
      <w:szCs w:val="21"/>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link w:val="12"/>
    <w:qFormat/>
    <w:uiPriority w:val="0"/>
    <w:pPr>
      <w:tabs>
        <w:tab w:val="center" w:pos="4153"/>
        <w:tab w:val="right" w:pos="8306"/>
      </w:tabs>
      <w:snapToGrid w:val="0"/>
      <w:jc w:val="center"/>
    </w:pPr>
    <w:rPr>
      <w:sz w:val="18"/>
      <w:szCs w:val="18"/>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annotation reference"/>
    <w:basedOn w:val="8"/>
    <w:qFormat/>
    <w:uiPriority w:val="0"/>
    <w:rPr>
      <w:sz w:val="21"/>
      <w:szCs w:val="21"/>
    </w:rPr>
  </w:style>
  <w:style w:type="character" w:customStyle="1" w:styleId="10">
    <w:name w:val="font21"/>
    <w:basedOn w:val="8"/>
    <w:qFormat/>
    <w:uiPriority w:val="0"/>
    <w:rPr>
      <w:rFonts w:hint="eastAsia" w:ascii="宋体" w:hAnsi="宋体" w:eastAsia="宋体" w:cs="宋体"/>
      <w:color w:val="000000"/>
      <w:sz w:val="24"/>
      <w:szCs w:val="24"/>
      <w:u w:val="none"/>
    </w:rPr>
  </w:style>
  <w:style w:type="character" w:customStyle="1" w:styleId="11">
    <w:name w:val="font11"/>
    <w:basedOn w:val="8"/>
    <w:qFormat/>
    <w:uiPriority w:val="0"/>
    <w:rPr>
      <w:rFonts w:hint="eastAsia" w:ascii="宋体" w:hAnsi="宋体" w:eastAsia="宋体" w:cs="宋体"/>
      <w:color w:val="000000"/>
      <w:sz w:val="24"/>
      <w:szCs w:val="24"/>
      <w:u w:val="none"/>
    </w:rPr>
  </w:style>
  <w:style w:type="character" w:customStyle="1" w:styleId="12">
    <w:name w:val="页眉 字符"/>
    <w:basedOn w:val="8"/>
    <w:link w:val="5"/>
    <w:qFormat/>
    <w:uiPriority w:val="0"/>
    <w:rPr>
      <w:rFonts w:ascii="Times New Roman" w:hAnsi="Times New Roman" w:eastAsia="宋体" w:cs="Times New Roman"/>
      <w:kern w:val="2"/>
      <w:sz w:val="18"/>
      <w:szCs w:val="18"/>
    </w:rPr>
  </w:style>
  <w:style w:type="character" w:customStyle="1" w:styleId="13">
    <w:name w:val="正文文本 字符"/>
    <w:basedOn w:val="8"/>
    <w:link w:val="3"/>
    <w:qFormat/>
    <w:uiPriority w:val="1"/>
    <w:rPr>
      <w:rFonts w:ascii="Times New Roman" w:hAnsi="Times New Roman" w:eastAsia="宋体" w:cs="Times New Roman"/>
      <w:kern w:val="2"/>
      <w:sz w:val="21"/>
      <w:szCs w:val="21"/>
    </w:rPr>
  </w:style>
  <w:style w:type="character" w:customStyle="1" w:styleId="14">
    <w:name w:val="font51"/>
    <w:basedOn w:val="8"/>
    <w:qFormat/>
    <w:uiPriority w:val="0"/>
    <w:rPr>
      <w:rFonts w:hint="eastAsia" w:ascii="宋体" w:hAnsi="宋体" w:eastAsia="宋体" w:cs="宋体"/>
      <w:b/>
      <w:bCs/>
      <w:color w:val="000000"/>
      <w:sz w:val="21"/>
      <w:szCs w:val="21"/>
      <w:u w:val="none"/>
    </w:rPr>
  </w:style>
  <w:style w:type="character" w:customStyle="1" w:styleId="15">
    <w:name w:val="font41"/>
    <w:basedOn w:val="8"/>
    <w:qFormat/>
    <w:uiPriority w:val="0"/>
    <w:rPr>
      <w:rFonts w:hint="eastAsia" w:ascii="宋体" w:hAnsi="宋体" w:eastAsia="宋体" w:cs="宋体"/>
      <w:color w:val="000000"/>
      <w:sz w:val="21"/>
      <w:szCs w:val="21"/>
      <w:u w:val="none"/>
    </w:rPr>
  </w:style>
  <w:style w:type="character" w:customStyle="1" w:styleId="16">
    <w:name w:val="font81"/>
    <w:basedOn w:val="8"/>
    <w:qFormat/>
    <w:uiPriority w:val="0"/>
    <w:rPr>
      <w:rFonts w:hint="eastAsia" w:ascii="宋体" w:hAnsi="宋体" w:eastAsia="宋体" w:cs="宋体"/>
      <w:color w:val="000000"/>
      <w:sz w:val="21"/>
      <w:szCs w:val="2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7222</Words>
  <Characters>7443</Characters>
  <Lines>61</Lines>
  <Paragraphs>17</Paragraphs>
  <TotalTime>24</TotalTime>
  <ScaleCrop>false</ScaleCrop>
  <LinksUpToDate>false</LinksUpToDate>
  <CharactersWithSpaces>7975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2024-03-15T02:39:00Z</dcterms:created>
  <dc:creator>不做一米陌生人</dc:creator>
  <cp:lastModifiedBy>王婷123</cp:lastModifiedBy>
  <dcterms:modified xsi:type="dcterms:W3CDTF">2026-03-10T07:59:23Z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E135BCFC2E1F421F877CDA0CAA684A78_13</vt:lpwstr>
  </property>
  <property fmtid="{D5CDD505-2E9C-101B-9397-08002B2CF9AE}" pid="4" name="KSOTemplateDocerSaveRecord">
    <vt:lpwstr>eyJoZGlkIjoiYjllNDNkMzUxNjZjNjc2MWIxYTJkZDdhYWMwMThlNzgiLCJ1c2VySWQiOiIxMzAzODAzOTI3In0=</vt:lpwstr>
  </property>
</Properties>
</file>