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9DD3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76" w:lineRule="exact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 xml:space="preserve">附件1  </w:t>
      </w:r>
    </w:p>
    <w:p w14:paraId="381383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76" w:lineRule="exact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 w14:paraId="770E1B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76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采购需求</w:t>
      </w:r>
    </w:p>
    <w:p w14:paraId="6421C5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76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32"/>
          <w:szCs w:val="32"/>
          <w:lang w:val="en-US" w:eastAsia="zh-CN"/>
        </w:rPr>
      </w:pPr>
    </w:p>
    <w:p w14:paraId="2E3A1C27">
      <w:pPr>
        <w:numPr>
          <w:ilvl w:val="0"/>
          <w:numId w:val="0"/>
        </w:numPr>
        <w:spacing w:line="360" w:lineRule="auto"/>
        <w:ind w:leftChars="0" w:firstLine="640" w:firstLineChars="200"/>
        <w:rPr>
          <w:rFonts w:hint="default" w:ascii="Times New Roman" w:hAnsi="Times New Roman" w:eastAsia="黑体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  <w:t>一、采购范围（清单）</w:t>
      </w:r>
    </w:p>
    <w:tbl>
      <w:tblPr>
        <w:tblStyle w:val="3"/>
        <w:tblW w:w="99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1815"/>
        <w:gridCol w:w="930"/>
        <w:gridCol w:w="765"/>
        <w:gridCol w:w="1185"/>
        <w:gridCol w:w="1185"/>
        <w:gridCol w:w="1154"/>
        <w:gridCol w:w="2220"/>
      </w:tblGrid>
      <w:tr w14:paraId="2E92A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744" w:type="dxa"/>
            <w:vAlign w:val="center"/>
          </w:tcPr>
          <w:p w14:paraId="02B40E11">
            <w:pPr>
              <w:pStyle w:val="5"/>
              <w:jc w:val="center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</w:rPr>
              <w:t>序号</w:t>
            </w:r>
          </w:p>
        </w:tc>
        <w:tc>
          <w:tcPr>
            <w:tcW w:w="1815" w:type="dxa"/>
            <w:vAlign w:val="center"/>
          </w:tcPr>
          <w:p w14:paraId="7BF496E9">
            <w:pPr>
              <w:pStyle w:val="5"/>
              <w:jc w:val="center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</w:rPr>
              <w:t>标的名称</w:t>
            </w:r>
          </w:p>
        </w:tc>
        <w:tc>
          <w:tcPr>
            <w:tcW w:w="930" w:type="dxa"/>
            <w:vAlign w:val="center"/>
          </w:tcPr>
          <w:p w14:paraId="7DED0227">
            <w:pPr>
              <w:pStyle w:val="5"/>
              <w:jc w:val="center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</w:rPr>
              <w:t>数量</w:t>
            </w:r>
          </w:p>
        </w:tc>
        <w:tc>
          <w:tcPr>
            <w:tcW w:w="765" w:type="dxa"/>
            <w:vAlign w:val="center"/>
          </w:tcPr>
          <w:p w14:paraId="05173D74">
            <w:pPr>
              <w:pStyle w:val="5"/>
              <w:jc w:val="center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</w:rPr>
              <w:t>单位</w:t>
            </w:r>
          </w:p>
        </w:tc>
        <w:tc>
          <w:tcPr>
            <w:tcW w:w="1185" w:type="dxa"/>
            <w:vAlign w:val="center"/>
          </w:tcPr>
          <w:p w14:paraId="1F2A5CC1">
            <w:pPr>
              <w:pStyle w:val="5"/>
              <w:jc w:val="center"/>
              <w:rPr>
                <w:rFonts w:hint="eastAsia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含税单价限价</w:t>
            </w:r>
          </w:p>
          <w:p w14:paraId="617D6391">
            <w:pPr>
              <w:pStyle w:val="5"/>
              <w:jc w:val="center"/>
              <w:rPr>
                <w:rFonts w:hint="eastAsia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（元/米）</w:t>
            </w:r>
          </w:p>
        </w:tc>
        <w:tc>
          <w:tcPr>
            <w:tcW w:w="1185" w:type="dxa"/>
            <w:vAlign w:val="center"/>
          </w:tcPr>
          <w:p w14:paraId="11ED8189">
            <w:pPr>
              <w:pStyle w:val="5"/>
              <w:jc w:val="center"/>
              <w:rPr>
                <w:rFonts w:hint="default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报价</w:t>
            </w:r>
          </w:p>
          <w:p w14:paraId="6AC1878B">
            <w:pPr>
              <w:pStyle w:val="5"/>
              <w:jc w:val="center"/>
              <w:rPr>
                <w:rFonts w:hint="eastAsia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含税单价（元/米）</w:t>
            </w:r>
          </w:p>
        </w:tc>
        <w:tc>
          <w:tcPr>
            <w:tcW w:w="1154" w:type="dxa"/>
            <w:vAlign w:val="center"/>
          </w:tcPr>
          <w:p w14:paraId="62373CC2">
            <w:pPr>
              <w:pStyle w:val="5"/>
              <w:jc w:val="center"/>
              <w:rPr>
                <w:rFonts w:hint="eastAsia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发票税率</w:t>
            </w:r>
          </w:p>
        </w:tc>
        <w:tc>
          <w:tcPr>
            <w:tcW w:w="2220" w:type="dxa"/>
            <w:vAlign w:val="center"/>
          </w:tcPr>
          <w:p w14:paraId="453BAE3C">
            <w:pPr>
              <w:pStyle w:val="5"/>
              <w:jc w:val="center"/>
              <w:rPr>
                <w:rFonts w:hint="eastAsia" w:ascii="黑体" w:hAnsi="黑体" w:eastAsia="黑体" w:cs="黑体"/>
                <w:lang w:eastAsia="zh-CN"/>
              </w:rPr>
            </w:pPr>
            <w:r>
              <w:rPr>
                <w:rFonts w:hint="eastAsia" w:ascii="黑体" w:hAnsi="黑体" w:eastAsia="黑体" w:cs="黑体"/>
                <w:lang w:eastAsia="zh-CN"/>
              </w:rPr>
              <w:t>备注</w:t>
            </w:r>
          </w:p>
        </w:tc>
      </w:tr>
      <w:tr w14:paraId="116B5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744" w:type="dxa"/>
            <w:vAlign w:val="center"/>
          </w:tcPr>
          <w:p w14:paraId="083E7E33">
            <w:pPr>
              <w:pStyle w:val="5"/>
              <w:jc w:val="center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</w:rPr>
              <w:t>1</w:t>
            </w:r>
          </w:p>
        </w:tc>
        <w:tc>
          <w:tcPr>
            <w:tcW w:w="1815" w:type="dxa"/>
            <w:vAlign w:val="center"/>
          </w:tcPr>
          <w:p w14:paraId="3B54AE2B">
            <w:pPr>
              <w:pStyle w:val="5"/>
              <w:jc w:val="center"/>
              <w:rPr>
                <w:rFonts w:hint="eastAsia" w:ascii="黑体" w:hAnsi="黑体" w:eastAsia="黑体" w:cs="黑体"/>
                <w:lang w:eastAsia="zh-CN"/>
              </w:rPr>
            </w:pPr>
            <w:r>
              <w:rPr>
                <w:rFonts w:hint="eastAsia" w:ascii="黑体" w:hAnsi="黑体" w:eastAsia="黑体" w:cs="黑体"/>
                <w:lang w:eastAsia="zh-CN"/>
              </w:rPr>
              <w:t>医用阻燃窗帘</w:t>
            </w:r>
          </w:p>
        </w:tc>
        <w:tc>
          <w:tcPr>
            <w:tcW w:w="930" w:type="dxa"/>
            <w:vMerge w:val="restart"/>
            <w:vAlign w:val="center"/>
          </w:tcPr>
          <w:p w14:paraId="7B18DBAB">
            <w:pPr>
              <w:pStyle w:val="5"/>
              <w:jc w:val="center"/>
              <w:rPr>
                <w:rFonts w:hint="eastAsia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以实际测量及验收数量为准</w:t>
            </w:r>
          </w:p>
          <w:p w14:paraId="46C2F9C7">
            <w:pPr>
              <w:pStyle w:val="5"/>
              <w:jc w:val="center"/>
              <w:rPr>
                <w:rFonts w:hint="eastAsia" w:ascii="黑体" w:hAnsi="黑体" w:eastAsia="黑体" w:cs="黑体"/>
                <w:lang w:val="en-US" w:eastAsia="zh-CN"/>
              </w:rPr>
            </w:pPr>
          </w:p>
        </w:tc>
        <w:tc>
          <w:tcPr>
            <w:tcW w:w="765" w:type="dxa"/>
            <w:vAlign w:val="center"/>
          </w:tcPr>
          <w:p w14:paraId="2A861F0D">
            <w:pPr>
              <w:pStyle w:val="5"/>
              <w:jc w:val="center"/>
              <w:rPr>
                <w:rFonts w:hint="eastAsia" w:ascii="黑体" w:hAnsi="黑体" w:eastAsia="黑体" w:cs="黑体"/>
                <w:lang w:eastAsia="zh-CN"/>
              </w:rPr>
            </w:pPr>
            <w:r>
              <w:rPr>
                <w:rFonts w:hint="eastAsia" w:ascii="黑体" w:hAnsi="黑体" w:eastAsia="黑体" w:cs="黑体"/>
                <w:lang w:eastAsia="zh-CN"/>
              </w:rPr>
              <w:t>米</w:t>
            </w:r>
          </w:p>
        </w:tc>
        <w:tc>
          <w:tcPr>
            <w:tcW w:w="1185" w:type="dxa"/>
            <w:vAlign w:val="center"/>
          </w:tcPr>
          <w:p w14:paraId="2BEFB059">
            <w:pPr>
              <w:pStyle w:val="5"/>
              <w:jc w:val="center"/>
              <w:rPr>
                <w:rFonts w:hint="default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55</w:t>
            </w:r>
          </w:p>
        </w:tc>
        <w:tc>
          <w:tcPr>
            <w:tcW w:w="1185" w:type="dxa"/>
            <w:vAlign w:val="center"/>
          </w:tcPr>
          <w:p w14:paraId="1D39D8EF">
            <w:pPr>
              <w:pStyle w:val="5"/>
              <w:jc w:val="center"/>
              <w:rPr>
                <w:rFonts w:hint="eastAsia" w:ascii="黑体" w:hAnsi="黑体" w:eastAsia="黑体" w:cs="黑体"/>
                <w:lang w:eastAsia="zh-CN"/>
              </w:rPr>
            </w:pPr>
          </w:p>
        </w:tc>
        <w:tc>
          <w:tcPr>
            <w:tcW w:w="1154" w:type="dxa"/>
            <w:vAlign w:val="center"/>
          </w:tcPr>
          <w:p w14:paraId="1E429F5B">
            <w:pPr>
              <w:pStyle w:val="5"/>
              <w:jc w:val="left"/>
              <w:rPr>
                <w:rFonts w:hint="eastAsia" w:ascii="黑体" w:hAnsi="黑体" w:eastAsia="黑体" w:cs="黑体"/>
                <w:lang w:eastAsia="zh-CN"/>
              </w:rPr>
            </w:pPr>
          </w:p>
        </w:tc>
        <w:tc>
          <w:tcPr>
            <w:tcW w:w="2220" w:type="dxa"/>
            <w:vMerge w:val="restart"/>
            <w:vAlign w:val="center"/>
          </w:tcPr>
          <w:p w14:paraId="69B40B26">
            <w:pPr>
              <w:pStyle w:val="2"/>
              <w:jc w:val="left"/>
              <w:rPr>
                <w:rFonts w:hint="eastAsia" w:ascii="黑体" w:hAnsi="黑体" w:eastAsia="黑体" w:cs="黑体"/>
                <w:sz w:val="20"/>
                <w:szCs w:val="20"/>
                <w:lang w:val="en-US" w:eastAsia="zh-CN" w:bidi="ar-SA"/>
              </w:rPr>
            </w:pPr>
          </w:p>
          <w:p w14:paraId="025002AC">
            <w:pPr>
              <w:pStyle w:val="2"/>
              <w:jc w:val="left"/>
              <w:rPr>
                <w:rFonts w:hint="eastAsia" w:ascii="黑体" w:hAnsi="黑体" w:eastAsia="黑体" w:cs="黑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  <w:lang w:val="en-US" w:eastAsia="zh-CN" w:bidi="ar-SA"/>
              </w:rPr>
              <w:t>供应商进行单价报价，最终金额以实际测量为准（单价中已包含但不限于人工费、安装费、运输费等所有费用）。此价格为含税价，供应商报价时需写明不含税金额、含税金额、税率。</w:t>
            </w:r>
          </w:p>
          <w:p w14:paraId="012F00D9">
            <w:pPr>
              <w:pStyle w:val="5"/>
              <w:jc w:val="left"/>
              <w:rPr>
                <w:rFonts w:hint="eastAsia" w:ascii="黑体" w:hAnsi="黑体" w:eastAsia="黑体" w:cs="黑体"/>
                <w:lang w:eastAsia="zh-CN"/>
              </w:rPr>
            </w:pPr>
          </w:p>
        </w:tc>
      </w:tr>
      <w:tr w14:paraId="431B17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744" w:type="dxa"/>
            <w:vAlign w:val="center"/>
          </w:tcPr>
          <w:p w14:paraId="69428D6A">
            <w:pPr>
              <w:pStyle w:val="5"/>
              <w:jc w:val="center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</w:rPr>
              <w:t>2</w:t>
            </w:r>
          </w:p>
        </w:tc>
        <w:tc>
          <w:tcPr>
            <w:tcW w:w="1815" w:type="dxa"/>
            <w:vAlign w:val="center"/>
          </w:tcPr>
          <w:p w14:paraId="1B13DE79">
            <w:pPr>
              <w:pStyle w:val="5"/>
              <w:jc w:val="center"/>
              <w:rPr>
                <w:rFonts w:hint="eastAsia" w:ascii="黑体" w:hAnsi="黑体" w:eastAsia="黑体" w:cs="黑体"/>
                <w:lang w:eastAsia="zh-CN"/>
              </w:rPr>
            </w:pPr>
            <w:r>
              <w:rPr>
                <w:rFonts w:hint="eastAsia" w:ascii="黑体" w:hAnsi="黑体" w:eastAsia="黑体" w:cs="黑体"/>
                <w:lang w:eastAsia="zh-CN"/>
              </w:rPr>
              <w:t>医用阻燃隔帘</w:t>
            </w:r>
          </w:p>
        </w:tc>
        <w:tc>
          <w:tcPr>
            <w:tcW w:w="930" w:type="dxa"/>
            <w:vMerge w:val="continue"/>
            <w:vAlign w:val="center"/>
          </w:tcPr>
          <w:p w14:paraId="2342FBDA">
            <w:pPr>
              <w:pStyle w:val="5"/>
              <w:jc w:val="center"/>
              <w:rPr>
                <w:rFonts w:hint="eastAsia" w:ascii="黑体" w:hAnsi="黑体" w:eastAsia="黑体" w:cs="黑体"/>
                <w:lang w:val="en-US" w:eastAsia="zh-CN"/>
              </w:rPr>
            </w:pPr>
          </w:p>
        </w:tc>
        <w:tc>
          <w:tcPr>
            <w:tcW w:w="765" w:type="dxa"/>
            <w:vAlign w:val="center"/>
          </w:tcPr>
          <w:p w14:paraId="2DC8811E">
            <w:pPr>
              <w:jc w:val="center"/>
              <w:rPr>
                <w:rFonts w:hint="eastAsia" w:ascii="黑体" w:hAnsi="黑体" w:eastAsia="黑体" w:cs="黑体"/>
                <w:lang w:eastAsia="zh-CN"/>
              </w:rPr>
            </w:pPr>
            <w:r>
              <w:rPr>
                <w:rFonts w:hint="eastAsia" w:ascii="黑体" w:hAnsi="黑体" w:eastAsia="黑体" w:cs="黑体"/>
                <w:lang w:eastAsia="zh-CN"/>
              </w:rPr>
              <w:t>米</w:t>
            </w:r>
          </w:p>
        </w:tc>
        <w:tc>
          <w:tcPr>
            <w:tcW w:w="1185" w:type="dxa"/>
            <w:vAlign w:val="center"/>
          </w:tcPr>
          <w:p w14:paraId="3C9F7F83">
            <w:pPr>
              <w:pStyle w:val="5"/>
              <w:jc w:val="center"/>
              <w:rPr>
                <w:rFonts w:hint="default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45</w:t>
            </w:r>
          </w:p>
        </w:tc>
        <w:tc>
          <w:tcPr>
            <w:tcW w:w="1185" w:type="dxa"/>
            <w:vAlign w:val="center"/>
          </w:tcPr>
          <w:p w14:paraId="73491289">
            <w:pPr>
              <w:pStyle w:val="5"/>
              <w:jc w:val="center"/>
              <w:rPr>
                <w:rFonts w:hint="eastAsia" w:ascii="黑体" w:hAnsi="黑体" w:eastAsia="黑体" w:cs="黑体"/>
                <w:lang w:val="en-US" w:eastAsia="zh-CN"/>
              </w:rPr>
            </w:pPr>
          </w:p>
        </w:tc>
        <w:tc>
          <w:tcPr>
            <w:tcW w:w="1154" w:type="dxa"/>
            <w:vAlign w:val="center"/>
          </w:tcPr>
          <w:p w14:paraId="78D171FA">
            <w:pPr>
              <w:pStyle w:val="5"/>
              <w:jc w:val="center"/>
              <w:rPr>
                <w:rFonts w:hint="eastAsia" w:ascii="黑体" w:hAnsi="黑体" w:eastAsia="黑体" w:cs="黑体"/>
                <w:lang w:val="en-US" w:eastAsia="zh-CN"/>
              </w:rPr>
            </w:pPr>
          </w:p>
        </w:tc>
        <w:tc>
          <w:tcPr>
            <w:tcW w:w="2220" w:type="dxa"/>
            <w:vMerge w:val="continue"/>
            <w:vAlign w:val="center"/>
          </w:tcPr>
          <w:p w14:paraId="59D9BA27">
            <w:pPr>
              <w:pStyle w:val="5"/>
              <w:jc w:val="center"/>
              <w:rPr>
                <w:rFonts w:hint="eastAsia" w:ascii="黑体" w:hAnsi="黑体" w:eastAsia="黑体" w:cs="黑体"/>
                <w:lang w:val="en-US" w:eastAsia="zh-CN"/>
              </w:rPr>
            </w:pPr>
          </w:p>
        </w:tc>
      </w:tr>
      <w:tr w14:paraId="57C86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744" w:type="dxa"/>
            <w:vAlign w:val="center"/>
          </w:tcPr>
          <w:p w14:paraId="55E7CF1E">
            <w:pPr>
              <w:pStyle w:val="5"/>
              <w:jc w:val="center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</w:rPr>
              <w:t>3</w:t>
            </w:r>
          </w:p>
        </w:tc>
        <w:tc>
          <w:tcPr>
            <w:tcW w:w="1815" w:type="dxa"/>
            <w:vAlign w:val="center"/>
          </w:tcPr>
          <w:p w14:paraId="1CC72593">
            <w:pPr>
              <w:pStyle w:val="5"/>
              <w:jc w:val="center"/>
              <w:rPr>
                <w:rFonts w:hint="eastAsia" w:ascii="黑体" w:hAnsi="黑体" w:eastAsia="黑体" w:cs="黑体"/>
                <w:lang w:eastAsia="zh-CN"/>
              </w:rPr>
            </w:pPr>
            <w:r>
              <w:rPr>
                <w:rFonts w:hint="eastAsia" w:ascii="黑体" w:hAnsi="黑体" w:eastAsia="黑体" w:cs="黑体"/>
                <w:lang w:eastAsia="zh-CN"/>
              </w:rPr>
              <w:t>医用窗帘轨道</w:t>
            </w:r>
          </w:p>
        </w:tc>
        <w:tc>
          <w:tcPr>
            <w:tcW w:w="930" w:type="dxa"/>
            <w:vMerge w:val="continue"/>
            <w:vAlign w:val="center"/>
          </w:tcPr>
          <w:p w14:paraId="31B1A9DE">
            <w:pPr>
              <w:pStyle w:val="5"/>
              <w:jc w:val="center"/>
              <w:rPr>
                <w:rFonts w:hint="eastAsia" w:ascii="黑体" w:hAnsi="黑体" w:eastAsia="黑体" w:cs="黑体"/>
                <w:lang w:val="en-US" w:eastAsia="zh-CN"/>
              </w:rPr>
            </w:pPr>
          </w:p>
        </w:tc>
        <w:tc>
          <w:tcPr>
            <w:tcW w:w="765" w:type="dxa"/>
            <w:vAlign w:val="center"/>
          </w:tcPr>
          <w:p w14:paraId="6381EF54">
            <w:pPr>
              <w:jc w:val="center"/>
              <w:rPr>
                <w:rFonts w:hint="eastAsia" w:ascii="黑体" w:hAnsi="黑体" w:eastAsia="黑体" w:cs="黑体"/>
                <w:lang w:eastAsia="zh-CN"/>
              </w:rPr>
            </w:pPr>
            <w:r>
              <w:rPr>
                <w:rFonts w:hint="eastAsia" w:ascii="黑体" w:hAnsi="黑体" w:eastAsia="黑体" w:cs="黑体"/>
                <w:lang w:eastAsia="zh-CN"/>
              </w:rPr>
              <w:t>米</w:t>
            </w:r>
          </w:p>
        </w:tc>
        <w:tc>
          <w:tcPr>
            <w:tcW w:w="1185" w:type="dxa"/>
            <w:vAlign w:val="center"/>
          </w:tcPr>
          <w:p w14:paraId="2FF89271">
            <w:pPr>
              <w:pStyle w:val="5"/>
              <w:jc w:val="center"/>
              <w:rPr>
                <w:rFonts w:hint="default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35</w:t>
            </w:r>
          </w:p>
        </w:tc>
        <w:tc>
          <w:tcPr>
            <w:tcW w:w="1185" w:type="dxa"/>
            <w:vAlign w:val="center"/>
          </w:tcPr>
          <w:p w14:paraId="5FB0451F">
            <w:pPr>
              <w:pStyle w:val="5"/>
              <w:jc w:val="center"/>
              <w:rPr>
                <w:rFonts w:hint="eastAsia" w:ascii="黑体" w:hAnsi="黑体" w:eastAsia="黑体" w:cs="黑体"/>
                <w:lang w:val="en-US" w:eastAsia="zh-CN"/>
              </w:rPr>
            </w:pPr>
          </w:p>
        </w:tc>
        <w:tc>
          <w:tcPr>
            <w:tcW w:w="1154" w:type="dxa"/>
            <w:vAlign w:val="center"/>
          </w:tcPr>
          <w:p w14:paraId="2A656D52">
            <w:pPr>
              <w:pStyle w:val="5"/>
              <w:jc w:val="center"/>
              <w:rPr>
                <w:rFonts w:hint="eastAsia" w:ascii="黑体" w:hAnsi="黑体" w:eastAsia="黑体" w:cs="黑体"/>
                <w:lang w:val="en-US" w:eastAsia="zh-CN"/>
              </w:rPr>
            </w:pPr>
          </w:p>
        </w:tc>
        <w:tc>
          <w:tcPr>
            <w:tcW w:w="2220" w:type="dxa"/>
            <w:vMerge w:val="continue"/>
            <w:vAlign w:val="center"/>
          </w:tcPr>
          <w:p w14:paraId="2150B875">
            <w:pPr>
              <w:pStyle w:val="5"/>
              <w:jc w:val="center"/>
              <w:rPr>
                <w:rFonts w:hint="eastAsia" w:ascii="黑体" w:hAnsi="黑体" w:eastAsia="黑体" w:cs="黑体"/>
                <w:lang w:val="en-US" w:eastAsia="zh-CN"/>
              </w:rPr>
            </w:pPr>
          </w:p>
        </w:tc>
      </w:tr>
    </w:tbl>
    <w:p w14:paraId="46000A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Chars="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黑体" w:hAnsi="黑体" w:eastAsia="黑体" w:cs="黑体"/>
          <w:kern w:val="2"/>
          <w:sz w:val="20"/>
          <w:szCs w:val="20"/>
          <w:lang w:val="en-US" w:eastAsia="zh-CN" w:bidi="ar-SA"/>
        </w:rPr>
        <w:t> </w:t>
      </w:r>
      <w:r>
        <w:rPr>
          <w:rFonts w:hint="eastAsia" w:ascii="Times New Roman" w:hAnsi="Times New Roman" w:eastAsia="仿宋_GB2312" w:cs="Times New Roman"/>
          <w:color w:val="000000"/>
          <w:kern w:val="0"/>
          <w:sz w:val="21"/>
          <w:szCs w:val="21"/>
          <w:lang w:val="en-US" w:eastAsia="zh-CN" w:bidi="ar"/>
        </w:rPr>
        <w:t>说明：</w:t>
      </w:r>
      <w:r>
        <w:rPr>
          <w:rFonts w:hint="default" w:ascii="Times New Roman" w:hAnsi="Times New Roman" w:eastAsia="仿宋_GB2312" w:cs="Times New Roman"/>
          <w:color w:val="000000"/>
          <w:kern w:val="0"/>
          <w:sz w:val="21"/>
          <w:szCs w:val="21"/>
          <w:lang w:val="en-US" w:eastAsia="zh-CN" w:bidi="ar"/>
        </w:rPr>
        <w:t>单价包含但不限于：材料费、生产加工费、运输费（含卸至采购人指定地点）、安装费（含辅材如螺丝、膨胀管等）、损耗费、税费（明确税率）、质保期内的售后服务费等所有费用，为‘一价全包’价格。</w:t>
      </w:r>
    </w:p>
    <w:p w14:paraId="27B882DC">
      <w:pPr>
        <w:numPr>
          <w:ilvl w:val="0"/>
          <w:numId w:val="0"/>
        </w:numPr>
        <w:spacing w:line="360" w:lineRule="auto"/>
        <w:ind w:leftChars="0" w:firstLine="640" w:firstLineChars="200"/>
        <w:rPr>
          <w:rFonts w:hint="default" w:ascii="Times New Roman" w:hAnsi="Times New Roman" w:eastAsia="黑体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  <w:t>二、具体参数及性能指标</w:t>
      </w:r>
    </w:p>
    <w:p w14:paraId="1EF4E471">
      <w:pPr>
        <w:keepNext w:val="0"/>
        <w:keepLines w:val="0"/>
        <w:widowControl/>
        <w:numPr>
          <w:ilvl w:val="0"/>
          <w:numId w:val="0"/>
        </w:numPr>
        <w:suppressLineNumbers w:val="0"/>
        <w:ind w:firstLine="562" w:firstLineChars="200"/>
        <w:jc w:val="both"/>
        <w:rPr>
          <w:rFonts w:hint="default" w:ascii="Times New Roman" w:hAnsi="Times New Roman" w:eastAsia="楷体_GB2312" w:cs="Times New Roman"/>
          <w:b/>
          <w:bCs/>
          <w:sz w:val="28"/>
          <w:szCs w:val="28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28"/>
          <w:szCs w:val="28"/>
          <w:lang w:val="en-US" w:eastAsia="zh-CN"/>
        </w:rPr>
        <w:t>（一）医用阻燃窗帘</w:t>
      </w:r>
    </w:p>
    <w:p w14:paraId="65CF698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2" w:firstLineChars="2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kern w:val="0"/>
          <w:sz w:val="21"/>
          <w:szCs w:val="21"/>
          <w:lang w:val="en-US" w:eastAsia="zh-CN" w:bidi="ar"/>
        </w:rPr>
        <w:t>布料要求</w:t>
      </w:r>
      <w:r>
        <w:rPr>
          <w:rFonts w:hint="default" w:ascii="Times New Roman" w:hAnsi="Times New Roman" w:eastAsia="仿宋_GB2312" w:cs="Times New Roman"/>
          <w:color w:val="000000"/>
          <w:kern w:val="0"/>
          <w:sz w:val="21"/>
          <w:szCs w:val="21"/>
          <w:lang w:val="en-US" w:eastAsia="zh-CN" w:bidi="ar"/>
        </w:rPr>
        <w:t>1.纤维成分为 100%聚酯纤维； 2.单位面积质量 ≥300g/㎡； 3.织物密度：经向 ≥600根/10cm， 纬向≥300根 /10cm； 4.厚度≥0.60mm； 5.耐磨性＞10000 次； 6.断裂强力：经向 ≥1500N，纬向≥ 1400N； 7.撕破强力：经向 ≥50N，纬向≥ 50N； 8.顶破强力≥ 2200N； 9.色牢度≥4级 （包括：耐水洗、 耐酸汗渍、耐碱汗 渍、耐干摩擦、耐 湿摩擦、耐热压、 耐皂洗、耐干洗等 色牢度），耐光照 色牢度≥6级，耐 热压色牢度(150 ℃)≥4级； 10.水洗尺寸变化 率：经纬向-4%～ +3%； 11.干洗尺寸变化 率：经纬向-4%～ +3%； 12.耐汽蒸尺寸变 化率：经纬向-4% ～+3%； 13.水洗后外观： 色差＜6级； 14.起毛起球≥4 级； 15.洗后扭曲率≤ 0.5%； 16.悬垂性：≥ 60%； 17.遮光率：≥ 80%，根据使用区 域不一样，遮光需 求不一样； 18.防紫外线性 能：UPF紫外线防 护系数≥50，UVA 平均</w:t>
      </w:r>
      <w:r>
        <w:rPr>
          <w:rFonts w:hint="eastAsia" w:ascii="Times New Roman" w:hAnsi="Times New Roman" w:eastAsia="仿宋_GB2312" w:cs="Times New Roman"/>
          <w:color w:val="000000"/>
          <w:kern w:val="0"/>
          <w:sz w:val="21"/>
          <w:szCs w:val="21"/>
          <w:lang w:val="en-US" w:eastAsia="zh-CN" w:bidi="ar"/>
        </w:rPr>
        <w:t>透</w:t>
      </w:r>
      <w:r>
        <w:rPr>
          <w:rFonts w:hint="default" w:ascii="Times New Roman" w:hAnsi="Times New Roman" w:eastAsia="仿宋_GB2312" w:cs="Times New Roman"/>
          <w:color w:val="000000"/>
          <w:kern w:val="0"/>
          <w:sz w:val="21"/>
          <w:szCs w:val="21"/>
          <w:lang w:val="en-US" w:eastAsia="zh-CN" w:bidi="ar"/>
        </w:rPr>
        <w:t>射比＜5%。</w:t>
      </w:r>
    </w:p>
    <w:p w14:paraId="3257484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21"/>
          <w:szCs w:val="21"/>
          <w:lang w:val="en-US" w:eastAsia="zh-CN" w:bidi="ar"/>
        </w:rPr>
        <w:t xml:space="preserve"> </w:t>
      </w:r>
      <w:r>
        <w:rPr>
          <w:rFonts w:hint="default" w:ascii="Times New Roman" w:hAnsi="Times New Roman" w:eastAsia="仿宋_GB2312" w:cs="Times New Roman"/>
          <w:b/>
          <w:bCs/>
          <w:color w:val="000000"/>
          <w:kern w:val="0"/>
          <w:sz w:val="21"/>
          <w:szCs w:val="21"/>
          <w:lang w:val="en-US" w:eastAsia="zh-CN" w:bidi="ar"/>
        </w:rPr>
        <w:t xml:space="preserve">  抗菌防霉要求</w:t>
      </w:r>
      <w:r>
        <w:rPr>
          <w:rFonts w:hint="default" w:ascii="Times New Roman" w:hAnsi="Times New Roman" w:eastAsia="仿宋_GB2312" w:cs="Times New Roman"/>
          <w:color w:val="000000"/>
          <w:kern w:val="0"/>
          <w:sz w:val="21"/>
          <w:szCs w:val="21"/>
          <w:lang w:val="en-US" w:eastAsia="zh-CN" w:bidi="ar"/>
        </w:rPr>
        <w:t>：金黄色葡萄球菌≥90%，大肠杆菌≥90%，白色念珠菌≥80%，肺炎克雷伯氏菌≥ 80%，铜绿假单胞菌≥90%；巴西曲霉、球毛壳、绳状青霉、绿色木霉、出芽短梗霉5种霉菌均≤1级。</w:t>
      </w:r>
    </w:p>
    <w:p w14:paraId="6E90235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2" w:firstLineChars="2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kern w:val="0"/>
          <w:sz w:val="21"/>
          <w:szCs w:val="21"/>
          <w:lang w:val="en-US" w:eastAsia="zh-CN" w:bidi="ar"/>
        </w:rPr>
        <w:t>阻燃要求：</w:t>
      </w:r>
      <w:r>
        <w:rPr>
          <w:rFonts w:hint="default" w:ascii="Times New Roman" w:hAnsi="Times New Roman" w:eastAsia="仿宋_GB2312" w:cs="Times New Roman"/>
          <w:color w:val="000000"/>
          <w:kern w:val="0"/>
          <w:sz w:val="21"/>
          <w:szCs w:val="21"/>
          <w:lang w:val="en-US" w:eastAsia="zh-CN" w:bidi="ar"/>
        </w:rPr>
        <w:t>符合标准GB 20286-2006《公共 场所阻燃制品及 组件燃烧性能要 求和标识》(织物 阻燃1级)的技 术要求，氧指数≥ 32%，续燃时间≤ 5s，阴燃时间≤ 5s，损毁长度≤ 150mm，燃烧滴落 物：未引起脱脂棉 燃烧或阴燃，烟密 度等级≤15，产烟 毒性等级不低于 ZA2。</w:t>
      </w:r>
    </w:p>
    <w:p w14:paraId="1F4DD12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2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kern w:val="0"/>
          <w:sz w:val="21"/>
          <w:szCs w:val="21"/>
          <w:lang w:val="en-US" w:eastAsia="zh-CN" w:bidi="ar"/>
        </w:rPr>
        <w:t>绿色环保要求：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1.甲醛含量≤ 30mg/kg； 2.PH值4.0～ 9.0； 3.无异味； 4.可分解致癌芳 香胺染料（24种）≤20mg/kg， 5.重金属总铅 （Pb）≤ 0.5mg/kg，重金属 总镉（Cd）≤ 0.5mg/kg，可萃取 重金属含量（镉、 铅、砷、铜、汞、 钴、镍、铬、锑、 六价铬）≤ 1mg/kg； 6.无致敏染料； 7.无致癌染料。</w:t>
      </w:r>
    </w:p>
    <w:p w14:paraId="52ECBE5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2" w:firstLineChars="2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kern w:val="0"/>
          <w:sz w:val="21"/>
          <w:szCs w:val="21"/>
          <w:lang w:val="en-US" w:eastAsia="zh-CN" w:bidi="ar"/>
        </w:rPr>
        <w:t>制作工艺：</w:t>
      </w:r>
      <w:r>
        <w:rPr>
          <w:rFonts w:hint="default" w:ascii="Times New Roman" w:hAnsi="Times New Roman" w:eastAsia="仿宋_GB2312" w:cs="Times New Roman"/>
          <w:color w:val="000000"/>
          <w:kern w:val="0"/>
          <w:sz w:val="21"/>
          <w:szCs w:val="21"/>
          <w:lang w:val="en-US" w:eastAsia="zh-CN" w:bidi="ar"/>
        </w:rPr>
        <w:t>颜色及花纹 1.褶皱比例为1:1.8；顶部卷边双层≥ 10cm，底部卷边双层≥10cm，左右卷边各≥3cm；制作工艺精细，缝纫线路笔直；窗帘所需 布头带：衬带为白 色有纺布，材质聚酯纤维。挂钩采用不锈钢S型挂钩，成品无线头无污物，高温定型；缝制针距均匀牢固 表面平整每10cm 不少于30针</w:t>
      </w:r>
      <w:r>
        <w:rPr>
          <w:rFonts w:hint="default" w:ascii="Times New Roman" w:hAnsi="Times New Roman" w:eastAsia="仿宋_GB2312" w:cs="Times New Roman"/>
          <w:color w:val="000000"/>
          <w:kern w:val="0"/>
          <w:sz w:val="21"/>
          <w:szCs w:val="21"/>
          <w:highlight w:val="none"/>
          <w:lang w:val="en-US" w:eastAsia="zh-CN" w:bidi="ar"/>
        </w:rPr>
        <w:t>；门诊诊室高度离地面5-30cm（落于石材上，以</w:t>
      </w:r>
      <w:r>
        <w:rPr>
          <w:rFonts w:hint="eastAsia" w:ascii="Times New Roman" w:hAnsi="Times New Roman" w:eastAsia="仿宋_GB2312" w:cs="Times New Roman"/>
          <w:color w:val="000000"/>
          <w:kern w:val="0"/>
          <w:sz w:val="21"/>
          <w:szCs w:val="21"/>
          <w:highlight w:val="none"/>
          <w:lang w:val="en-US" w:eastAsia="zh-CN" w:bidi="ar"/>
        </w:rPr>
        <w:t>采购方</w:t>
      </w:r>
      <w:r>
        <w:rPr>
          <w:rFonts w:hint="default" w:ascii="Times New Roman" w:hAnsi="Times New Roman" w:eastAsia="仿宋_GB2312" w:cs="Times New Roman"/>
          <w:color w:val="000000"/>
          <w:kern w:val="0"/>
          <w:sz w:val="21"/>
          <w:szCs w:val="21"/>
          <w:highlight w:val="none"/>
          <w:lang w:val="en-US" w:eastAsia="zh-CN" w:bidi="ar"/>
        </w:rPr>
        <w:t>实际测量及现场情况为准），住院部窗帘台面均落于飘窗上，每</w:t>
      </w:r>
      <w:r>
        <w:rPr>
          <w:rFonts w:hint="default" w:ascii="Times New Roman" w:hAnsi="Times New Roman" w:eastAsia="仿宋_GB2312" w:cs="Times New Roman"/>
          <w:color w:val="000000"/>
          <w:kern w:val="0"/>
          <w:sz w:val="21"/>
          <w:szCs w:val="21"/>
          <w:lang w:val="en-US" w:eastAsia="zh-CN" w:bidi="ar"/>
        </w:rPr>
        <w:t>幅布帘均含固定绑带具体尺寸以实际要求为准。 2.颜色及花纹：根据采购人需求提供。</w:t>
      </w:r>
    </w:p>
    <w:p w14:paraId="3F5A52C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2" w:firstLineChars="200"/>
        <w:jc w:val="both"/>
        <w:textAlignment w:val="auto"/>
        <w:rPr>
          <w:rFonts w:hint="default" w:ascii="Times New Roman" w:hAnsi="Times New Roman" w:eastAsia="楷体_GB2312" w:cs="Times New Roman"/>
          <w:b/>
          <w:bCs/>
          <w:sz w:val="21"/>
          <w:szCs w:val="21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21"/>
          <w:szCs w:val="21"/>
          <w:lang w:val="en-US" w:eastAsia="zh-CN"/>
        </w:rPr>
        <w:t>（二）医用阻燃隔帘</w:t>
      </w:r>
    </w:p>
    <w:p w14:paraId="37AB8BB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2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kern w:val="0"/>
          <w:sz w:val="21"/>
          <w:szCs w:val="21"/>
          <w:lang w:val="en-US" w:eastAsia="zh-CN" w:bidi="ar"/>
        </w:rPr>
        <w:t>布料要求：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1.纤维成分为 100%聚酯纤维； 2.单位面积质量 （网格除外）≥ 250g/㎡； 3.织物密度：经向 ≥140根/10cm， 纬向≥120根 /10cm； 4.网孔高度50cm-80cm； 5.厚度≥0.7mm； 6.耐磨性＞10000 次； 7.断裂强力：经向 ≥1400N，纬向≥ 1400N； 8.撕破强力：经向 ≥50N，纬向≥ 50N； 9.顶破强力≥ 1200N； 10.耐水色牢度： 变色≥4级，沾色 ≥4级；耐干洗色 牢度：≥4级；耐 热压色牢度(150 ℃)：≥4级； 11.水洗尺寸变化 率：经纬向-4%～ +3%； 12.干洗尺寸变化 率：经纬向-4%～ +3%； 13.耐汽蒸尺寸变 化率：经纬向-4% ～+3%； 14.起毛起球≥4 级； 15.耐黄变≥4级； 16.悬垂性：≥ 60%； 17.遮光率：≥ 70%。</w:t>
      </w:r>
    </w:p>
    <w:p w14:paraId="7DA1BAD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2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kern w:val="0"/>
          <w:sz w:val="21"/>
          <w:szCs w:val="21"/>
          <w:lang w:val="en-US" w:eastAsia="zh-CN" w:bidi="ar"/>
        </w:rPr>
        <w:t>抗菌防霉要求：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金黄色葡萄球 菌≥90%，大肠杆 菌≥90%，白色念 珠菌≥80%，肺炎 克雷伯氏菌≥ 80%，铜绿假单胞 菌≥90%；巴西曲 霉、球毛壳、绳状 青霉、绿色木霉、 出芽短梗霉，5种 霉菌均≤1级。</w:t>
      </w:r>
    </w:p>
    <w:p w14:paraId="7EEB527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2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kern w:val="0"/>
          <w:sz w:val="21"/>
          <w:szCs w:val="21"/>
          <w:lang w:val="en-US" w:eastAsia="zh-CN" w:bidi="ar"/>
        </w:rPr>
        <w:t>阻燃要求：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符合标准GB 20286-2006《公共场所阻燃制品及 组件燃烧性能要 求和标识》(织物 阻燃1级)的技 术要求，氧指数≥ 32%，续燃时间≤ 5s，阴燃时间≤ 5s，损毁长度≤ 150mm，燃烧滴落物：未引起脱脂棉 燃烧或阴燃，烟密 度等级≤15，产烟 毒性等级不低于ZA2。</w:t>
      </w:r>
    </w:p>
    <w:p w14:paraId="45E5E9D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2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kern w:val="0"/>
          <w:sz w:val="21"/>
          <w:szCs w:val="21"/>
          <w:lang w:val="en-US" w:eastAsia="zh-CN" w:bidi="ar"/>
        </w:rPr>
        <w:t>绿色环保要求：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1.甲醛含量≤ 30mg/kg； 2.PH值4.0～ 9.0；3.可分解致癌芳 香胺染料未检出； 4.可萃取重金属含量（镉、铅、砷、铜、汞、钴、镍、铬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、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六价铬）≤ 1mg/kg，重金属总铅（Pb）、重金属总镉（Cd）≤ 1mg/kg； 5.无致敏染料 6.无致癌染料。</w:t>
      </w:r>
    </w:p>
    <w:p w14:paraId="3799D6B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2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kern w:val="0"/>
          <w:sz w:val="21"/>
          <w:szCs w:val="21"/>
          <w:lang w:val="en-US" w:eastAsia="zh-CN" w:bidi="ar"/>
        </w:rPr>
        <w:t xml:space="preserve">工艺制作要求 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1.褶皱比例为1:1.8；顶部卷边双层≥10cm， 底部卷边双层≥ 10cm，左右卷边各 ≥3cm；制作工艺精细，缝纫线路笔直；窗帘所需布头带：衬带为白色有纺布，材质聚酯纤维。挂钩采用不锈 钢S型挂钩，成品 无线头无污物，高温定型；缝制针距均匀牢固表面平 整每10cm不少于 30针；高度离地 面5-15cm，每幅围帘均含固定绑带。具体尺寸以实际要求为准。 2.颜色及花纹：根据采购人需求提供。</w:t>
      </w:r>
    </w:p>
    <w:p w14:paraId="64AEDC0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2" w:firstLineChars="200"/>
        <w:jc w:val="both"/>
        <w:textAlignment w:val="auto"/>
        <w:rPr>
          <w:rFonts w:hint="default" w:ascii="Times New Roman" w:hAnsi="Times New Roman" w:eastAsia="楷体_GB2312" w:cs="Times New Roman"/>
          <w:b/>
          <w:bCs/>
          <w:sz w:val="21"/>
          <w:szCs w:val="21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21"/>
          <w:szCs w:val="21"/>
          <w:lang w:val="en-US" w:eastAsia="zh-CN"/>
        </w:rPr>
        <w:t>（三）医用窗帘轨道</w:t>
      </w:r>
    </w:p>
    <w:p w14:paraId="607BA89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2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kern w:val="0"/>
          <w:sz w:val="21"/>
          <w:szCs w:val="21"/>
          <w:lang w:val="en-US" w:eastAsia="zh-CN" w:bidi="ar"/>
        </w:rPr>
        <w:t>材质要求</w:t>
      </w:r>
      <w:r>
        <w:rPr>
          <w:rFonts w:hint="eastAsia" w:ascii="Times New Roman" w:hAnsi="Times New Roman" w:eastAsia="仿宋_GB2312" w:cs="Times New Roman"/>
          <w:b/>
          <w:bCs/>
          <w:color w:val="000000"/>
          <w:kern w:val="0"/>
          <w:sz w:val="21"/>
          <w:szCs w:val="21"/>
          <w:lang w:val="en-US" w:eastAsia="zh-CN" w:bidi="ar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 xml:space="preserve">（提供第三方检测机构（具有检测资质）出具的合格 检测报告复印件） </w:t>
      </w:r>
    </w:p>
    <w:p w14:paraId="7DCD858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2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kern w:val="0"/>
          <w:sz w:val="21"/>
          <w:szCs w:val="21"/>
          <w:lang w:val="en-US" w:eastAsia="zh-CN" w:bidi="ar"/>
        </w:rPr>
        <w:t>轨道材质：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 xml:space="preserve">铝合金；外观表面涂层均匀，无皱纹、裂 纹、鼓泡、流痕、 发粘、划伤等影响使用的可视缺陷； </w:t>
      </w:r>
    </w:p>
    <w:p w14:paraId="15DE0CD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 xml:space="preserve">力学性能：规定非比例延伸强度 Rp0.2≥ 180N/mm2，抗拉强 度Rm≥200N/mm2， 断后伸长率A50mm ≥8%；维氏硬度≥ 58HV； </w:t>
      </w:r>
    </w:p>
    <w:p w14:paraId="535A4EE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2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kern w:val="0"/>
          <w:sz w:val="21"/>
          <w:szCs w:val="21"/>
          <w:lang w:val="en-US" w:eastAsia="zh-CN" w:bidi="ar"/>
        </w:rPr>
        <w:t>盐雾试验：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 xml:space="preserve">进行 中性盐雾试验后， 按照GB/T 6461-2002标准外 观评级RA＞9级， 耐碱性：经耐碱性 试验后，保护等级 ≥10级； </w:t>
      </w:r>
    </w:p>
    <w:p w14:paraId="7FB1B86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2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kern w:val="0"/>
          <w:sz w:val="21"/>
          <w:szCs w:val="21"/>
          <w:lang w:val="en-US" w:eastAsia="zh-CN" w:bidi="ar"/>
        </w:rPr>
        <w:t>化学成分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：Mg： 0.4-0.9%；Si： 0.2-0.6%；Fe≤ 0.35%；Mn≤0.1%； Cu≤0.1%；Zn≤ 0.1%；Cr≤0.1%； Ti≤0.1%。 5.规格尺寸要求： 轨道高度≥23mm ×宽度≥33mm，壁厚≥1.6mm，轨道槽宽≥21mm。安装码宽度≥25mm，长 度≥76mm，整体厚 度≥12.5mm，壁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厚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 xml:space="preserve"> ≥1.4mm；安装码 固定孔3个。轨道内衬加强筋4根， 加强筋宽度≥ 6mm，厚度≥ 0.9mm。轨道重量 ≥560g/m，轨道承 重≥40kg，走珠滑轮承重≥8kg，安装码承重≥15kg，单个吊轮承重能 力≥6kg。漆膜硬 度≥2H，漆膜附着力≥0级。 </w:t>
      </w:r>
    </w:p>
    <w:p w14:paraId="6EAFE22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2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kern w:val="0"/>
          <w:sz w:val="21"/>
          <w:szCs w:val="21"/>
          <w:lang w:val="en-US" w:eastAsia="zh-CN" w:bidi="ar"/>
        </w:rPr>
        <w:t>不锈钢挂钩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 xml:space="preserve"> 技术参数：（提供第三方检测机构（具有检测资质） 出具的合格检测 报告复印件） 1.材质为不锈钢， 连接间部分为 ABS，吊轮金属环采用304不锈钢；. 化学成分含量：C ≤0.08%，S≤ 0.03%，P≤ 0.045%，Mn≤ 2.0%，Si≤1.00%， Cr： 18.00%~20.00%，Ni： 8.00%~11.00%。 </w:t>
      </w:r>
    </w:p>
    <w:p w14:paraId="16336C9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2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/>
          <w:bCs/>
          <w:color w:val="000000"/>
          <w:kern w:val="0"/>
          <w:sz w:val="21"/>
          <w:szCs w:val="21"/>
          <w:lang w:val="en-US" w:eastAsia="zh-CN" w:bidi="ar"/>
        </w:rPr>
        <w:t>安装要求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 xml:space="preserve"> 1.轨道每米不低于8个走珠，每隔 70cm（±5%）位置 1个安装码。</w:t>
      </w:r>
    </w:p>
    <w:p w14:paraId="729C42D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Chars="0" w:firstLine="420" w:firstLineChars="200"/>
        <w:textAlignment w:val="auto"/>
        <w:rPr>
          <w:rFonts w:hint="default" w:ascii="Times New Roman" w:hAnsi="Times New Roman" w:eastAsia="黑体" w:cs="Times New Roman"/>
          <w:b w:val="0"/>
          <w:bCs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kern w:val="2"/>
          <w:sz w:val="21"/>
          <w:szCs w:val="21"/>
          <w:lang w:val="en-US" w:eastAsia="zh-CN" w:bidi="ar-SA"/>
        </w:rPr>
        <w:t>四、质量要求</w:t>
      </w:r>
    </w:p>
    <w:p w14:paraId="0BA5665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2" w:firstLineChars="200"/>
        <w:jc w:val="both"/>
        <w:textAlignment w:val="auto"/>
        <w:rPr>
          <w:rFonts w:hint="default" w:ascii="Times New Roman" w:hAnsi="Times New Roman" w:eastAsia="楷体_GB2312" w:cs="Times New Roman"/>
          <w:b/>
          <w:bCs/>
          <w:sz w:val="21"/>
          <w:szCs w:val="21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21"/>
          <w:szCs w:val="21"/>
          <w:lang w:val="en-US" w:eastAsia="zh-CN"/>
        </w:rPr>
        <w:t>（一）医用阻燃窗帘、医用阻燃隔帘、医用窗帘轨道</w:t>
      </w:r>
    </w:p>
    <w:p w14:paraId="2B7D046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1、质保期：自竣工验收合格之日起质保三年，包含窗帘轨道等配件物品。质保期限按国家规定执行，质保期内免费上门服务。在质保期内，同一物品、同一质量问题连续两次维修仍无法正常使用的，须更换同品牌、同型号、同工艺产品（与采购文件、响应文件、合同内规定的产品完全一致），并对产品质量实行 “三包”服务。供应商应具有可靠的供货实力，并具有专业维修队伍。在接到用户维修请求后2小时内响应，12小时内到场维修，故障修复时间不超过48小时；同时承诺在窗帘使用期间，因窗帘、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隔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帘起火导致火灾，造成的损失和法律责任全部由生产厂家和供应商承担。（提供承诺函）。</w:t>
      </w:r>
    </w:p>
    <w:p w14:paraId="042D5F6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2、凡属产品质量问题（人为损坏除外）予以维修，无法维修的予以更换，并承担修理调换费用，在3天内将新更换的产品送至采购人指定地点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。</w:t>
      </w:r>
    </w:p>
    <w:p w14:paraId="61DCB45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3、技术参数中所有要求均需提供第三方检测机构（具有检测资质）出具的合格检测报告复印件并加盖公章（工艺制作类、安装要求类做验收检验，不出具相关检测报告）。</w:t>
      </w:r>
    </w:p>
    <w:p w14:paraId="506824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76" w:lineRule="exact"/>
        <w:textAlignment w:val="auto"/>
        <w:rPr>
          <w:rFonts w:hint="default" w:ascii="Times New Roman" w:hAnsi="Times New Roman" w:eastAsia="方正仿宋_GB2312" w:cs="Times New Roman"/>
          <w:sz w:val="32"/>
          <w:szCs w:val="32"/>
        </w:rPr>
      </w:pPr>
    </w:p>
    <w:p w14:paraId="1920D59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FE6E77"/>
    <w:rsid w:val="17FE6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after="120"/>
    </w:p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2025-08-28T01:58:00Z</dcterms:created>
  <dc:creator>熙熙的爸</dc:creator>
  <cp:lastModifiedBy>熙熙的爸</cp:lastModifiedBy>
  <dcterms:modified xsi:type="dcterms:W3CDTF">2025-08-28T02:00:15Z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FAE0CFE429C441C2B50664FF787581E5_11</vt:lpwstr>
  </property>
  <property fmtid="{D5CDD505-2E9C-101B-9397-08002B2CF9AE}" pid="4" name="KSOTemplateDocerSaveRecord">
    <vt:lpwstr>eyJoZGlkIjoiNmQyOTliZmUyOWZlMjQ0YmM3MTc3MGM3YjQyNjEwODciLCJ1c2VySWQiOiIxMjMzMDY4MzYyIn0=</vt:lpwstr>
  </property>
</Properties>
</file>