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D1652">
      <w:pPr>
        <w:pStyle w:val="5"/>
        <w:spacing w:line="276" w:lineRule="auto"/>
        <w:rPr>
          <w:color w:val="auto"/>
          <w:highlight w:val="none"/>
        </w:rPr>
      </w:pPr>
    </w:p>
    <w:p w14:paraId="3F49E225">
      <w:pPr>
        <w:pStyle w:val="5"/>
        <w:spacing w:line="276" w:lineRule="auto"/>
        <w:rPr>
          <w:color w:val="auto"/>
          <w:highlight w:val="none"/>
        </w:rPr>
      </w:pPr>
    </w:p>
    <w:p w14:paraId="6E2E496B">
      <w:pPr>
        <w:pStyle w:val="5"/>
        <w:spacing w:line="277" w:lineRule="auto"/>
        <w:rPr>
          <w:color w:val="auto"/>
          <w:highlight w:val="none"/>
        </w:rPr>
      </w:pPr>
    </w:p>
    <w:p w14:paraId="131D38E9">
      <w:pPr>
        <w:pStyle w:val="5"/>
        <w:spacing w:line="277" w:lineRule="auto"/>
        <w:rPr>
          <w:color w:val="auto"/>
          <w:highlight w:val="none"/>
        </w:rPr>
      </w:pPr>
    </w:p>
    <w:p w14:paraId="52510B70">
      <w:pPr>
        <w:pStyle w:val="5"/>
        <w:spacing w:line="277" w:lineRule="auto"/>
        <w:rPr>
          <w:color w:val="auto"/>
          <w:highlight w:val="none"/>
        </w:rPr>
      </w:pPr>
    </w:p>
    <w:p w14:paraId="5BC2BD12">
      <w:pPr>
        <w:pStyle w:val="5"/>
        <w:spacing w:line="277" w:lineRule="auto"/>
        <w:jc w:val="center"/>
        <w:rPr>
          <w:color w:val="auto"/>
          <w:highlight w:val="none"/>
        </w:rPr>
      </w:pPr>
    </w:p>
    <w:p w14:paraId="6C955EAD">
      <w:pPr>
        <w:pStyle w:val="5"/>
        <w:spacing w:line="259" w:lineRule="auto"/>
        <w:jc w:val="center"/>
        <w:rPr>
          <w:color w:val="auto"/>
          <w:highlight w:val="none"/>
        </w:rPr>
      </w:pPr>
      <w:r>
        <w:rPr>
          <w:rFonts w:hint="eastAsia" w:ascii="仿宋" w:hAnsi="仿宋" w:eastAsia="仿宋" w:cs="仿宋"/>
          <w:b/>
          <w:bCs/>
          <w:color w:val="auto"/>
          <w:spacing w:val="-8"/>
          <w:sz w:val="33"/>
          <w:szCs w:val="33"/>
          <w:highlight w:val="none"/>
          <w:u w:val="single" w:color="auto"/>
          <w:lang w:val="en-US" w:eastAsia="zh-CN"/>
        </w:rPr>
        <w:t>会理市“天府森林四库”产业融合发展示范项目（一期）一标段房建主体劳务分包合同</w:t>
      </w:r>
    </w:p>
    <w:p w14:paraId="2B5862D7">
      <w:pPr>
        <w:pStyle w:val="5"/>
        <w:spacing w:line="259" w:lineRule="auto"/>
        <w:rPr>
          <w:color w:val="auto"/>
          <w:highlight w:val="none"/>
        </w:rPr>
      </w:pPr>
    </w:p>
    <w:p w14:paraId="3DF1F147">
      <w:pPr>
        <w:pStyle w:val="5"/>
        <w:spacing w:line="260" w:lineRule="auto"/>
        <w:rPr>
          <w:color w:val="auto"/>
          <w:highlight w:val="none"/>
        </w:rPr>
      </w:pPr>
    </w:p>
    <w:p w14:paraId="03F420CD">
      <w:pPr>
        <w:spacing w:before="94" w:line="224" w:lineRule="auto"/>
        <w:ind w:left="2248"/>
        <w:rPr>
          <w:rFonts w:ascii="仿宋" w:hAnsi="仿宋" w:eastAsia="仿宋" w:cs="仿宋"/>
          <w:color w:val="auto"/>
          <w:sz w:val="29"/>
          <w:szCs w:val="29"/>
          <w:highlight w:val="none"/>
        </w:rPr>
      </w:pPr>
      <w:r>
        <w:rPr>
          <w:rFonts w:ascii="仿宋" w:hAnsi="仿宋" w:eastAsia="仿宋" w:cs="仿宋"/>
          <w:color w:val="auto"/>
          <w:spacing w:val="-3"/>
          <w:sz w:val="29"/>
          <w:szCs w:val="29"/>
          <w:highlight w:val="none"/>
        </w:rPr>
        <w:t>(合同编号：</w:t>
      </w:r>
      <w:r>
        <w:rPr>
          <w:rFonts w:hint="eastAsia" w:ascii="仿宋" w:hAnsi="仿宋" w:eastAsia="仿宋" w:cs="仿宋"/>
          <w:color w:val="auto"/>
          <w:spacing w:val="-3"/>
          <w:sz w:val="29"/>
          <w:szCs w:val="29"/>
          <w:highlight w:val="none"/>
          <w:u w:val="single"/>
          <w:lang w:eastAsia="zh-CN"/>
        </w:rPr>
        <w:t>JGZY-HLTFSL-ZTLW-2026-001</w:t>
      </w:r>
      <w:r>
        <w:rPr>
          <w:rFonts w:hint="eastAsia" w:ascii="仿宋" w:hAnsi="仿宋" w:eastAsia="仿宋" w:cs="仿宋"/>
          <w:color w:val="auto"/>
          <w:spacing w:val="-3"/>
          <w:sz w:val="29"/>
          <w:szCs w:val="29"/>
          <w:highlight w:val="none"/>
        </w:rPr>
        <w:t xml:space="preserve"> </w:t>
      </w:r>
      <w:r>
        <w:rPr>
          <w:rFonts w:ascii="仿宋" w:hAnsi="仿宋" w:eastAsia="仿宋" w:cs="仿宋"/>
          <w:color w:val="auto"/>
          <w:spacing w:val="-3"/>
          <w:sz w:val="29"/>
          <w:szCs w:val="29"/>
          <w:highlight w:val="none"/>
        </w:rPr>
        <w:t>)</w:t>
      </w:r>
    </w:p>
    <w:p w14:paraId="37288BF7">
      <w:pPr>
        <w:pStyle w:val="5"/>
        <w:spacing w:line="245" w:lineRule="auto"/>
        <w:rPr>
          <w:color w:val="auto"/>
          <w:highlight w:val="none"/>
        </w:rPr>
      </w:pPr>
    </w:p>
    <w:p w14:paraId="54D9611D">
      <w:pPr>
        <w:pStyle w:val="5"/>
        <w:spacing w:line="245" w:lineRule="auto"/>
        <w:rPr>
          <w:color w:val="auto"/>
          <w:highlight w:val="none"/>
        </w:rPr>
      </w:pPr>
    </w:p>
    <w:p w14:paraId="1D412D56">
      <w:pPr>
        <w:pStyle w:val="5"/>
        <w:spacing w:line="245" w:lineRule="auto"/>
        <w:rPr>
          <w:color w:val="auto"/>
          <w:highlight w:val="none"/>
        </w:rPr>
      </w:pPr>
    </w:p>
    <w:p w14:paraId="1D4D658D">
      <w:pPr>
        <w:pStyle w:val="5"/>
        <w:spacing w:line="245" w:lineRule="auto"/>
        <w:rPr>
          <w:color w:val="auto"/>
          <w:highlight w:val="none"/>
        </w:rPr>
      </w:pPr>
    </w:p>
    <w:p w14:paraId="2DBEBA33">
      <w:pPr>
        <w:pStyle w:val="5"/>
        <w:spacing w:line="245" w:lineRule="auto"/>
        <w:rPr>
          <w:color w:val="auto"/>
          <w:highlight w:val="none"/>
        </w:rPr>
      </w:pPr>
    </w:p>
    <w:p w14:paraId="00464FB4">
      <w:pPr>
        <w:pStyle w:val="5"/>
        <w:spacing w:line="245" w:lineRule="auto"/>
        <w:rPr>
          <w:color w:val="auto"/>
          <w:highlight w:val="none"/>
        </w:rPr>
      </w:pPr>
    </w:p>
    <w:p w14:paraId="27AF775E">
      <w:pPr>
        <w:pStyle w:val="5"/>
        <w:spacing w:line="245" w:lineRule="auto"/>
        <w:rPr>
          <w:color w:val="auto"/>
          <w:highlight w:val="none"/>
        </w:rPr>
      </w:pPr>
    </w:p>
    <w:p w14:paraId="68945572">
      <w:pPr>
        <w:pStyle w:val="5"/>
        <w:spacing w:line="245" w:lineRule="auto"/>
        <w:rPr>
          <w:color w:val="auto"/>
          <w:highlight w:val="none"/>
        </w:rPr>
      </w:pPr>
    </w:p>
    <w:p w14:paraId="7D334924">
      <w:pPr>
        <w:pStyle w:val="5"/>
        <w:spacing w:line="245" w:lineRule="auto"/>
        <w:rPr>
          <w:color w:val="auto"/>
          <w:highlight w:val="none"/>
        </w:rPr>
      </w:pPr>
    </w:p>
    <w:p w14:paraId="5315CC5F">
      <w:pPr>
        <w:pStyle w:val="5"/>
        <w:spacing w:line="246" w:lineRule="auto"/>
        <w:rPr>
          <w:color w:val="auto"/>
          <w:highlight w:val="none"/>
        </w:rPr>
      </w:pPr>
    </w:p>
    <w:p w14:paraId="220FB0FF">
      <w:pPr>
        <w:pStyle w:val="5"/>
        <w:spacing w:line="246" w:lineRule="auto"/>
        <w:rPr>
          <w:color w:val="auto"/>
          <w:highlight w:val="none"/>
        </w:rPr>
      </w:pPr>
    </w:p>
    <w:p w14:paraId="36027766">
      <w:pPr>
        <w:pStyle w:val="5"/>
        <w:spacing w:line="246" w:lineRule="auto"/>
        <w:rPr>
          <w:color w:val="auto"/>
          <w:highlight w:val="none"/>
        </w:rPr>
      </w:pPr>
    </w:p>
    <w:p w14:paraId="5FA86E5E">
      <w:pPr>
        <w:pStyle w:val="5"/>
        <w:spacing w:line="246" w:lineRule="auto"/>
        <w:rPr>
          <w:color w:val="auto"/>
          <w:highlight w:val="none"/>
        </w:rPr>
      </w:pPr>
    </w:p>
    <w:p w14:paraId="452C3003">
      <w:pPr>
        <w:pStyle w:val="5"/>
        <w:spacing w:line="246" w:lineRule="auto"/>
        <w:rPr>
          <w:color w:val="auto"/>
          <w:highlight w:val="none"/>
        </w:rPr>
      </w:pPr>
    </w:p>
    <w:p w14:paraId="44418AB5">
      <w:pPr>
        <w:pStyle w:val="5"/>
        <w:spacing w:line="246" w:lineRule="auto"/>
        <w:rPr>
          <w:color w:val="auto"/>
          <w:highlight w:val="none"/>
        </w:rPr>
      </w:pPr>
    </w:p>
    <w:p w14:paraId="78277BB9">
      <w:pPr>
        <w:pStyle w:val="5"/>
        <w:spacing w:line="246" w:lineRule="auto"/>
        <w:rPr>
          <w:color w:val="auto"/>
          <w:highlight w:val="none"/>
        </w:rPr>
      </w:pPr>
    </w:p>
    <w:p w14:paraId="48481315">
      <w:pPr>
        <w:pStyle w:val="5"/>
        <w:spacing w:line="246" w:lineRule="auto"/>
        <w:rPr>
          <w:color w:val="auto"/>
          <w:highlight w:val="none"/>
        </w:rPr>
      </w:pPr>
    </w:p>
    <w:p w14:paraId="645AD7CA">
      <w:pPr>
        <w:pStyle w:val="5"/>
        <w:spacing w:line="246" w:lineRule="auto"/>
        <w:rPr>
          <w:color w:val="auto"/>
          <w:highlight w:val="none"/>
        </w:rPr>
      </w:pPr>
    </w:p>
    <w:p w14:paraId="2CBE7330">
      <w:pPr>
        <w:pStyle w:val="5"/>
        <w:spacing w:line="246" w:lineRule="auto"/>
        <w:rPr>
          <w:color w:val="auto"/>
          <w:highlight w:val="none"/>
        </w:rPr>
      </w:pPr>
    </w:p>
    <w:p w14:paraId="65561BBA">
      <w:pPr>
        <w:pStyle w:val="5"/>
        <w:spacing w:line="246" w:lineRule="auto"/>
        <w:rPr>
          <w:color w:val="auto"/>
          <w:highlight w:val="none"/>
        </w:rPr>
      </w:pPr>
    </w:p>
    <w:p w14:paraId="1807ED59">
      <w:pPr>
        <w:pStyle w:val="5"/>
        <w:spacing w:line="246" w:lineRule="auto"/>
        <w:rPr>
          <w:color w:val="auto"/>
          <w:highlight w:val="none"/>
        </w:rPr>
      </w:pPr>
    </w:p>
    <w:p w14:paraId="73C420D7">
      <w:pPr>
        <w:pStyle w:val="5"/>
        <w:spacing w:line="246" w:lineRule="auto"/>
        <w:rPr>
          <w:color w:val="auto"/>
          <w:highlight w:val="none"/>
        </w:rPr>
      </w:pPr>
    </w:p>
    <w:p w14:paraId="7C2DECB9">
      <w:pPr>
        <w:pStyle w:val="5"/>
        <w:spacing w:line="246" w:lineRule="auto"/>
        <w:rPr>
          <w:color w:val="auto"/>
          <w:highlight w:val="none"/>
        </w:rPr>
      </w:pPr>
    </w:p>
    <w:p w14:paraId="2024933D">
      <w:pPr>
        <w:pStyle w:val="5"/>
        <w:spacing w:line="246" w:lineRule="auto"/>
        <w:rPr>
          <w:color w:val="auto"/>
          <w:highlight w:val="none"/>
        </w:rPr>
      </w:pPr>
    </w:p>
    <w:p w14:paraId="49F86AF2">
      <w:pPr>
        <w:pStyle w:val="5"/>
        <w:spacing w:line="246" w:lineRule="auto"/>
        <w:rPr>
          <w:color w:val="auto"/>
          <w:highlight w:val="none"/>
        </w:rPr>
      </w:pPr>
    </w:p>
    <w:p w14:paraId="08B1C579">
      <w:pPr>
        <w:pStyle w:val="5"/>
        <w:spacing w:line="246" w:lineRule="auto"/>
        <w:rPr>
          <w:color w:val="auto"/>
          <w:highlight w:val="none"/>
        </w:rPr>
      </w:pPr>
    </w:p>
    <w:p w14:paraId="3B6998AD">
      <w:pPr>
        <w:spacing w:before="107" w:line="222" w:lineRule="auto"/>
        <w:ind w:firstLine="1844" w:firstLineChars="600"/>
        <w:jc w:val="left"/>
        <w:rPr>
          <w:rFonts w:hint="default" w:ascii="仿宋" w:hAnsi="仿宋" w:eastAsia="仿宋" w:cs="仿宋"/>
          <w:color w:val="auto"/>
          <w:sz w:val="33"/>
          <w:szCs w:val="33"/>
          <w:highlight w:val="none"/>
          <w:lang w:val="en-US" w:eastAsia="zh-CN"/>
        </w:rPr>
      </w:pPr>
      <w:r>
        <w:rPr>
          <w:rFonts w:ascii="仿宋" w:hAnsi="仿宋" w:eastAsia="仿宋" w:cs="仿宋"/>
          <w:b/>
          <w:bCs/>
          <w:color w:val="auto"/>
          <w:spacing w:val="-12"/>
          <w:sz w:val="33"/>
          <w:szCs w:val="33"/>
          <w:highlight w:val="none"/>
        </w:rPr>
        <w:t>甲方：</w:t>
      </w:r>
      <w:r>
        <w:rPr>
          <w:rFonts w:hint="eastAsia" w:ascii="仿宋" w:hAnsi="仿宋" w:eastAsia="仿宋" w:cs="仿宋"/>
          <w:color w:val="auto"/>
          <w:sz w:val="33"/>
          <w:szCs w:val="33"/>
          <w:highlight w:val="none"/>
          <w:lang w:val="en-US" w:eastAsia="zh-CN"/>
        </w:rPr>
        <w:t>凉山建工置业有限责任公司</w:t>
      </w:r>
    </w:p>
    <w:p w14:paraId="1F1193CC">
      <w:pPr>
        <w:spacing w:before="107" w:line="222" w:lineRule="auto"/>
        <w:ind w:firstLine="1820" w:firstLineChars="600"/>
        <w:jc w:val="left"/>
        <w:rPr>
          <w:rFonts w:hint="default" w:ascii="仿宋" w:hAnsi="仿宋" w:eastAsia="仿宋" w:cs="仿宋"/>
          <w:color w:val="auto"/>
          <w:sz w:val="33"/>
          <w:szCs w:val="33"/>
          <w:highlight w:val="none"/>
          <w:lang w:val="en-US" w:eastAsia="zh-CN"/>
        </w:rPr>
      </w:pPr>
      <w:r>
        <w:rPr>
          <w:rFonts w:ascii="仿宋" w:hAnsi="仿宋" w:eastAsia="仿宋" w:cs="仿宋"/>
          <w:b/>
          <w:bCs/>
          <w:color w:val="auto"/>
          <w:spacing w:val="-14"/>
          <w:sz w:val="33"/>
          <w:szCs w:val="33"/>
          <w:highlight w:val="none"/>
        </w:rPr>
        <w:t>乙方：</w:t>
      </w:r>
      <w:r>
        <w:rPr>
          <w:rFonts w:hint="eastAsia" w:ascii="仿宋" w:hAnsi="仿宋" w:eastAsia="仿宋" w:cs="仿宋"/>
          <w:color w:val="auto"/>
          <w:sz w:val="33"/>
          <w:szCs w:val="33"/>
          <w:highlight w:val="none"/>
          <w:lang w:val="en-US" w:eastAsia="zh-CN"/>
        </w:rPr>
        <w:t>************</w:t>
      </w:r>
    </w:p>
    <w:p w14:paraId="0B04F619">
      <w:pPr>
        <w:spacing w:before="107" w:line="222" w:lineRule="auto"/>
        <w:ind w:firstLine="1980" w:firstLineChars="600"/>
        <w:jc w:val="left"/>
        <w:rPr>
          <w:rFonts w:hint="eastAsia" w:ascii="仿宋" w:hAnsi="仿宋" w:eastAsia="仿宋" w:cs="仿宋"/>
          <w:color w:val="auto"/>
          <w:sz w:val="33"/>
          <w:szCs w:val="33"/>
          <w:highlight w:val="none"/>
          <w:lang w:val="en-US" w:eastAsia="zh-CN"/>
        </w:rPr>
      </w:pPr>
    </w:p>
    <w:p w14:paraId="5242DA34">
      <w:pPr>
        <w:pStyle w:val="5"/>
        <w:spacing w:line="286" w:lineRule="auto"/>
        <w:rPr>
          <w:color w:val="auto"/>
          <w:highlight w:val="none"/>
        </w:rPr>
      </w:pPr>
    </w:p>
    <w:p w14:paraId="75400D85">
      <w:pPr>
        <w:pStyle w:val="5"/>
        <w:spacing w:line="286" w:lineRule="auto"/>
        <w:rPr>
          <w:color w:val="auto"/>
          <w:highlight w:val="none"/>
        </w:rPr>
      </w:pPr>
    </w:p>
    <w:p w14:paraId="784E60D6">
      <w:pPr>
        <w:pStyle w:val="5"/>
        <w:spacing w:line="287" w:lineRule="auto"/>
        <w:rPr>
          <w:color w:val="auto"/>
          <w:highlight w:val="none"/>
        </w:rPr>
      </w:pPr>
    </w:p>
    <w:p w14:paraId="1786F43F">
      <w:pPr>
        <w:pStyle w:val="5"/>
        <w:spacing w:line="287" w:lineRule="auto"/>
        <w:rPr>
          <w:color w:val="auto"/>
          <w:highlight w:val="none"/>
        </w:rPr>
      </w:pPr>
    </w:p>
    <w:p w14:paraId="7AC9EB36">
      <w:pPr>
        <w:spacing w:before="84" w:line="222" w:lineRule="auto"/>
        <w:ind w:left="3158"/>
        <w:outlineLvl w:val="0"/>
        <w:rPr>
          <w:rFonts w:ascii="仿宋" w:hAnsi="仿宋" w:eastAsia="仿宋" w:cs="仿宋"/>
          <w:color w:val="auto"/>
          <w:sz w:val="26"/>
          <w:szCs w:val="26"/>
          <w:highlight w:val="none"/>
        </w:rPr>
      </w:pPr>
      <w:bookmarkStart w:id="0" w:name="_Toc31068"/>
      <w:r>
        <w:rPr>
          <w:rFonts w:hint="eastAsia" w:ascii="仿宋" w:hAnsi="仿宋" w:eastAsia="仿宋" w:cs="仿宋"/>
          <w:color w:val="auto"/>
          <w:spacing w:val="-13"/>
          <w:sz w:val="26"/>
          <w:szCs w:val="26"/>
          <w:highlight w:val="none"/>
          <w:lang w:val="en-US" w:eastAsia="zh-CN"/>
        </w:rPr>
        <w:t xml:space="preserve">2026 </w:t>
      </w:r>
      <w:r>
        <w:rPr>
          <w:rFonts w:ascii="仿宋" w:hAnsi="仿宋" w:eastAsia="仿宋" w:cs="仿宋"/>
          <w:color w:val="auto"/>
          <w:spacing w:val="-13"/>
          <w:sz w:val="26"/>
          <w:szCs w:val="26"/>
          <w:highlight w:val="none"/>
        </w:rPr>
        <w:t>年</w:t>
      </w:r>
      <w:r>
        <w:rPr>
          <w:rFonts w:hint="eastAsia" w:ascii="仿宋" w:hAnsi="仿宋" w:eastAsia="仿宋" w:cs="仿宋"/>
          <w:color w:val="auto"/>
          <w:spacing w:val="-13"/>
          <w:sz w:val="26"/>
          <w:szCs w:val="26"/>
          <w:highlight w:val="none"/>
          <w:lang w:val="en-US" w:eastAsia="zh-CN"/>
        </w:rPr>
        <w:t xml:space="preserve">  **</w:t>
      </w:r>
      <w:r>
        <w:rPr>
          <w:rFonts w:ascii="仿宋" w:hAnsi="仿宋" w:eastAsia="仿宋" w:cs="仿宋"/>
          <w:color w:val="auto"/>
          <w:spacing w:val="-13"/>
          <w:sz w:val="26"/>
          <w:szCs w:val="26"/>
          <w:highlight w:val="none"/>
        </w:rPr>
        <w:t xml:space="preserve">月 </w:t>
      </w:r>
      <w:r>
        <w:rPr>
          <w:rFonts w:hint="eastAsia" w:ascii="仿宋" w:hAnsi="仿宋" w:eastAsia="仿宋" w:cs="仿宋"/>
          <w:color w:val="auto"/>
          <w:spacing w:val="-13"/>
          <w:sz w:val="26"/>
          <w:szCs w:val="26"/>
          <w:highlight w:val="none"/>
          <w:lang w:val="en-US" w:eastAsia="zh-CN"/>
        </w:rPr>
        <w:t xml:space="preserve">*** 日 </w:t>
      </w:r>
      <w:bookmarkEnd w:id="0"/>
    </w:p>
    <w:p w14:paraId="1B0FAF31">
      <w:pPr>
        <w:spacing w:line="222" w:lineRule="auto"/>
        <w:rPr>
          <w:rFonts w:ascii="仿宋" w:hAnsi="仿宋" w:eastAsia="仿宋" w:cs="仿宋"/>
          <w:color w:val="auto"/>
          <w:sz w:val="26"/>
          <w:szCs w:val="26"/>
          <w:highlight w:val="none"/>
        </w:rPr>
        <w:sectPr>
          <w:pgSz w:w="11906" w:h="16838"/>
          <w:pgMar w:top="1429" w:right="1786" w:bottom="1429" w:left="1786" w:header="0" w:footer="0" w:gutter="0"/>
          <w:cols w:space="720" w:num="1"/>
        </w:sectPr>
      </w:pPr>
    </w:p>
    <w:sdt>
      <w:sdtPr>
        <w:rPr>
          <w:rFonts w:ascii="宋体" w:hAnsi="宋体" w:eastAsia="宋体" w:cs="Arial"/>
          <w:snapToGrid w:val="0"/>
          <w:color w:val="auto"/>
          <w:kern w:val="0"/>
          <w:sz w:val="32"/>
          <w:szCs w:val="32"/>
          <w:highlight w:val="none"/>
          <w:lang w:val="en-US" w:eastAsia="en-US" w:bidi="ar-SA"/>
        </w:rPr>
        <w:id w:val="147452719"/>
        <w15:color w:val="DBDBDB"/>
        <w:docPartObj>
          <w:docPartGallery w:val="Table of Contents"/>
          <w:docPartUnique/>
        </w:docPartObj>
      </w:sdtPr>
      <w:sdtEndPr>
        <w:rPr>
          <w:rFonts w:ascii="Arial" w:hAnsi="Arial" w:eastAsia="黑体" w:cs="Arial"/>
          <w:b/>
          <w:bCs/>
          <w:snapToGrid w:val="0"/>
          <w:color w:val="auto"/>
          <w:kern w:val="0"/>
          <w:sz w:val="28"/>
          <w:szCs w:val="28"/>
          <w:highlight w:val="none"/>
          <w:lang w:val="en-US" w:eastAsia="en-US" w:bidi="ar-SA"/>
        </w:rPr>
      </w:sdtEndPr>
      <w:sdtContent>
        <w:p w14:paraId="56F99F89">
          <w:pPr>
            <w:spacing w:before="0" w:beforeLines="0" w:after="0" w:afterLines="0" w:line="240" w:lineRule="auto"/>
            <w:ind w:left="0" w:leftChars="0" w:right="0" w:rightChars="0" w:firstLine="0" w:firstLineChars="0"/>
            <w:jc w:val="center"/>
            <w:rPr>
              <w:color w:val="auto"/>
              <w:sz w:val="32"/>
              <w:szCs w:val="32"/>
              <w:highlight w:val="none"/>
            </w:rPr>
          </w:pPr>
          <w:r>
            <w:rPr>
              <w:rFonts w:ascii="宋体" w:hAnsi="宋体" w:eastAsia="宋体"/>
              <w:color w:val="auto"/>
              <w:sz w:val="32"/>
              <w:szCs w:val="32"/>
              <w:highlight w:val="none"/>
            </w:rPr>
            <w:t>目录</w:t>
          </w:r>
        </w:p>
        <w:p w14:paraId="09092ED5">
          <w:pPr>
            <w:pStyle w:val="17"/>
            <w:tabs>
              <w:tab w:val="right" w:leader="dot" w:pos="8391"/>
            </w:tabs>
            <w:rPr>
              <w:color w:val="auto"/>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p>
        <w:p w14:paraId="2F658494">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_Toc16608 </w:instrText>
          </w:r>
          <w:r>
            <w:rPr>
              <w:color w:val="auto"/>
              <w:sz w:val="24"/>
              <w:szCs w:val="24"/>
              <w:highlight w:val="none"/>
            </w:rPr>
            <w:fldChar w:fldCharType="separate"/>
          </w:r>
          <w:r>
            <w:rPr>
              <w:rFonts w:ascii="仿宋" w:hAnsi="仿宋" w:eastAsia="仿宋" w:cs="仿宋"/>
              <w:bCs/>
              <w:color w:val="auto"/>
              <w:spacing w:val="-10"/>
              <w:sz w:val="24"/>
              <w:szCs w:val="24"/>
              <w:highlight w:val="none"/>
            </w:rPr>
            <w:t>一、项目概况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_Toc16608 \h </w:instrText>
          </w:r>
          <w:r>
            <w:rPr>
              <w:color w:val="auto"/>
              <w:sz w:val="24"/>
              <w:szCs w:val="24"/>
              <w:highlight w:val="none"/>
            </w:rPr>
            <w:fldChar w:fldCharType="separate"/>
          </w:r>
          <w:r>
            <w:rPr>
              <w:color w:val="auto"/>
              <w:sz w:val="24"/>
              <w:szCs w:val="24"/>
              <w:highlight w:val="none"/>
            </w:rPr>
            <w:t>2</w:t>
          </w:r>
          <w:r>
            <w:rPr>
              <w:color w:val="auto"/>
              <w:sz w:val="24"/>
              <w:szCs w:val="24"/>
              <w:highlight w:val="none"/>
            </w:rPr>
            <w:fldChar w:fldCharType="end"/>
          </w:r>
          <w:r>
            <w:rPr>
              <w:color w:val="auto"/>
              <w:sz w:val="24"/>
              <w:szCs w:val="24"/>
              <w:highlight w:val="none"/>
            </w:rPr>
            <w:fldChar w:fldCharType="end"/>
          </w:r>
        </w:p>
        <w:p w14:paraId="1D22F2BC">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_Toc9362 </w:instrText>
          </w:r>
          <w:r>
            <w:rPr>
              <w:color w:val="auto"/>
              <w:sz w:val="24"/>
              <w:szCs w:val="24"/>
              <w:highlight w:val="none"/>
            </w:rPr>
            <w:fldChar w:fldCharType="separate"/>
          </w:r>
          <w:r>
            <w:rPr>
              <w:rFonts w:ascii="仿宋" w:hAnsi="仿宋" w:eastAsia="仿宋" w:cs="仿宋"/>
              <w:bCs/>
              <w:color w:val="auto"/>
              <w:spacing w:val="-12"/>
              <w:sz w:val="24"/>
              <w:szCs w:val="24"/>
              <w:highlight w:val="none"/>
            </w:rPr>
            <w:t>二、合同范围</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_Toc9362 \h </w:instrText>
          </w:r>
          <w:r>
            <w:rPr>
              <w:color w:val="auto"/>
              <w:sz w:val="24"/>
              <w:szCs w:val="24"/>
              <w:highlight w:val="none"/>
            </w:rPr>
            <w:fldChar w:fldCharType="separate"/>
          </w:r>
          <w:r>
            <w:rPr>
              <w:color w:val="auto"/>
              <w:sz w:val="24"/>
              <w:szCs w:val="24"/>
              <w:highlight w:val="none"/>
            </w:rPr>
            <w:t>2</w:t>
          </w:r>
          <w:r>
            <w:rPr>
              <w:color w:val="auto"/>
              <w:sz w:val="24"/>
              <w:szCs w:val="24"/>
              <w:highlight w:val="none"/>
            </w:rPr>
            <w:fldChar w:fldCharType="end"/>
          </w:r>
          <w:r>
            <w:rPr>
              <w:color w:val="auto"/>
              <w:sz w:val="24"/>
              <w:szCs w:val="24"/>
              <w:highlight w:val="none"/>
            </w:rPr>
            <w:fldChar w:fldCharType="end"/>
          </w:r>
        </w:p>
        <w:p w14:paraId="0559D8BB">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_Toc22615 </w:instrText>
          </w:r>
          <w:r>
            <w:rPr>
              <w:color w:val="auto"/>
              <w:sz w:val="24"/>
              <w:szCs w:val="24"/>
              <w:highlight w:val="none"/>
            </w:rPr>
            <w:fldChar w:fldCharType="separate"/>
          </w:r>
          <w:r>
            <w:rPr>
              <w:rFonts w:ascii="仿宋" w:hAnsi="仿宋" w:eastAsia="仿宋" w:cs="仿宋"/>
              <w:bCs/>
              <w:color w:val="auto"/>
              <w:spacing w:val="-13"/>
              <w:sz w:val="24"/>
              <w:szCs w:val="24"/>
              <w:highlight w:val="none"/>
            </w:rPr>
            <w:t>三、合同价款</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_Toc22615 \h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14:paraId="6797DEE3">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_Toc6186 </w:instrText>
          </w:r>
          <w:r>
            <w:rPr>
              <w:color w:val="auto"/>
              <w:sz w:val="24"/>
              <w:szCs w:val="24"/>
              <w:highlight w:val="none"/>
            </w:rPr>
            <w:fldChar w:fldCharType="separate"/>
          </w:r>
          <w:r>
            <w:rPr>
              <w:rFonts w:ascii="仿宋" w:hAnsi="仿宋" w:eastAsia="仿宋" w:cs="仿宋"/>
              <w:bCs/>
              <w:color w:val="auto"/>
              <w:spacing w:val="-12"/>
              <w:sz w:val="24"/>
              <w:szCs w:val="24"/>
              <w:highlight w:val="none"/>
            </w:rPr>
            <w:t>四、双方权利与义务</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_Toc6186 \h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14:paraId="463A9808">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_Toc8254 </w:instrText>
          </w:r>
          <w:r>
            <w:rPr>
              <w:color w:val="auto"/>
              <w:sz w:val="24"/>
              <w:szCs w:val="24"/>
              <w:highlight w:val="none"/>
            </w:rPr>
            <w:fldChar w:fldCharType="separate"/>
          </w:r>
          <w:r>
            <w:rPr>
              <w:rFonts w:ascii="仿宋" w:hAnsi="仿宋" w:eastAsia="仿宋" w:cs="仿宋"/>
              <w:bCs/>
              <w:color w:val="auto"/>
              <w:spacing w:val="-9"/>
              <w:sz w:val="24"/>
              <w:szCs w:val="24"/>
              <w:highlight w:val="none"/>
            </w:rPr>
            <w:t>五、施工辅助设施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_Toc8254 \h </w:instrText>
          </w:r>
          <w:r>
            <w:rPr>
              <w:color w:val="auto"/>
              <w:sz w:val="24"/>
              <w:szCs w:val="24"/>
              <w:highlight w:val="none"/>
            </w:rPr>
            <w:fldChar w:fldCharType="separate"/>
          </w:r>
          <w:r>
            <w:rPr>
              <w:color w:val="auto"/>
              <w:sz w:val="24"/>
              <w:szCs w:val="24"/>
              <w:highlight w:val="none"/>
            </w:rPr>
            <w:t>15</w:t>
          </w:r>
          <w:r>
            <w:rPr>
              <w:color w:val="auto"/>
              <w:sz w:val="24"/>
              <w:szCs w:val="24"/>
              <w:highlight w:val="none"/>
            </w:rPr>
            <w:fldChar w:fldCharType="end"/>
          </w:r>
          <w:r>
            <w:rPr>
              <w:color w:val="auto"/>
              <w:sz w:val="24"/>
              <w:szCs w:val="24"/>
              <w:highlight w:val="none"/>
            </w:rPr>
            <w:fldChar w:fldCharType="end"/>
          </w:r>
        </w:p>
        <w:p w14:paraId="4D8517EC">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_Toc26255 </w:instrText>
          </w:r>
          <w:r>
            <w:rPr>
              <w:color w:val="auto"/>
              <w:sz w:val="24"/>
              <w:szCs w:val="24"/>
              <w:highlight w:val="none"/>
            </w:rPr>
            <w:fldChar w:fldCharType="separate"/>
          </w:r>
          <w:r>
            <w:rPr>
              <w:rFonts w:ascii="仿宋" w:hAnsi="仿宋" w:eastAsia="仿宋" w:cs="仿宋"/>
              <w:bCs/>
              <w:color w:val="auto"/>
              <w:spacing w:val="-23"/>
              <w:sz w:val="24"/>
              <w:szCs w:val="24"/>
              <w:highlight w:val="none"/>
            </w:rPr>
            <w:t>六</w:t>
          </w:r>
          <w:r>
            <w:rPr>
              <w:rFonts w:ascii="仿宋" w:hAnsi="仿宋" w:eastAsia="仿宋" w:cs="仿宋"/>
              <w:color w:val="auto"/>
              <w:spacing w:val="-59"/>
              <w:sz w:val="24"/>
              <w:szCs w:val="24"/>
              <w:highlight w:val="none"/>
            </w:rPr>
            <w:t xml:space="preserve"> </w:t>
          </w:r>
          <w:r>
            <w:rPr>
              <w:rFonts w:ascii="仿宋" w:hAnsi="仿宋" w:eastAsia="仿宋" w:cs="仿宋"/>
              <w:bCs/>
              <w:color w:val="auto"/>
              <w:spacing w:val="-23"/>
              <w:sz w:val="24"/>
              <w:szCs w:val="24"/>
              <w:highlight w:val="none"/>
            </w:rPr>
            <w:t>、材料供应</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_Toc26255 \h </w:instrText>
          </w:r>
          <w:r>
            <w:rPr>
              <w:color w:val="auto"/>
              <w:sz w:val="24"/>
              <w:szCs w:val="24"/>
              <w:highlight w:val="none"/>
            </w:rPr>
            <w:fldChar w:fldCharType="separate"/>
          </w:r>
          <w:r>
            <w:rPr>
              <w:color w:val="auto"/>
              <w:sz w:val="24"/>
              <w:szCs w:val="24"/>
              <w:highlight w:val="none"/>
            </w:rPr>
            <w:t>16</w:t>
          </w:r>
          <w:r>
            <w:rPr>
              <w:color w:val="auto"/>
              <w:sz w:val="24"/>
              <w:szCs w:val="24"/>
              <w:highlight w:val="none"/>
            </w:rPr>
            <w:fldChar w:fldCharType="end"/>
          </w:r>
          <w:r>
            <w:rPr>
              <w:color w:val="auto"/>
              <w:sz w:val="24"/>
              <w:szCs w:val="24"/>
              <w:highlight w:val="none"/>
            </w:rPr>
            <w:fldChar w:fldCharType="end"/>
          </w:r>
        </w:p>
        <w:p w14:paraId="5474894C">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_Toc6244 </w:instrText>
          </w:r>
          <w:r>
            <w:rPr>
              <w:color w:val="auto"/>
              <w:sz w:val="24"/>
              <w:szCs w:val="24"/>
              <w:highlight w:val="none"/>
            </w:rPr>
            <w:fldChar w:fldCharType="separate"/>
          </w:r>
          <w:r>
            <w:rPr>
              <w:rFonts w:ascii="仿宋" w:hAnsi="仿宋" w:eastAsia="仿宋" w:cs="仿宋"/>
              <w:bCs/>
              <w:color w:val="auto"/>
              <w:spacing w:val="-6"/>
              <w:sz w:val="24"/>
              <w:szCs w:val="24"/>
              <w:highlight w:val="none"/>
            </w:rPr>
            <w:t>七、施工设备</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_Toc6244 \h </w:instrText>
          </w:r>
          <w:r>
            <w:rPr>
              <w:color w:val="auto"/>
              <w:sz w:val="24"/>
              <w:szCs w:val="24"/>
              <w:highlight w:val="none"/>
            </w:rPr>
            <w:fldChar w:fldCharType="separate"/>
          </w:r>
          <w:r>
            <w:rPr>
              <w:color w:val="auto"/>
              <w:sz w:val="24"/>
              <w:szCs w:val="24"/>
              <w:highlight w:val="none"/>
            </w:rPr>
            <w:t>18</w:t>
          </w:r>
          <w:r>
            <w:rPr>
              <w:color w:val="auto"/>
              <w:sz w:val="24"/>
              <w:szCs w:val="24"/>
              <w:highlight w:val="none"/>
            </w:rPr>
            <w:fldChar w:fldCharType="end"/>
          </w:r>
          <w:r>
            <w:rPr>
              <w:color w:val="auto"/>
              <w:sz w:val="24"/>
              <w:szCs w:val="24"/>
              <w:highlight w:val="none"/>
            </w:rPr>
            <w:fldChar w:fldCharType="end"/>
          </w:r>
        </w:p>
        <w:p w14:paraId="38B69F45">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_Toc21308 </w:instrText>
          </w:r>
          <w:r>
            <w:rPr>
              <w:color w:val="auto"/>
              <w:sz w:val="24"/>
              <w:szCs w:val="24"/>
              <w:highlight w:val="none"/>
            </w:rPr>
            <w:fldChar w:fldCharType="separate"/>
          </w:r>
          <w:r>
            <w:rPr>
              <w:rFonts w:ascii="仿宋" w:hAnsi="仿宋" w:eastAsia="仿宋" w:cs="仿宋"/>
              <w:bCs/>
              <w:color w:val="auto"/>
              <w:spacing w:val="-8"/>
              <w:sz w:val="24"/>
              <w:szCs w:val="24"/>
              <w:highlight w:val="none"/>
            </w:rPr>
            <w:t>八、质量要求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_Toc21308 \h </w:instrText>
          </w:r>
          <w:r>
            <w:rPr>
              <w:color w:val="auto"/>
              <w:sz w:val="24"/>
              <w:szCs w:val="24"/>
              <w:highlight w:val="none"/>
            </w:rPr>
            <w:fldChar w:fldCharType="separate"/>
          </w:r>
          <w:r>
            <w:rPr>
              <w:color w:val="auto"/>
              <w:sz w:val="24"/>
              <w:szCs w:val="24"/>
              <w:highlight w:val="none"/>
            </w:rPr>
            <w:t>19</w:t>
          </w:r>
          <w:r>
            <w:rPr>
              <w:color w:val="auto"/>
              <w:sz w:val="24"/>
              <w:szCs w:val="24"/>
              <w:highlight w:val="none"/>
            </w:rPr>
            <w:fldChar w:fldCharType="end"/>
          </w:r>
          <w:r>
            <w:rPr>
              <w:color w:val="auto"/>
              <w:sz w:val="24"/>
              <w:szCs w:val="24"/>
              <w:highlight w:val="none"/>
            </w:rPr>
            <w:fldChar w:fldCharType="end"/>
          </w:r>
        </w:p>
        <w:p w14:paraId="3A63A730">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_Toc21915 </w:instrText>
          </w:r>
          <w:r>
            <w:rPr>
              <w:color w:val="auto"/>
              <w:sz w:val="24"/>
              <w:szCs w:val="24"/>
              <w:highlight w:val="none"/>
            </w:rPr>
            <w:fldChar w:fldCharType="separate"/>
          </w:r>
          <w:r>
            <w:rPr>
              <w:rFonts w:ascii="仿宋" w:hAnsi="仿宋" w:eastAsia="仿宋" w:cs="仿宋"/>
              <w:bCs/>
              <w:color w:val="auto"/>
              <w:spacing w:val="-10"/>
              <w:sz w:val="24"/>
              <w:szCs w:val="24"/>
              <w:highlight w:val="none"/>
            </w:rPr>
            <w:t>九、安全生产与文明施工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_Toc21915 \h </w:instrText>
          </w:r>
          <w:r>
            <w:rPr>
              <w:color w:val="auto"/>
              <w:sz w:val="24"/>
              <w:szCs w:val="24"/>
              <w:highlight w:val="none"/>
            </w:rPr>
            <w:fldChar w:fldCharType="separate"/>
          </w:r>
          <w:r>
            <w:rPr>
              <w:color w:val="auto"/>
              <w:sz w:val="24"/>
              <w:szCs w:val="24"/>
              <w:highlight w:val="none"/>
            </w:rPr>
            <w:t>20</w:t>
          </w:r>
          <w:r>
            <w:rPr>
              <w:color w:val="auto"/>
              <w:sz w:val="24"/>
              <w:szCs w:val="24"/>
              <w:highlight w:val="none"/>
            </w:rPr>
            <w:fldChar w:fldCharType="end"/>
          </w:r>
          <w:r>
            <w:rPr>
              <w:color w:val="auto"/>
              <w:sz w:val="24"/>
              <w:szCs w:val="24"/>
              <w:highlight w:val="none"/>
            </w:rPr>
            <w:fldChar w:fldCharType="end"/>
          </w:r>
        </w:p>
        <w:p w14:paraId="40F27442">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_Toc2552 </w:instrText>
          </w:r>
          <w:r>
            <w:rPr>
              <w:color w:val="auto"/>
              <w:sz w:val="24"/>
              <w:szCs w:val="24"/>
              <w:highlight w:val="none"/>
            </w:rPr>
            <w:fldChar w:fldCharType="separate"/>
          </w:r>
          <w:r>
            <w:rPr>
              <w:rFonts w:ascii="仿宋" w:hAnsi="仿宋" w:eastAsia="仿宋" w:cs="仿宋"/>
              <w:bCs/>
              <w:color w:val="auto"/>
              <w:spacing w:val="-7"/>
              <w:sz w:val="24"/>
              <w:szCs w:val="24"/>
              <w:highlight w:val="none"/>
            </w:rPr>
            <w:t>十、职业健康与环境保护</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_Toc2552 \h </w:instrText>
          </w:r>
          <w:r>
            <w:rPr>
              <w:color w:val="auto"/>
              <w:sz w:val="24"/>
              <w:szCs w:val="24"/>
              <w:highlight w:val="none"/>
            </w:rPr>
            <w:fldChar w:fldCharType="separate"/>
          </w:r>
          <w:r>
            <w:rPr>
              <w:color w:val="auto"/>
              <w:sz w:val="24"/>
              <w:szCs w:val="24"/>
              <w:highlight w:val="none"/>
            </w:rPr>
            <w:t>22</w:t>
          </w:r>
          <w:r>
            <w:rPr>
              <w:color w:val="auto"/>
              <w:sz w:val="24"/>
              <w:szCs w:val="24"/>
              <w:highlight w:val="none"/>
            </w:rPr>
            <w:fldChar w:fldCharType="end"/>
          </w:r>
          <w:r>
            <w:rPr>
              <w:color w:val="auto"/>
              <w:sz w:val="24"/>
              <w:szCs w:val="24"/>
              <w:highlight w:val="none"/>
            </w:rPr>
            <w:fldChar w:fldCharType="end"/>
          </w:r>
        </w:p>
        <w:p w14:paraId="24DD423F">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_Toc32227 </w:instrText>
          </w:r>
          <w:r>
            <w:rPr>
              <w:color w:val="auto"/>
              <w:sz w:val="24"/>
              <w:szCs w:val="24"/>
              <w:highlight w:val="none"/>
            </w:rPr>
            <w:fldChar w:fldCharType="separate"/>
          </w:r>
          <w:r>
            <w:rPr>
              <w:rFonts w:ascii="仿宋" w:hAnsi="仿宋" w:eastAsia="仿宋" w:cs="仿宋"/>
              <w:bCs/>
              <w:color w:val="auto"/>
              <w:spacing w:val="-12"/>
              <w:sz w:val="24"/>
              <w:szCs w:val="24"/>
              <w:highlight w:val="none"/>
            </w:rPr>
            <w:t>十一、技术条款</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_Toc32227 \h </w:instrText>
          </w:r>
          <w:r>
            <w:rPr>
              <w:color w:val="auto"/>
              <w:sz w:val="24"/>
              <w:szCs w:val="24"/>
              <w:highlight w:val="none"/>
            </w:rPr>
            <w:fldChar w:fldCharType="separate"/>
          </w:r>
          <w:r>
            <w:rPr>
              <w:color w:val="auto"/>
              <w:sz w:val="24"/>
              <w:szCs w:val="24"/>
              <w:highlight w:val="none"/>
            </w:rPr>
            <w:t>23</w:t>
          </w:r>
          <w:r>
            <w:rPr>
              <w:color w:val="auto"/>
              <w:sz w:val="24"/>
              <w:szCs w:val="24"/>
              <w:highlight w:val="none"/>
            </w:rPr>
            <w:fldChar w:fldCharType="end"/>
          </w:r>
          <w:r>
            <w:rPr>
              <w:color w:val="auto"/>
              <w:sz w:val="24"/>
              <w:szCs w:val="24"/>
              <w:highlight w:val="none"/>
            </w:rPr>
            <w:fldChar w:fldCharType="end"/>
          </w:r>
        </w:p>
        <w:p w14:paraId="7B9C4590">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_Toc25806 </w:instrText>
          </w:r>
          <w:r>
            <w:rPr>
              <w:color w:val="auto"/>
              <w:sz w:val="24"/>
              <w:szCs w:val="24"/>
              <w:highlight w:val="none"/>
            </w:rPr>
            <w:fldChar w:fldCharType="separate"/>
          </w:r>
          <w:r>
            <w:rPr>
              <w:rFonts w:ascii="仿宋" w:hAnsi="仿宋" w:eastAsia="仿宋" w:cs="仿宋"/>
              <w:bCs/>
              <w:color w:val="auto"/>
              <w:spacing w:val="-12"/>
              <w:sz w:val="24"/>
              <w:szCs w:val="24"/>
              <w:highlight w:val="none"/>
            </w:rPr>
            <w:t>十二、乙方人员工资保障措施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_Toc25806 \h </w:instrText>
          </w:r>
          <w:r>
            <w:rPr>
              <w:color w:val="auto"/>
              <w:sz w:val="24"/>
              <w:szCs w:val="24"/>
              <w:highlight w:val="none"/>
            </w:rPr>
            <w:fldChar w:fldCharType="separate"/>
          </w:r>
          <w:r>
            <w:rPr>
              <w:color w:val="auto"/>
              <w:sz w:val="24"/>
              <w:szCs w:val="24"/>
              <w:highlight w:val="none"/>
            </w:rPr>
            <w:t>24</w:t>
          </w:r>
          <w:r>
            <w:rPr>
              <w:color w:val="auto"/>
              <w:sz w:val="24"/>
              <w:szCs w:val="24"/>
              <w:highlight w:val="none"/>
            </w:rPr>
            <w:fldChar w:fldCharType="end"/>
          </w:r>
          <w:r>
            <w:rPr>
              <w:color w:val="auto"/>
              <w:sz w:val="24"/>
              <w:szCs w:val="24"/>
              <w:highlight w:val="none"/>
            </w:rPr>
            <w:fldChar w:fldCharType="end"/>
          </w:r>
        </w:p>
        <w:p w14:paraId="6B4F4E58">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_Toc18170 </w:instrText>
          </w:r>
          <w:r>
            <w:rPr>
              <w:color w:val="auto"/>
              <w:sz w:val="24"/>
              <w:szCs w:val="24"/>
              <w:highlight w:val="none"/>
            </w:rPr>
            <w:fldChar w:fldCharType="separate"/>
          </w:r>
          <w:r>
            <w:rPr>
              <w:rFonts w:ascii="仿宋" w:hAnsi="仿宋" w:eastAsia="仿宋" w:cs="仿宋"/>
              <w:bCs/>
              <w:color w:val="auto"/>
              <w:spacing w:val="-10"/>
              <w:sz w:val="24"/>
              <w:szCs w:val="24"/>
              <w:highlight w:val="none"/>
            </w:rPr>
            <w:t>十三、资源配置</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_Toc18170 \h </w:instrText>
          </w:r>
          <w:r>
            <w:rPr>
              <w:color w:val="auto"/>
              <w:sz w:val="24"/>
              <w:szCs w:val="24"/>
              <w:highlight w:val="none"/>
            </w:rPr>
            <w:fldChar w:fldCharType="separate"/>
          </w:r>
          <w:r>
            <w:rPr>
              <w:color w:val="auto"/>
              <w:sz w:val="24"/>
              <w:szCs w:val="24"/>
              <w:highlight w:val="none"/>
            </w:rPr>
            <w:t>24</w:t>
          </w:r>
          <w:r>
            <w:rPr>
              <w:color w:val="auto"/>
              <w:sz w:val="24"/>
              <w:szCs w:val="24"/>
              <w:highlight w:val="none"/>
            </w:rPr>
            <w:fldChar w:fldCharType="end"/>
          </w:r>
          <w:r>
            <w:rPr>
              <w:color w:val="auto"/>
              <w:sz w:val="24"/>
              <w:szCs w:val="24"/>
              <w:highlight w:val="none"/>
            </w:rPr>
            <w:fldChar w:fldCharType="end"/>
          </w:r>
        </w:p>
        <w:p w14:paraId="5BD6B156">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_Toc32475 </w:instrText>
          </w:r>
          <w:r>
            <w:rPr>
              <w:color w:val="auto"/>
              <w:sz w:val="24"/>
              <w:szCs w:val="24"/>
              <w:highlight w:val="none"/>
            </w:rPr>
            <w:fldChar w:fldCharType="separate"/>
          </w:r>
          <w:r>
            <w:rPr>
              <w:rFonts w:ascii="仿宋" w:hAnsi="仿宋" w:eastAsia="仿宋" w:cs="仿宋"/>
              <w:bCs/>
              <w:color w:val="auto"/>
              <w:spacing w:val="-11"/>
              <w:sz w:val="24"/>
              <w:szCs w:val="24"/>
              <w:highlight w:val="none"/>
            </w:rPr>
            <w:t>十四、施工协作</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_Toc32475 \h </w:instrText>
          </w:r>
          <w:r>
            <w:rPr>
              <w:color w:val="auto"/>
              <w:sz w:val="24"/>
              <w:szCs w:val="24"/>
              <w:highlight w:val="none"/>
            </w:rPr>
            <w:fldChar w:fldCharType="separate"/>
          </w:r>
          <w:r>
            <w:rPr>
              <w:color w:val="auto"/>
              <w:sz w:val="24"/>
              <w:szCs w:val="24"/>
              <w:highlight w:val="none"/>
            </w:rPr>
            <w:t>25</w:t>
          </w:r>
          <w:r>
            <w:rPr>
              <w:color w:val="auto"/>
              <w:sz w:val="24"/>
              <w:szCs w:val="24"/>
              <w:highlight w:val="none"/>
            </w:rPr>
            <w:fldChar w:fldCharType="end"/>
          </w:r>
          <w:r>
            <w:rPr>
              <w:color w:val="auto"/>
              <w:sz w:val="24"/>
              <w:szCs w:val="24"/>
              <w:highlight w:val="none"/>
            </w:rPr>
            <w:fldChar w:fldCharType="end"/>
          </w:r>
        </w:p>
        <w:p w14:paraId="49FCD253">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_Toc4734 </w:instrText>
          </w:r>
          <w:r>
            <w:rPr>
              <w:color w:val="auto"/>
              <w:sz w:val="24"/>
              <w:szCs w:val="24"/>
              <w:highlight w:val="none"/>
            </w:rPr>
            <w:fldChar w:fldCharType="separate"/>
          </w:r>
          <w:r>
            <w:rPr>
              <w:rFonts w:ascii="仿宋" w:hAnsi="仿宋" w:eastAsia="仿宋" w:cs="仿宋"/>
              <w:bCs/>
              <w:color w:val="auto"/>
              <w:spacing w:val="-11"/>
              <w:sz w:val="24"/>
              <w:szCs w:val="24"/>
              <w:highlight w:val="none"/>
            </w:rPr>
            <w:t>十五、计量、结算与支付</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_Toc4734 \h </w:instrText>
          </w:r>
          <w:r>
            <w:rPr>
              <w:color w:val="auto"/>
              <w:sz w:val="24"/>
              <w:szCs w:val="24"/>
              <w:highlight w:val="none"/>
            </w:rPr>
            <w:fldChar w:fldCharType="separate"/>
          </w:r>
          <w:r>
            <w:rPr>
              <w:color w:val="auto"/>
              <w:sz w:val="24"/>
              <w:szCs w:val="24"/>
              <w:highlight w:val="none"/>
            </w:rPr>
            <w:t>25</w:t>
          </w:r>
          <w:r>
            <w:rPr>
              <w:color w:val="auto"/>
              <w:sz w:val="24"/>
              <w:szCs w:val="24"/>
              <w:highlight w:val="none"/>
            </w:rPr>
            <w:fldChar w:fldCharType="end"/>
          </w:r>
          <w:r>
            <w:rPr>
              <w:color w:val="auto"/>
              <w:sz w:val="24"/>
              <w:szCs w:val="24"/>
              <w:highlight w:val="none"/>
            </w:rPr>
            <w:fldChar w:fldCharType="end"/>
          </w:r>
        </w:p>
        <w:p w14:paraId="053DA170">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_Toc25199 </w:instrText>
          </w:r>
          <w:r>
            <w:rPr>
              <w:color w:val="auto"/>
              <w:sz w:val="24"/>
              <w:szCs w:val="24"/>
              <w:highlight w:val="none"/>
            </w:rPr>
            <w:fldChar w:fldCharType="separate"/>
          </w:r>
          <w:r>
            <w:rPr>
              <w:rFonts w:ascii="仿宋" w:hAnsi="仿宋" w:eastAsia="仿宋" w:cs="仿宋"/>
              <w:bCs/>
              <w:color w:val="auto"/>
              <w:spacing w:val="-30"/>
              <w:sz w:val="24"/>
              <w:szCs w:val="24"/>
              <w:highlight w:val="none"/>
            </w:rPr>
            <w:t>十六、变</w:t>
          </w:r>
          <w:r>
            <w:rPr>
              <w:rFonts w:ascii="仿宋" w:hAnsi="仿宋" w:eastAsia="仿宋" w:cs="仿宋"/>
              <w:color w:val="auto"/>
              <w:spacing w:val="-18"/>
              <w:sz w:val="24"/>
              <w:szCs w:val="24"/>
              <w:highlight w:val="none"/>
            </w:rPr>
            <w:t xml:space="preserve"> </w:t>
          </w:r>
          <w:r>
            <w:rPr>
              <w:rFonts w:ascii="仿宋" w:hAnsi="仿宋" w:eastAsia="仿宋" w:cs="仿宋"/>
              <w:bCs/>
              <w:color w:val="auto"/>
              <w:spacing w:val="-30"/>
              <w:sz w:val="24"/>
              <w:szCs w:val="24"/>
              <w:highlight w:val="none"/>
            </w:rPr>
            <w:t>更</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_Toc25199 \h </w:instrText>
          </w:r>
          <w:r>
            <w:rPr>
              <w:color w:val="auto"/>
              <w:sz w:val="24"/>
              <w:szCs w:val="24"/>
              <w:highlight w:val="none"/>
            </w:rPr>
            <w:fldChar w:fldCharType="separate"/>
          </w:r>
          <w:r>
            <w:rPr>
              <w:color w:val="auto"/>
              <w:sz w:val="24"/>
              <w:szCs w:val="24"/>
              <w:highlight w:val="none"/>
            </w:rPr>
            <w:t>26</w:t>
          </w:r>
          <w:r>
            <w:rPr>
              <w:color w:val="auto"/>
              <w:sz w:val="24"/>
              <w:szCs w:val="24"/>
              <w:highlight w:val="none"/>
            </w:rPr>
            <w:fldChar w:fldCharType="end"/>
          </w:r>
          <w:r>
            <w:rPr>
              <w:color w:val="auto"/>
              <w:sz w:val="24"/>
              <w:szCs w:val="24"/>
              <w:highlight w:val="none"/>
            </w:rPr>
            <w:fldChar w:fldCharType="end"/>
          </w:r>
        </w:p>
        <w:p w14:paraId="1568CA37">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_Toc23552 </w:instrText>
          </w:r>
          <w:r>
            <w:rPr>
              <w:color w:val="auto"/>
              <w:sz w:val="24"/>
              <w:szCs w:val="24"/>
              <w:highlight w:val="none"/>
            </w:rPr>
            <w:fldChar w:fldCharType="separate"/>
          </w:r>
          <w:r>
            <w:rPr>
              <w:rFonts w:ascii="仿宋" w:hAnsi="仿宋" w:eastAsia="仿宋" w:cs="仿宋"/>
              <w:bCs/>
              <w:color w:val="auto"/>
              <w:spacing w:val="-11"/>
              <w:sz w:val="24"/>
              <w:szCs w:val="24"/>
              <w:highlight w:val="none"/>
            </w:rPr>
            <w:t>十七、竣工验收与完工结算</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_Toc23552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color w:val="auto"/>
              <w:sz w:val="24"/>
              <w:szCs w:val="24"/>
              <w:highlight w:val="none"/>
            </w:rPr>
            <w:fldChar w:fldCharType="end"/>
          </w:r>
        </w:p>
        <w:p w14:paraId="2F17C2DD">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_Toc21844 </w:instrText>
          </w:r>
          <w:r>
            <w:rPr>
              <w:color w:val="auto"/>
              <w:sz w:val="24"/>
              <w:szCs w:val="24"/>
              <w:highlight w:val="none"/>
            </w:rPr>
            <w:fldChar w:fldCharType="separate"/>
          </w:r>
          <w:r>
            <w:rPr>
              <w:rFonts w:ascii="仿宋" w:hAnsi="仿宋" w:eastAsia="仿宋" w:cs="仿宋"/>
              <w:bCs/>
              <w:color w:val="auto"/>
              <w:spacing w:val="-8"/>
              <w:sz w:val="24"/>
              <w:szCs w:val="24"/>
              <w:highlight w:val="none"/>
            </w:rPr>
            <w:t>十八、</w:t>
          </w:r>
          <w:r>
            <w:rPr>
              <w:rFonts w:hint="eastAsia" w:ascii="仿宋" w:hAnsi="仿宋" w:eastAsia="仿宋" w:cs="仿宋"/>
              <w:bCs/>
              <w:color w:val="auto"/>
              <w:spacing w:val="-8"/>
              <w:sz w:val="24"/>
              <w:szCs w:val="24"/>
              <w:highlight w:val="none"/>
              <w:lang w:val="en-US" w:eastAsia="zh-CN"/>
            </w:rPr>
            <w:t>质保</w:t>
          </w:r>
          <w:r>
            <w:rPr>
              <w:rFonts w:ascii="仿宋" w:hAnsi="仿宋" w:eastAsia="仿宋" w:cs="仿宋"/>
              <w:bCs/>
              <w:color w:val="auto"/>
              <w:spacing w:val="-8"/>
              <w:sz w:val="24"/>
              <w:szCs w:val="24"/>
              <w:highlight w:val="none"/>
            </w:rPr>
            <w:t>期</w:t>
          </w:r>
          <w:r>
            <w:rPr>
              <w:rFonts w:hint="eastAsia" w:ascii="仿宋" w:hAnsi="仿宋" w:eastAsia="仿宋" w:cs="仿宋"/>
              <w:bCs/>
              <w:color w:val="auto"/>
              <w:spacing w:val="-8"/>
              <w:sz w:val="24"/>
              <w:szCs w:val="24"/>
              <w:highlight w:val="none"/>
              <w:lang w:val="en-US" w:eastAsia="zh-CN"/>
            </w:rPr>
            <w:t>及缺陷责任期</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_Toc21844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color w:val="auto"/>
              <w:sz w:val="24"/>
              <w:szCs w:val="24"/>
              <w:highlight w:val="none"/>
            </w:rPr>
            <w:fldChar w:fldCharType="end"/>
          </w:r>
        </w:p>
        <w:p w14:paraId="149BC96D">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_Toc4274 </w:instrText>
          </w:r>
          <w:r>
            <w:rPr>
              <w:color w:val="auto"/>
              <w:sz w:val="24"/>
              <w:szCs w:val="24"/>
              <w:highlight w:val="none"/>
            </w:rPr>
            <w:fldChar w:fldCharType="separate"/>
          </w:r>
          <w:r>
            <w:rPr>
              <w:rFonts w:ascii="仿宋" w:hAnsi="仿宋" w:eastAsia="仿宋" w:cs="仿宋"/>
              <w:bCs/>
              <w:color w:val="auto"/>
              <w:spacing w:val="-9"/>
              <w:sz w:val="24"/>
              <w:szCs w:val="24"/>
              <w:highlight w:val="none"/>
            </w:rPr>
            <w:t>十九、保险及损失</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_Toc4274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color w:val="auto"/>
              <w:sz w:val="24"/>
              <w:szCs w:val="24"/>
              <w:highlight w:val="none"/>
            </w:rPr>
            <w:fldChar w:fldCharType="end"/>
          </w:r>
        </w:p>
        <w:p w14:paraId="68D00597">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_Toc7229 </w:instrText>
          </w:r>
          <w:r>
            <w:rPr>
              <w:color w:val="auto"/>
              <w:sz w:val="24"/>
              <w:szCs w:val="24"/>
              <w:highlight w:val="none"/>
            </w:rPr>
            <w:fldChar w:fldCharType="separate"/>
          </w:r>
          <w:r>
            <w:rPr>
              <w:rFonts w:ascii="仿宋" w:hAnsi="仿宋" w:eastAsia="仿宋" w:cs="仿宋"/>
              <w:bCs/>
              <w:color w:val="auto"/>
              <w:spacing w:val="-11"/>
              <w:sz w:val="24"/>
              <w:szCs w:val="24"/>
              <w:highlight w:val="none"/>
            </w:rPr>
            <w:t>二十、违约责任</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_Toc7229 \h </w:instrText>
          </w:r>
          <w:r>
            <w:rPr>
              <w:color w:val="auto"/>
              <w:sz w:val="24"/>
              <w:szCs w:val="24"/>
              <w:highlight w:val="none"/>
            </w:rPr>
            <w:fldChar w:fldCharType="separate"/>
          </w:r>
          <w:r>
            <w:rPr>
              <w:color w:val="auto"/>
              <w:sz w:val="24"/>
              <w:szCs w:val="24"/>
              <w:highlight w:val="none"/>
            </w:rPr>
            <w:t>28</w:t>
          </w:r>
          <w:r>
            <w:rPr>
              <w:color w:val="auto"/>
              <w:sz w:val="24"/>
              <w:szCs w:val="24"/>
              <w:highlight w:val="none"/>
            </w:rPr>
            <w:fldChar w:fldCharType="end"/>
          </w:r>
          <w:r>
            <w:rPr>
              <w:color w:val="auto"/>
              <w:sz w:val="24"/>
              <w:szCs w:val="24"/>
              <w:highlight w:val="none"/>
            </w:rPr>
            <w:fldChar w:fldCharType="end"/>
          </w:r>
        </w:p>
        <w:p w14:paraId="25D3C411">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_Toc26014 </w:instrText>
          </w:r>
          <w:r>
            <w:rPr>
              <w:color w:val="auto"/>
              <w:sz w:val="24"/>
              <w:szCs w:val="24"/>
              <w:highlight w:val="none"/>
            </w:rPr>
            <w:fldChar w:fldCharType="separate"/>
          </w:r>
          <w:r>
            <w:rPr>
              <w:rFonts w:ascii="仿宋" w:hAnsi="仿宋" w:eastAsia="仿宋" w:cs="仿宋"/>
              <w:bCs/>
              <w:color w:val="auto"/>
              <w:spacing w:val="-11"/>
              <w:sz w:val="24"/>
              <w:szCs w:val="24"/>
              <w:highlight w:val="none"/>
            </w:rPr>
            <w:t>二十一、争议解决</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_Toc26014 \h </w:instrText>
          </w:r>
          <w:r>
            <w:rPr>
              <w:color w:val="auto"/>
              <w:sz w:val="24"/>
              <w:szCs w:val="24"/>
              <w:highlight w:val="none"/>
            </w:rPr>
            <w:fldChar w:fldCharType="separate"/>
          </w:r>
          <w:r>
            <w:rPr>
              <w:color w:val="auto"/>
              <w:sz w:val="24"/>
              <w:szCs w:val="24"/>
              <w:highlight w:val="none"/>
            </w:rPr>
            <w:t>29</w:t>
          </w:r>
          <w:r>
            <w:rPr>
              <w:color w:val="auto"/>
              <w:sz w:val="24"/>
              <w:szCs w:val="24"/>
              <w:highlight w:val="none"/>
            </w:rPr>
            <w:fldChar w:fldCharType="end"/>
          </w:r>
          <w:r>
            <w:rPr>
              <w:color w:val="auto"/>
              <w:sz w:val="24"/>
              <w:szCs w:val="24"/>
              <w:highlight w:val="none"/>
            </w:rPr>
            <w:fldChar w:fldCharType="end"/>
          </w:r>
        </w:p>
        <w:p w14:paraId="3D29F375">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_Toc5795 </w:instrText>
          </w:r>
          <w:r>
            <w:rPr>
              <w:color w:val="auto"/>
              <w:sz w:val="24"/>
              <w:szCs w:val="24"/>
              <w:highlight w:val="none"/>
            </w:rPr>
            <w:fldChar w:fldCharType="separate"/>
          </w:r>
          <w:r>
            <w:rPr>
              <w:rFonts w:ascii="仿宋" w:hAnsi="仿宋" w:eastAsia="仿宋" w:cs="仿宋"/>
              <w:bCs/>
              <w:color w:val="auto"/>
              <w:spacing w:val="-8"/>
              <w:sz w:val="24"/>
              <w:szCs w:val="24"/>
              <w:highlight w:val="none"/>
            </w:rPr>
            <w:t>二十二、特别约定</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_Toc5795 \h </w:instrText>
          </w:r>
          <w:r>
            <w:rPr>
              <w:color w:val="auto"/>
              <w:sz w:val="24"/>
              <w:szCs w:val="24"/>
              <w:highlight w:val="none"/>
            </w:rPr>
            <w:fldChar w:fldCharType="separate"/>
          </w:r>
          <w:r>
            <w:rPr>
              <w:color w:val="auto"/>
              <w:sz w:val="24"/>
              <w:szCs w:val="24"/>
              <w:highlight w:val="none"/>
            </w:rPr>
            <w:t>30</w:t>
          </w:r>
          <w:r>
            <w:rPr>
              <w:color w:val="auto"/>
              <w:sz w:val="24"/>
              <w:szCs w:val="24"/>
              <w:highlight w:val="none"/>
            </w:rPr>
            <w:fldChar w:fldCharType="end"/>
          </w:r>
          <w:r>
            <w:rPr>
              <w:color w:val="auto"/>
              <w:sz w:val="24"/>
              <w:szCs w:val="24"/>
              <w:highlight w:val="none"/>
            </w:rPr>
            <w:fldChar w:fldCharType="end"/>
          </w:r>
        </w:p>
        <w:p w14:paraId="33E84F51">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_Toc10378 </w:instrText>
          </w:r>
          <w:r>
            <w:rPr>
              <w:color w:val="auto"/>
              <w:sz w:val="24"/>
              <w:szCs w:val="24"/>
              <w:highlight w:val="none"/>
            </w:rPr>
            <w:fldChar w:fldCharType="separate"/>
          </w:r>
          <w:r>
            <w:rPr>
              <w:rFonts w:ascii="仿宋" w:hAnsi="仿宋" w:eastAsia="仿宋" w:cs="仿宋"/>
              <w:bCs/>
              <w:color w:val="auto"/>
              <w:spacing w:val="-12"/>
              <w:sz w:val="24"/>
              <w:szCs w:val="24"/>
              <w:highlight w:val="none"/>
            </w:rPr>
            <w:t>二十三、附则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_Toc10378 \h </w:instrText>
          </w:r>
          <w:r>
            <w:rPr>
              <w:color w:val="auto"/>
              <w:sz w:val="24"/>
              <w:szCs w:val="24"/>
              <w:highlight w:val="none"/>
            </w:rPr>
            <w:fldChar w:fldCharType="separate"/>
          </w:r>
          <w:r>
            <w:rPr>
              <w:color w:val="auto"/>
              <w:sz w:val="24"/>
              <w:szCs w:val="24"/>
              <w:highlight w:val="none"/>
            </w:rPr>
            <w:t>30</w:t>
          </w:r>
          <w:r>
            <w:rPr>
              <w:color w:val="auto"/>
              <w:sz w:val="24"/>
              <w:szCs w:val="24"/>
              <w:highlight w:val="none"/>
            </w:rPr>
            <w:fldChar w:fldCharType="end"/>
          </w:r>
          <w:r>
            <w:rPr>
              <w:color w:val="auto"/>
              <w:sz w:val="24"/>
              <w:szCs w:val="24"/>
              <w:highlight w:val="none"/>
            </w:rPr>
            <w:fldChar w:fldCharType="end"/>
          </w:r>
        </w:p>
        <w:p w14:paraId="75176EA8">
          <w:pPr>
            <w:pStyle w:val="17"/>
            <w:tabs>
              <w:tab w:val="right" w:leader="dot" w:pos="8391"/>
            </w:tabs>
            <w:spacing w:line="360" w:lineRule="auto"/>
            <w:rPr>
              <w:color w:val="auto"/>
              <w:highlight w:val="none"/>
            </w:rPr>
          </w:pPr>
          <w:r>
            <w:rPr>
              <w:color w:val="auto"/>
              <w:sz w:val="24"/>
              <w:szCs w:val="24"/>
              <w:highlight w:val="none"/>
            </w:rPr>
            <w:fldChar w:fldCharType="begin"/>
          </w:r>
          <w:r>
            <w:rPr>
              <w:color w:val="auto"/>
              <w:sz w:val="24"/>
              <w:szCs w:val="24"/>
              <w:highlight w:val="none"/>
            </w:rPr>
            <w:instrText xml:space="preserve"> HYPERLINK \l _Toc24223 </w:instrText>
          </w:r>
          <w:r>
            <w:rPr>
              <w:color w:val="auto"/>
              <w:sz w:val="24"/>
              <w:szCs w:val="24"/>
              <w:highlight w:val="none"/>
            </w:rPr>
            <w:fldChar w:fldCharType="separate"/>
          </w:r>
          <w:r>
            <w:rPr>
              <w:rFonts w:ascii="仿宋" w:hAnsi="仿宋" w:eastAsia="仿宋" w:cs="仿宋"/>
              <w:bCs/>
              <w:color w:val="auto"/>
              <w:spacing w:val="-13"/>
              <w:sz w:val="24"/>
              <w:szCs w:val="24"/>
              <w:highlight w:val="none"/>
            </w:rPr>
            <w:t>合同附件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_Toc24223 \h </w:instrText>
          </w:r>
          <w:r>
            <w:rPr>
              <w:color w:val="auto"/>
              <w:sz w:val="24"/>
              <w:szCs w:val="24"/>
              <w:highlight w:val="none"/>
            </w:rPr>
            <w:fldChar w:fldCharType="separate"/>
          </w:r>
          <w:r>
            <w:rPr>
              <w:color w:val="auto"/>
              <w:sz w:val="24"/>
              <w:szCs w:val="24"/>
              <w:highlight w:val="none"/>
            </w:rPr>
            <w:t>31</w:t>
          </w:r>
          <w:r>
            <w:rPr>
              <w:color w:val="auto"/>
              <w:sz w:val="24"/>
              <w:szCs w:val="24"/>
              <w:highlight w:val="none"/>
            </w:rPr>
            <w:fldChar w:fldCharType="end"/>
          </w:r>
          <w:r>
            <w:rPr>
              <w:color w:val="auto"/>
              <w:sz w:val="24"/>
              <w:szCs w:val="24"/>
              <w:highlight w:val="none"/>
            </w:rPr>
            <w:fldChar w:fldCharType="end"/>
          </w:r>
        </w:p>
        <w:p w14:paraId="2CA3334B">
          <w:pPr>
            <w:pStyle w:val="3"/>
            <w:numPr>
              <w:ilvl w:val="3"/>
              <w:numId w:val="0"/>
            </w:numPr>
            <w:ind w:leftChars="0"/>
            <w:rPr>
              <w:color w:val="auto"/>
              <w:highlight w:val="none"/>
            </w:rPr>
            <w:sectPr>
              <w:footerReference r:id="rId5" w:type="default"/>
              <w:pgSz w:w="11900" w:h="16830"/>
              <w:pgMar w:top="1430" w:right="1724" w:bottom="1350" w:left="1785" w:header="0" w:footer="397" w:gutter="0"/>
              <w:pgNumType w:fmt="decimal" w:start="1"/>
              <w:cols w:space="720" w:num="1"/>
            </w:sectPr>
          </w:pPr>
          <w:r>
            <w:rPr>
              <w:color w:val="auto"/>
              <w:highlight w:val="none"/>
            </w:rPr>
            <w:fldChar w:fldCharType="end"/>
          </w:r>
        </w:p>
      </w:sdtContent>
    </w:sdt>
    <w:p w14:paraId="71AB103B">
      <w:pPr>
        <w:spacing w:before="136" w:line="219" w:lineRule="auto"/>
        <w:jc w:val="center"/>
        <w:rPr>
          <w:rFonts w:ascii="宋体" w:hAnsi="宋体" w:eastAsia="宋体" w:cs="宋体"/>
          <w:color w:val="auto"/>
          <w:sz w:val="25"/>
          <w:szCs w:val="25"/>
          <w:highlight w:val="none"/>
        </w:rPr>
      </w:pPr>
      <w:bookmarkStart w:id="1" w:name="bookmark25"/>
      <w:bookmarkEnd w:id="1"/>
      <w:r>
        <w:rPr>
          <w:rFonts w:hint="eastAsia" w:ascii="仿宋" w:hAnsi="仿宋" w:eastAsia="仿宋" w:cs="仿宋"/>
          <w:b/>
          <w:bCs/>
          <w:color w:val="auto"/>
          <w:spacing w:val="-8"/>
          <w:sz w:val="33"/>
          <w:szCs w:val="33"/>
          <w:highlight w:val="none"/>
          <w:u w:val="single" w:color="auto"/>
          <w:lang w:val="en-US" w:eastAsia="zh-CN"/>
        </w:rPr>
        <w:t>会理市“天府森林四库”产业融合发展示范项目（一期）一标段房建主体劳务分包合同</w:t>
      </w:r>
    </w:p>
    <w:p w14:paraId="44FFA833">
      <w:pPr>
        <w:pStyle w:val="5"/>
        <w:spacing w:line="279" w:lineRule="auto"/>
        <w:rPr>
          <w:color w:val="auto"/>
          <w:highlight w:val="none"/>
        </w:rPr>
      </w:pPr>
    </w:p>
    <w:p w14:paraId="079FA9D4">
      <w:pPr>
        <w:spacing w:before="81" w:line="212" w:lineRule="auto"/>
        <w:ind w:left="2428"/>
        <w:outlineLvl w:val="0"/>
        <w:rPr>
          <w:rFonts w:ascii="Times New Roman" w:hAnsi="Times New Roman" w:eastAsia="Times New Roman" w:cs="Times New Roman"/>
          <w:color w:val="auto"/>
          <w:sz w:val="25"/>
          <w:szCs w:val="25"/>
          <w:highlight w:val="none"/>
        </w:rPr>
      </w:pPr>
      <w:bookmarkStart w:id="2" w:name="_Toc2855"/>
      <w:r>
        <w:rPr>
          <w:rFonts w:ascii="仿宋" w:hAnsi="仿宋" w:eastAsia="仿宋" w:cs="仿宋"/>
          <w:b/>
          <w:bCs/>
          <w:color w:val="auto"/>
          <w:spacing w:val="-20"/>
          <w:w w:val="98"/>
          <w:sz w:val="25"/>
          <w:szCs w:val="25"/>
          <w:highlight w:val="none"/>
        </w:rPr>
        <w:t>(合同编号：</w:t>
      </w:r>
      <w:r>
        <w:rPr>
          <w:rFonts w:hint="eastAsia" w:ascii="仿宋" w:hAnsi="仿宋" w:eastAsia="仿宋" w:cs="仿宋"/>
          <w:b/>
          <w:bCs/>
          <w:color w:val="auto"/>
          <w:spacing w:val="-20"/>
          <w:w w:val="98"/>
          <w:sz w:val="25"/>
          <w:szCs w:val="25"/>
          <w:highlight w:val="none"/>
          <w:u w:val="single"/>
          <w:lang w:eastAsia="zh-CN"/>
        </w:rPr>
        <w:t>JGZY-HLTFSL-ZTLW-2026-001</w:t>
      </w:r>
      <w:r>
        <w:rPr>
          <w:rFonts w:hint="eastAsia" w:ascii="Times New Roman" w:hAnsi="Times New Roman" w:eastAsia="宋体" w:cs="Times New Roman"/>
          <w:b/>
          <w:bCs/>
          <w:color w:val="auto"/>
          <w:spacing w:val="-20"/>
          <w:w w:val="98"/>
          <w:sz w:val="25"/>
          <w:szCs w:val="25"/>
          <w:highlight w:val="none"/>
          <w:lang w:val="en-US" w:eastAsia="zh-CN"/>
        </w:rPr>
        <w:t xml:space="preserve"> </w:t>
      </w:r>
      <w:r>
        <w:rPr>
          <w:rFonts w:ascii="Times New Roman" w:hAnsi="Times New Roman" w:eastAsia="Times New Roman" w:cs="Times New Roman"/>
          <w:b/>
          <w:bCs/>
          <w:color w:val="auto"/>
          <w:spacing w:val="-20"/>
          <w:w w:val="98"/>
          <w:sz w:val="25"/>
          <w:szCs w:val="25"/>
          <w:highlight w:val="none"/>
        </w:rPr>
        <w:t>)</w:t>
      </w:r>
      <w:bookmarkEnd w:id="2"/>
    </w:p>
    <w:p w14:paraId="3CB318FB">
      <w:pPr>
        <w:pStyle w:val="5"/>
        <w:spacing w:line="293" w:lineRule="auto"/>
        <w:rPr>
          <w:color w:val="auto"/>
          <w:highlight w:val="none"/>
        </w:rPr>
      </w:pPr>
    </w:p>
    <w:p w14:paraId="68C6D248">
      <w:pPr>
        <w:pStyle w:val="5"/>
        <w:spacing w:line="294" w:lineRule="auto"/>
        <w:rPr>
          <w:color w:val="auto"/>
          <w:highlight w:val="none"/>
        </w:rPr>
      </w:pPr>
    </w:p>
    <w:p w14:paraId="70C54B23">
      <w:pPr>
        <w:spacing w:before="81" w:line="222" w:lineRule="auto"/>
        <w:ind w:left="78"/>
        <w:rPr>
          <w:rFonts w:hint="eastAsia" w:ascii="仿宋" w:hAnsi="仿宋" w:eastAsia="仿宋" w:cs="仿宋"/>
          <w:b/>
          <w:bCs/>
          <w:color w:val="auto"/>
          <w:spacing w:val="-12"/>
          <w:sz w:val="25"/>
          <w:szCs w:val="25"/>
          <w:highlight w:val="none"/>
          <w:u w:val="single"/>
          <w:lang w:val="en-US" w:eastAsia="zh-CN"/>
        </w:rPr>
      </w:pPr>
      <w:r>
        <w:rPr>
          <w:rFonts w:ascii="仿宋" w:hAnsi="仿宋" w:eastAsia="仿宋" w:cs="仿宋"/>
          <w:b/>
          <w:bCs/>
          <w:color w:val="auto"/>
          <w:spacing w:val="-12"/>
          <w:sz w:val="25"/>
          <w:szCs w:val="25"/>
          <w:highlight w:val="none"/>
        </w:rPr>
        <w:t>甲方：</w:t>
      </w:r>
      <w:r>
        <w:rPr>
          <w:rFonts w:hint="eastAsia" w:ascii="仿宋" w:hAnsi="仿宋" w:eastAsia="仿宋" w:cs="仿宋"/>
          <w:b/>
          <w:bCs/>
          <w:color w:val="auto"/>
          <w:spacing w:val="-12"/>
          <w:sz w:val="25"/>
          <w:szCs w:val="25"/>
          <w:highlight w:val="none"/>
          <w:u w:val="single"/>
          <w:lang w:val="en-US" w:eastAsia="zh-CN"/>
        </w:rPr>
        <w:t>凉山建工置业有限责任公司</w:t>
      </w:r>
    </w:p>
    <w:p w14:paraId="593D80D3">
      <w:pPr>
        <w:pStyle w:val="5"/>
        <w:spacing w:before="191" w:line="329" w:lineRule="auto"/>
        <w:ind w:left="307" w:leftChars="35" w:right="1971" w:hanging="234" w:hangingChars="100"/>
        <w:jc w:val="both"/>
        <w:rPr>
          <w:rFonts w:hint="eastAsia" w:ascii="Times New Roman" w:hAnsi="Times New Roman" w:eastAsia="宋体" w:cs="Times New Roman"/>
          <w:b/>
          <w:bCs/>
          <w:color w:val="auto"/>
          <w:spacing w:val="-8"/>
          <w:sz w:val="25"/>
          <w:szCs w:val="25"/>
          <w:highlight w:val="none"/>
          <w:u w:val="single" w:color="auto"/>
          <w:lang w:val="en-US" w:eastAsia="zh-CN"/>
        </w:rPr>
      </w:pPr>
      <w:r>
        <w:rPr>
          <w:rFonts w:ascii="仿宋" w:hAnsi="仿宋" w:eastAsia="仿宋" w:cs="仿宋"/>
          <w:color w:val="auto"/>
          <w:spacing w:val="-8"/>
          <w:sz w:val="25"/>
          <w:szCs w:val="25"/>
          <w:highlight w:val="none"/>
        </w:rPr>
        <w:t>纳税人识别号(统一社会信用代码)</w:t>
      </w:r>
      <w:r>
        <w:rPr>
          <w:rFonts w:ascii="仿宋" w:hAnsi="仿宋" w:eastAsia="仿宋" w:cs="仿宋"/>
          <w:color w:val="auto"/>
          <w:spacing w:val="-8"/>
          <w:sz w:val="25"/>
          <w:szCs w:val="25"/>
          <w:highlight w:val="none"/>
          <w:u w:val="single" w:color="auto"/>
        </w:rPr>
        <w:t>:</w:t>
      </w:r>
      <w:r>
        <w:rPr>
          <w:rFonts w:hint="eastAsia" w:ascii="仿宋" w:hAnsi="仿宋" w:eastAsia="仿宋" w:cs="仿宋"/>
          <w:b/>
          <w:bCs/>
          <w:color w:val="auto"/>
          <w:spacing w:val="-8"/>
          <w:sz w:val="25"/>
          <w:szCs w:val="25"/>
          <w:highlight w:val="none"/>
          <w:u w:val="single" w:color="auto"/>
          <w:lang w:eastAsia="zh-CN"/>
        </w:rPr>
        <w:t>91513400MA66LNBC9B</w:t>
      </w:r>
      <w:r>
        <w:rPr>
          <w:rFonts w:hint="eastAsia" w:ascii="仿宋" w:hAnsi="仿宋" w:eastAsia="仿宋" w:cs="仿宋"/>
          <w:b/>
          <w:bCs/>
          <w:snapToGrid w:val="0"/>
          <w:color w:val="auto"/>
          <w:spacing w:val="-12"/>
          <w:kern w:val="0"/>
          <w:sz w:val="25"/>
          <w:szCs w:val="25"/>
          <w:highlight w:val="none"/>
          <w:u w:val="none"/>
          <w:lang w:val="en-US" w:eastAsia="zh-CN" w:bidi="ar-SA"/>
        </w:rPr>
        <w:t xml:space="preserve">         </w:t>
      </w:r>
      <w:r>
        <w:rPr>
          <w:rFonts w:hint="eastAsia" w:ascii="仿宋" w:hAnsi="仿宋" w:eastAsia="仿宋" w:cs="仿宋"/>
          <w:b/>
          <w:bCs/>
          <w:snapToGrid w:val="0"/>
          <w:color w:val="auto"/>
          <w:spacing w:val="-12"/>
          <w:kern w:val="0"/>
          <w:sz w:val="25"/>
          <w:szCs w:val="25"/>
          <w:highlight w:val="none"/>
          <w:u w:val="single"/>
          <w:lang w:val="en-US" w:eastAsia="zh-CN" w:bidi="ar-SA"/>
        </w:rPr>
        <w:t xml:space="preserve">   </w:t>
      </w:r>
    </w:p>
    <w:p w14:paraId="176634D6">
      <w:pPr>
        <w:pStyle w:val="5"/>
        <w:spacing w:before="191" w:line="329" w:lineRule="auto"/>
        <w:ind w:left="301" w:leftChars="35" w:right="1971" w:hanging="228" w:hangingChars="100"/>
        <w:jc w:val="both"/>
        <w:rPr>
          <w:rFonts w:hint="eastAsia" w:ascii="仿宋" w:hAnsi="仿宋" w:eastAsia="仿宋" w:cs="仿宋"/>
          <w:b/>
          <w:bCs/>
          <w:color w:val="auto"/>
          <w:spacing w:val="-11"/>
          <w:sz w:val="25"/>
          <w:szCs w:val="25"/>
          <w:highlight w:val="none"/>
          <w:u w:val="single" w:color="auto"/>
          <w:lang w:val="en-US" w:eastAsia="zh-CN"/>
        </w:rPr>
      </w:pPr>
      <w:r>
        <w:rPr>
          <w:rFonts w:ascii="仿宋" w:hAnsi="仿宋" w:eastAsia="仿宋" w:cs="仿宋"/>
          <w:color w:val="auto"/>
          <w:spacing w:val="-11"/>
          <w:sz w:val="25"/>
          <w:szCs w:val="25"/>
          <w:highlight w:val="none"/>
        </w:rPr>
        <w:t>开户银行名称：</w:t>
      </w:r>
      <w:r>
        <w:rPr>
          <w:rFonts w:hint="eastAsia" w:ascii="仿宋" w:hAnsi="仿宋" w:eastAsia="仿宋" w:cs="仿宋"/>
          <w:b/>
          <w:bCs/>
          <w:color w:val="auto"/>
          <w:spacing w:val="-11"/>
          <w:sz w:val="25"/>
          <w:szCs w:val="25"/>
          <w:highlight w:val="none"/>
          <w:u w:val="single"/>
          <w:lang w:eastAsia="zh-CN"/>
        </w:rPr>
        <w:t>成都农村商业银行股份有限公司凉山分行</w:t>
      </w:r>
    </w:p>
    <w:p w14:paraId="300022F7">
      <w:pPr>
        <w:pStyle w:val="5"/>
        <w:spacing w:before="191" w:line="329" w:lineRule="auto"/>
        <w:ind w:left="315" w:leftChars="35" w:right="1971" w:hanging="242" w:hangingChars="100"/>
        <w:jc w:val="both"/>
        <w:rPr>
          <w:rFonts w:hint="default" w:eastAsia="宋体"/>
          <w:color w:val="auto"/>
          <w:sz w:val="25"/>
          <w:szCs w:val="25"/>
          <w:highlight w:val="none"/>
          <w:lang w:val="en-US" w:eastAsia="zh-CN"/>
        </w:rPr>
      </w:pPr>
      <w:r>
        <w:rPr>
          <w:rFonts w:ascii="仿宋" w:hAnsi="仿宋" w:eastAsia="仿宋" w:cs="仿宋"/>
          <w:color w:val="auto"/>
          <w:spacing w:val="-4"/>
          <w:sz w:val="25"/>
          <w:szCs w:val="25"/>
          <w:highlight w:val="none"/>
        </w:rPr>
        <w:t>开户银行账号：</w:t>
      </w:r>
      <w:r>
        <w:rPr>
          <w:rFonts w:hint="eastAsia" w:ascii="仿宋" w:hAnsi="仿宋" w:eastAsia="仿宋" w:cs="仿宋"/>
          <w:b/>
          <w:bCs/>
          <w:color w:val="auto"/>
          <w:spacing w:val="-11"/>
          <w:sz w:val="25"/>
          <w:szCs w:val="25"/>
          <w:highlight w:val="none"/>
          <w:u w:val="single" w:color="auto"/>
          <w:lang w:val="en-US" w:eastAsia="zh-CN"/>
        </w:rPr>
        <w:t xml:space="preserve"> 1000070002543294 </w:t>
      </w:r>
    </w:p>
    <w:p w14:paraId="4EF09E08">
      <w:pPr>
        <w:spacing w:before="52" w:line="326" w:lineRule="auto"/>
        <w:ind w:left="74" w:right="1359"/>
        <w:rPr>
          <w:rFonts w:hint="eastAsia" w:ascii="仿宋" w:hAnsi="仿宋" w:eastAsia="仿宋" w:cs="仿宋"/>
          <w:b/>
          <w:bCs/>
          <w:color w:val="auto"/>
          <w:spacing w:val="3"/>
          <w:sz w:val="25"/>
          <w:szCs w:val="25"/>
          <w:highlight w:val="none"/>
          <w:u w:val="single" w:color="auto"/>
          <w:lang w:val="en-US" w:eastAsia="zh-CN"/>
        </w:rPr>
      </w:pPr>
      <w:r>
        <w:rPr>
          <w:rFonts w:ascii="仿宋" w:hAnsi="仿宋" w:eastAsia="仿宋" w:cs="仿宋"/>
          <w:color w:val="auto"/>
          <w:spacing w:val="3"/>
          <w:sz w:val="25"/>
          <w:szCs w:val="25"/>
          <w:highlight w:val="none"/>
        </w:rPr>
        <w:t>注册地址：</w:t>
      </w:r>
      <w:r>
        <w:rPr>
          <w:rFonts w:hint="eastAsia" w:ascii="仿宋" w:hAnsi="仿宋" w:eastAsia="仿宋" w:cs="仿宋"/>
          <w:b/>
          <w:bCs/>
          <w:color w:val="auto"/>
          <w:spacing w:val="3"/>
          <w:sz w:val="25"/>
          <w:szCs w:val="25"/>
          <w:highlight w:val="none"/>
          <w:u w:val="single"/>
          <w:lang w:eastAsia="zh-CN"/>
        </w:rPr>
        <w:t>越西县越城镇滨河路金域华府小区3-2-7</w:t>
      </w:r>
    </w:p>
    <w:p w14:paraId="7A15F206">
      <w:pPr>
        <w:spacing w:before="52" w:line="326" w:lineRule="auto"/>
        <w:ind w:left="74" w:right="1359"/>
        <w:rPr>
          <w:rFonts w:ascii="仿宋" w:hAnsi="仿宋" w:eastAsia="仿宋" w:cs="仿宋"/>
          <w:color w:val="auto"/>
          <w:sz w:val="25"/>
          <w:szCs w:val="25"/>
          <w:highlight w:val="none"/>
        </w:rPr>
      </w:pPr>
      <w:r>
        <w:rPr>
          <w:rFonts w:ascii="仿宋" w:hAnsi="仿宋" w:eastAsia="仿宋" w:cs="仿宋"/>
          <w:color w:val="auto"/>
          <w:sz w:val="25"/>
          <w:szCs w:val="25"/>
          <w:highlight w:val="none"/>
        </w:rPr>
        <w:t xml:space="preserve"> </w:t>
      </w:r>
      <w:r>
        <w:rPr>
          <w:rFonts w:ascii="仿宋" w:hAnsi="仿宋" w:eastAsia="仿宋" w:cs="仿宋"/>
          <w:color w:val="auto"/>
          <w:spacing w:val="18"/>
          <w:sz w:val="25"/>
          <w:szCs w:val="25"/>
          <w:highlight w:val="none"/>
        </w:rPr>
        <w:t xml:space="preserve">纳税人类型： </w:t>
      </w:r>
      <w:r>
        <w:rPr>
          <w:rFonts w:hint="eastAsia" w:ascii="仿宋" w:hAnsi="仿宋" w:eastAsia="仿宋" w:cs="仿宋"/>
          <w:color w:val="auto"/>
          <w:spacing w:val="18"/>
          <w:sz w:val="25"/>
          <w:szCs w:val="25"/>
          <w:highlight w:val="none"/>
          <w:lang w:eastAsia="zh-CN"/>
        </w:rPr>
        <w:t>☑</w:t>
      </w:r>
      <w:r>
        <w:rPr>
          <w:rFonts w:ascii="仿宋" w:hAnsi="仿宋" w:eastAsia="仿宋" w:cs="仿宋"/>
          <w:color w:val="auto"/>
          <w:spacing w:val="18"/>
          <w:sz w:val="25"/>
          <w:szCs w:val="25"/>
          <w:highlight w:val="none"/>
        </w:rPr>
        <w:t>一般纳税人□小规模纳税人□其他</w:t>
      </w:r>
    </w:p>
    <w:p w14:paraId="0ED02182">
      <w:pPr>
        <w:spacing w:before="56" w:line="222" w:lineRule="auto"/>
        <w:ind w:left="78"/>
        <w:rPr>
          <w:rFonts w:hint="default" w:ascii="仿宋" w:hAnsi="仿宋" w:eastAsia="仿宋" w:cs="仿宋"/>
          <w:color w:val="auto"/>
          <w:sz w:val="25"/>
          <w:szCs w:val="25"/>
          <w:highlight w:val="none"/>
          <w:u w:val="single"/>
          <w:lang w:val="en-US" w:eastAsia="zh-CN"/>
        </w:rPr>
      </w:pPr>
      <w:r>
        <w:rPr>
          <w:rFonts w:ascii="仿宋" w:hAnsi="仿宋" w:eastAsia="仿宋" w:cs="仿宋"/>
          <w:b/>
          <w:bCs/>
          <w:color w:val="auto"/>
          <w:spacing w:val="-11"/>
          <w:sz w:val="25"/>
          <w:szCs w:val="25"/>
          <w:highlight w:val="none"/>
        </w:rPr>
        <w:t>乙方：</w:t>
      </w:r>
      <w:r>
        <w:rPr>
          <w:rFonts w:hint="eastAsia" w:ascii="仿宋" w:hAnsi="仿宋" w:eastAsia="仿宋" w:cs="仿宋"/>
          <w:b/>
          <w:bCs/>
          <w:color w:val="auto"/>
          <w:spacing w:val="-11"/>
          <w:sz w:val="25"/>
          <w:szCs w:val="25"/>
          <w:highlight w:val="none"/>
          <w:u w:val="single"/>
          <w:lang w:val="en-US" w:eastAsia="zh-CN"/>
        </w:rPr>
        <w:t xml:space="preserve"> *****************  </w:t>
      </w:r>
    </w:p>
    <w:p w14:paraId="481AE29F">
      <w:pPr>
        <w:spacing w:before="159" w:line="222"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1"/>
          <w:sz w:val="25"/>
          <w:szCs w:val="25"/>
          <w:highlight w:val="none"/>
        </w:rPr>
        <w:t>法定代表人：</w:t>
      </w:r>
      <w:r>
        <w:rPr>
          <w:rFonts w:ascii="仿宋" w:hAnsi="仿宋" w:eastAsia="仿宋" w:cs="仿宋"/>
          <w:color w:val="auto"/>
          <w:spacing w:val="-45"/>
          <w:sz w:val="25"/>
          <w:szCs w:val="25"/>
          <w:highlight w:val="none"/>
        </w:rPr>
        <w:t xml:space="preserve"> </w:t>
      </w:r>
      <w:r>
        <w:rPr>
          <w:rFonts w:ascii="仿宋" w:hAnsi="仿宋" w:eastAsia="仿宋" w:cs="仿宋"/>
          <w:color w:val="auto"/>
          <w:spacing w:val="-110"/>
          <w:sz w:val="25"/>
          <w:szCs w:val="25"/>
          <w:highlight w:val="none"/>
          <w:u w:val="single" w:color="auto"/>
        </w:rPr>
        <w:t xml:space="preserve"> </w:t>
      </w:r>
      <w:r>
        <w:rPr>
          <w:rFonts w:hint="eastAsia" w:ascii="仿宋" w:hAnsi="仿宋" w:eastAsia="仿宋" w:cs="仿宋"/>
          <w:b/>
          <w:bCs/>
          <w:color w:val="auto"/>
          <w:spacing w:val="-1"/>
          <w:sz w:val="25"/>
          <w:szCs w:val="25"/>
          <w:highlight w:val="none"/>
          <w:u w:val="single" w:color="auto"/>
          <w:lang w:val="en-US" w:eastAsia="zh-CN"/>
        </w:rPr>
        <w:t xml:space="preserve"> *******  </w:t>
      </w:r>
    </w:p>
    <w:p w14:paraId="6429705F">
      <w:pPr>
        <w:spacing w:before="184" w:line="223" w:lineRule="auto"/>
        <w:ind w:left="74"/>
        <w:rPr>
          <w:rFonts w:ascii="宋体" w:hAnsi="宋体" w:eastAsia="宋体" w:cs="宋体"/>
          <w:color w:val="auto"/>
          <w:sz w:val="25"/>
          <w:szCs w:val="25"/>
          <w:highlight w:val="none"/>
        </w:rPr>
      </w:pPr>
      <w:r>
        <w:rPr>
          <w:rFonts w:ascii="仿宋" w:hAnsi="仿宋" w:eastAsia="仿宋" w:cs="仿宋"/>
          <w:color w:val="auto"/>
          <w:spacing w:val="-31"/>
          <w:sz w:val="25"/>
          <w:szCs w:val="25"/>
          <w:highlight w:val="none"/>
        </w:rPr>
        <w:t>委托代表人：</w:t>
      </w:r>
      <w:r>
        <w:rPr>
          <w:rFonts w:hint="eastAsia" w:ascii="仿宋" w:hAnsi="仿宋" w:eastAsia="仿宋" w:cs="仿宋"/>
          <w:b/>
          <w:bCs/>
          <w:color w:val="auto"/>
          <w:spacing w:val="-1"/>
          <w:sz w:val="25"/>
          <w:szCs w:val="25"/>
          <w:highlight w:val="none"/>
          <w:u w:val="single" w:color="auto"/>
          <w:lang w:val="en-US" w:eastAsia="zh-CN"/>
        </w:rPr>
        <w:t xml:space="preserve">  *******  </w:t>
      </w:r>
      <w:r>
        <w:rPr>
          <w:rFonts w:ascii="仿宋" w:hAnsi="仿宋" w:eastAsia="仿宋" w:cs="仿宋"/>
          <w:color w:val="auto"/>
          <w:spacing w:val="-31"/>
          <w:sz w:val="25"/>
          <w:szCs w:val="25"/>
          <w:highlight w:val="none"/>
        </w:rPr>
        <w:t>( 电 话</w:t>
      </w:r>
      <w:r>
        <w:rPr>
          <w:rFonts w:ascii="仿宋" w:hAnsi="仿宋" w:eastAsia="仿宋" w:cs="仿宋"/>
          <w:color w:val="auto"/>
          <w:spacing w:val="-38"/>
          <w:sz w:val="25"/>
          <w:szCs w:val="25"/>
          <w:highlight w:val="none"/>
        </w:rPr>
        <w:t xml:space="preserve"> </w:t>
      </w:r>
      <w:r>
        <w:rPr>
          <w:rFonts w:ascii="仿宋" w:hAnsi="仿宋" w:eastAsia="仿宋" w:cs="仿宋"/>
          <w:color w:val="auto"/>
          <w:spacing w:val="-31"/>
          <w:sz w:val="25"/>
          <w:szCs w:val="25"/>
          <w:highlight w:val="none"/>
        </w:rPr>
        <w:t>：</w:t>
      </w:r>
      <w:r>
        <w:rPr>
          <w:rFonts w:hint="eastAsia" w:ascii="仿宋" w:hAnsi="仿宋" w:eastAsia="仿宋" w:cs="仿宋"/>
          <w:b/>
          <w:bCs/>
          <w:color w:val="auto"/>
          <w:spacing w:val="-1"/>
          <w:sz w:val="25"/>
          <w:szCs w:val="25"/>
          <w:highlight w:val="none"/>
          <w:u w:val="single" w:color="auto"/>
          <w:lang w:val="en-US" w:eastAsia="zh-CN"/>
        </w:rPr>
        <w:t>**********</w:t>
      </w:r>
      <w:r>
        <w:rPr>
          <w:rFonts w:hint="eastAsia" w:ascii="仿宋" w:hAnsi="仿宋" w:eastAsia="仿宋" w:cs="仿宋"/>
          <w:b w:val="0"/>
          <w:bCs w:val="0"/>
          <w:color w:val="auto"/>
          <w:spacing w:val="-2"/>
          <w:sz w:val="25"/>
          <w:szCs w:val="25"/>
          <w:highlight w:val="none"/>
          <w:u w:val="none" w:color="auto"/>
          <w:lang w:val="en-US" w:eastAsia="zh-CN"/>
        </w:rPr>
        <w:t xml:space="preserve"> </w:t>
      </w:r>
      <w:r>
        <w:rPr>
          <w:rFonts w:ascii="宋体" w:hAnsi="宋体" w:eastAsia="宋体" w:cs="宋体"/>
          <w:color w:val="auto"/>
          <w:spacing w:val="-31"/>
          <w:sz w:val="25"/>
          <w:szCs w:val="25"/>
          <w:highlight w:val="none"/>
        </w:rPr>
        <w:t>)</w:t>
      </w:r>
    </w:p>
    <w:p w14:paraId="3362C4BB">
      <w:pPr>
        <w:spacing w:before="164" w:line="222"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1"/>
          <w:sz w:val="25"/>
          <w:szCs w:val="25"/>
          <w:highlight w:val="none"/>
        </w:rPr>
        <w:t>注册地址：</w:t>
      </w:r>
      <w:r>
        <w:rPr>
          <w:rFonts w:ascii="仿宋" w:hAnsi="仿宋" w:eastAsia="仿宋" w:cs="仿宋"/>
          <w:color w:val="auto"/>
          <w:spacing w:val="-56"/>
          <w:sz w:val="25"/>
          <w:szCs w:val="25"/>
          <w:highlight w:val="none"/>
        </w:rPr>
        <w:t xml:space="preserve"> </w:t>
      </w:r>
      <w:r>
        <w:rPr>
          <w:rFonts w:hint="eastAsia" w:ascii="仿宋" w:hAnsi="仿宋" w:eastAsia="仿宋" w:cs="仿宋"/>
          <w:b/>
          <w:bCs/>
          <w:color w:val="auto"/>
          <w:spacing w:val="3"/>
          <w:sz w:val="25"/>
          <w:szCs w:val="25"/>
          <w:highlight w:val="none"/>
          <w:u w:val="single" w:color="auto"/>
          <w:lang w:val="en-US" w:eastAsia="zh-CN"/>
        </w:rPr>
        <w:t xml:space="preserve">********************** </w:t>
      </w:r>
    </w:p>
    <w:p w14:paraId="6FC912D2">
      <w:pPr>
        <w:spacing w:before="180" w:line="223"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2"/>
          <w:sz w:val="25"/>
          <w:szCs w:val="25"/>
          <w:highlight w:val="none"/>
        </w:rPr>
        <w:t>资质专业及等级：</w:t>
      </w:r>
      <w:r>
        <w:rPr>
          <w:rFonts w:hint="eastAsia" w:ascii="仿宋" w:hAnsi="仿宋" w:eastAsia="仿宋" w:cs="仿宋"/>
          <w:b/>
          <w:bCs/>
          <w:color w:val="auto"/>
          <w:spacing w:val="-2"/>
          <w:sz w:val="25"/>
          <w:szCs w:val="25"/>
          <w:highlight w:val="none"/>
          <w:u w:val="single" w:color="auto"/>
          <w:lang w:val="en-US" w:eastAsia="zh-CN"/>
        </w:rPr>
        <w:t xml:space="preserve">    施工劳务不分等级     </w:t>
      </w:r>
    </w:p>
    <w:p w14:paraId="7158BB75">
      <w:pPr>
        <w:spacing w:before="177" w:line="222"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2"/>
          <w:sz w:val="25"/>
          <w:szCs w:val="25"/>
          <w:highlight w:val="none"/>
        </w:rPr>
        <w:t>安全生产许可证号码：</w:t>
      </w:r>
      <w:r>
        <w:rPr>
          <w:rFonts w:ascii="仿宋" w:hAnsi="仿宋" w:eastAsia="仿宋" w:cs="仿宋"/>
          <w:color w:val="auto"/>
          <w:spacing w:val="88"/>
          <w:sz w:val="25"/>
          <w:szCs w:val="25"/>
          <w:highlight w:val="none"/>
        </w:rPr>
        <w:t xml:space="preserve"> </w:t>
      </w:r>
      <w:r>
        <w:rPr>
          <w:rFonts w:ascii="仿宋" w:hAnsi="仿宋" w:eastAsia="仿宋" w:cs="仿宋"/>
          <w:color w:val="auto"/>
          <w:spacing w:val="-73"/>
          <w:sz w:val="25"/>
          <w:szCs w:val="25"/>
          <w:highlight w:val="none"/>
          <w:u w:val="single" w:color="auto"/>
        </w:rPr>
        <w:t xml:space="preserve"> </w:t>
      </w:r>
      <w:r>
        <w:rPr>
          <w:rFonts w:hint="eastAsia" w:ascii="仿宋" w:hAnsi="仿宋" w:eastAsia="仿宋" w:cs="仿宋"/>
          <w:b/>
          <w:bCs/>
          <w:color w:val="auto"/>
          <w:spacing w:val="-2"/>
          <w:sz w:val="25"/>
          <w:szCs w:val="25"/>
          <w:highlight w:val="none"/>
          <w:u w:val="single" w:color="auto"/>
          <w:lang w:val="en-US" w:eastAsia="zh-CN"/>
        </w:rPr>
        <w:t xml:space="preserve"> **********************  </w:t>
      </w:r>
    </w:p>
    <w:p w14:paraId="4AFC61AF">
      <w:pPr>
        <w:spacing w:before="161" w:line="222" w:lineRule="auto"/>
        <w:ind w:left="74"/>
        <w:rPr>
          <w:rFonts w:hint="default" w:ascii="仿宋" w:hAnsi="仿宋" w:eastAsia="仿宋" w:cs="仿宋"/>
          <w:b/>
          <w:bCs/>
          <w:color w:val="auto"/>
          <w:spacing w:val="-10"/>
          <w:sz w:val="25"/>
          <w:szCs w:val="25"/>
          <w:highlight w:val="none"/>
          <w:u w:val="single" w:color="auto"/>
          <w:lang w:val="en-US" w:eastAsia="zh-CN"/>
        </w:rPr>
      </w:pPr>
      <w:r>
        <w:rPr>
          <w:rFonts w:ascii="仿宋" w:hAnsi="仿宋" w:eastAsia="仿宋" w:cs="仿宋"/>
          <w:color w:val="auto"/>
          <w:spacing w:val="-9"/>
          <w:sz w:val="25"/>
          <w:szCs w:val="25"/>
          <w:highlight w:val="none"/>
        </w:rPr>
        <w:t>纳税人识别号(统一社会信用代码</w:t>
      </w:r>
      <w:r>
        <w:rPr>
          <w:rFonts w:hint="eastAsia" w:ascii="仿宋" w:hAnsi="仿宋" w:eastAsia="仿宋" w:cs="仿宋"/>
          <w:color w:val="auto"/>
          <w:spacing w:val="-9"/>
          <w:sz w:val="25"/>
          <w:szCs w:val="25"/>
          <w:highlight w:val="none"/>
          <w:lang w:val="en-US" w:eastAsia="zh-CN"/>
        </w:rPr>
        <w:t>):</w:t>
      </w:r>
      <w:r>
        <w:rPr>
          <w:rFonts w:hint="eastAsia" w:ascii="仿宋" w:hAnsi="仿宋" w:eastAsia="仿宋" w:cs="仿宋"/>
          <w:b/>
          <w:bCs/>
          <w:color w:val="auto"/>
          <w:spacing w:val="-10"/>
          <w:sz w:val="25"/>
          <w:szCs w:val="25"/>
          <w:highlight w:val="none"/>
          <w:u w:val="single" w:color="auto"/>
          <w:lang w:val="en-US" w:eastAsia="zh-CN"/>
        </w:rPr>
        <w:t xml:space="preserve"> *************   </w:t>
      </w:r>
    </w:p>
    <w:p w14:paraId="55705FD0">
      <w:pPr>
        <w:spacing w:before="167" w:line="221" w:lineRule="auto"/>
        <w:ind w:left="74"/>
        <w:rPr>
          <w:rFonts w:hint="default" w:ascii="仿宋" w:hAnsi="仿宋" w:eastAsia="仿宋" w:cs="仿宋"/>
          <w:b/>
          <w:bCs/>
          <w:color w:val="auto"/>
          <w:spacing w:val="-10"/>
          <w:sz w:val="25"/>
          <w:szCs w:val="25"/>
          <w:highlight w:val="none"/>
          <w:u w:val="single" w:color="auto"/>
          <w:lang w:val="en-US" w:eastAsia="zh-CN"/>
        </w:rPr>
      </w:pPr>
      <w:r>
        <w:rPr>
          <w:rFonts w:ascii="仿宋" w:hAnsi="仿宋" w:eastAsia="仿宋" w:cs="仿宋"/>
          <w:color w:val="auto"/>
          <w:spacing w:val="-6"/>
          <w:sz w:val="25"/>
          <w:szCs w:val="25"/>
          <w:highlight w:val="none"/>
        </w:rPr>
        <w:t>开户银行名称</w:t>
      </w:r>
      <w:r>
        <w:rPr>
          <w:rFonts w:hint="eastAsia" w:ascii="仿宋" w:hAnsi="仿宋" w:eastAsia="仿宋" w:cs="仿宋"/>
          <w:color w:val="auto"/>
          <w:spacing w:val="-6"/>
          <w:sz w:val="25"/>
          <w:szCs w:val="25"/>
          <w:highlight w:val="none"/>
          <w:lang w:val="en-US" w:eastAsia="zh-CN"/>
        </w:rPr>
        <w:t>：</w:t>
      </w:r>
      <w:r>
        <w:rPr>
          <w:rFonts w:hint="eastAsia" w:ascii="仿宋" w:hAnsi="仿宋" w:eastAsia="仿宋" w:cs="仿宋"/>
          <w:b/>
          <w:bCs/>
          <w:color w:val="auto"/>
          <w:spacing w:val="-10"/>
          <w:sz w:val="25"/>
          <w:szCs w:val="25"/>
          <w:highlight w:val="none"/>
          <w:u w:val="single" w:color="auto"/>
          <w:lang w:val="en-US" w:eastAsia="zh-CN"/>
        </w:rPr>
        <w:t xml:space="preserve">  ******************* </w:t>
      </w:r>
    </w:p>
    <w:p w14:paraId="293CBA93">
      <w:pPr>
        <w:spacing w:before="167" w:line="221" w:lineRule="auto"/>
        <w:ind w:left="74"/>
        <w:rPr>
          <w:rFonts w:hint="default" w:ascii="仿宋" w:hAnsi="仿宋" w:eastAsia="仿宋" w:cs="仿宋"/>
          <w:color w:val="auto"/>
          <w:sz w:val="25"/>
          <w:szCs w:val="25"/>
          <w:highlight w:val="none"/>
          <w:lang w:val="en-US" w:eastAsia="zh-CN"/>
        </w:rPr>
      </w:pPr>
      <w:r>
        <w:rPr>
          <w:rFonts w:hint="eastAsia" w:ascii="仿宋" w:hAnsi="仿宋" w:eastAsia="仿宋" w:cs="仿宋"/>
          <w:color w:val="auto"/>
          <w:spacing w:val="-6"/>
          <w:sz w:val="25"/>
          <w:szCs w:val="25"/>
          <w:highlight w:val="none"/>
          <w:lang w:val="en-US" w:eastAsia="zh-CN"/>
        </w:rPr>
        <w:t>开户银行账号：</w:t>
      </w:r>
      <w:r>
        <w:rPr>
          <w:rFonts w:hint="eastAsia" w:ascii="仿宋" w:hAnsi="仿宋" w:eastAsia="仿宋" w:cs="仿宋"/>
          <w:b/>
          <w:bCs/>
          <w:color w:val="auto"/>
          <w:spacing w:val="-10"/>
          <w:sz w:val="25"/>
          <w:szCs w:val="25"/>
          <w:highlight w:val="none"/>
          <w:u w:val="single" w:color="auto"/>
          <w:lang w:val="en-US" w:eastAsia="zh-CN"/>
        </w:rPr>
        <w:t xml:space="preserve">   ********************     </w:t>
      </w:r>
    </w:p>
    <w:p w14:paraId="2FD357C2">
      <w:pPr>
        <w:spacing w:before="154" w:line="220" w:lineRule="auto"/>
        <w:ind w:left="74"/>
        <w:rPr>
          <w:rFonts w:ascii="仿宋" w:hAnsi="仿宋" w:eastAsia="仿宋" w:cs="仿宋"/>
          <w:color w:val="auto"/>
          <w:sz w:val="25"/>
          <w:szCs w:val="25"/>
          <w:highlight w:val="none"/>
        </w:rPr>
      </w:pPr>
      <w:r>
        <w:rPr>
          <w:rFonts w:ascii="仿宋" w:hAnsi="仿宋" w:eastAsia="仿宋" w:cs="仿宋"/>
          <w:color w:val="auto"/>
          <w:spacing w:val="12"/>
          <w:sz w:val="25"/>
          <w:szCs w:val="25"/>
          <w:highlight w:val="none"/>
        </w:rPr>
        <w:t>纳税人类型：</w:t>
      </w:r>
      <w:r>
        <w:rPr>
          <w:rFonts w:hint="eastAsia" w:ascii="仿宋" w:hAnsi="仿宋" w:eastAsia="仿宋" w:cs="仿宋"/>
          <w:color w:val="auto"/>
          <w:spacing w:val="12"/>
          <w:sz w:val="25"/>
          <w:szCs w:val="25"/>
          <w:highlight w:val="none"/>
          <w:lang w:eastAsia="zh-CN"/>
        </w:rPr>
        <w:t>☑</w:t>
      </w:r>
      <w:r>
        <w:rPr>
          <w:rFonts w:ascii="仿宋" w:hAnsi="仿宋" w:eastAsia="仿宋" w:cs="仿宋"/>
          <w:color w:val="auto"/>
          <w:spacing w:val="12"/>
          <w:sz w:val="25"/>
          <w:szCs w:val="25"/>
          <w:highlight w:val="none"/>
        </w:rPr>
        <w:t>一般纳税人□小规模纳税人□其他：(请详细说明)</w:t>
      </w:r>
    </w:p>
    <w:p w14:paraId="27CE9116">
      <w:pPr>
        <w:spacing w:before="181" w:line="222" w:lineRule="auto"/>
        <w:ind w:left="74"/>
        <w:rPr>
          <w:rFonts w:ascii="仿宋" w:hAnsi="仿宋" w:eastAsia="仿宋" w:cs="仿宋"/>
          <w:color w:val="auto"/>
          <w:sz w:val="25"/>
          <w:szCs w:val="25"/>
          <w:highlight w:val="none"/>
        </w:rPr>
      </w:pPr>
      <w:r>
        <w:rPr>
          <w:rFonts w:ascii="仿宋" w:hAnsi="仿宋" w:eastAsia="仿宋" w:cs="仿宋"/>
          <w:color w:val="auto"/>
          <w:spacing w:val="-5"/>
          <w:sz w:val="25"/>
          <w:szCs w:val="25"/>
          <w:highlight w:val="none"/>
        </w:rPr>
        <w:t>增值税发票类型：</w:t>
      </w:r>
      <w:r>
        <w:rPr>
          <w:rFonts w:ascii="MS Gothic" w:hAnsi="MS Gothic" w:eastAsia="MS Gothic" w:cs="MS Gothic"/>
          <w:color w:val="auto"/>
          <w:spacing w:val="-5"/>
          <w:sz w:val="25"/>
          <w:szCs w:val="25"/>
          <w:highlight w:val="none"/>
        </w:rPr>
        <w:t>☑</w:t>
      </w:r>
      <w:r>
        <w:rPr>
          <w:rFonts w:ascii="MS Gothic" w:hAnsi="MS Gothic" w:eastAsia="MS Gothic" w:cs="MS Gothic"/>
          <w:color w:val="auto"/>
          <w:spacing w:val="-28"/>
          <w:sz w:val="25"/>
          <w:szCs w:val="25"/>
          <w:highlight w:val="none"/>
        </w:rPr>
        <w:t xml:space="preserve"> </w:t>
      </w:r>
      <w:r>
        <w:rPr>
          <w:rFonts w:ascii="仿宋" w:hAnsi="仿宋" w:eastAsia="仿宋" w:cs="仿宋"/>
          <w:b/>
          <w:bCs/>
          <w:color w:val="auto"/>
          <w:spacing w:val="-5"/>
          <w:sz w:val="25"/>
          <w:szCs w:val="25"/>
          <w:highlight w:val="none"/>
        </w:rPr>
        <w:t>增值税专用发票</w:t>
      </w:r>
      <w:r>
        <w:rPr>
          <w:rFonts w:hint="eastAsia" w:ascii="仿宋" w:hAnsi="仿宋" w:eastAsia="仿宋" w:cs="仿宋"/>
          <w:b/>
          <w:bCs/>
          <w:color w:val="auto"/>
          <w:spacing w:val="-5"/>
          <w:sz w:val="25"/>
          <w:szCs w:val="25"/>
          <w:highlight w:val="none"/>
          <w:lang w:val="en-US" w:eastAsia="zh-CN"/>
        </w:rPr>
        <w:t xml:space="preserve">     </w:t>
      </w:r>
      <w:r>
        <w:rPr>
          <w:rFonts w:ascii="仿宋" w:hAnsi="仿宋" w:eastAsia="仿宋" w:cs="仿宋"/>
          <w:b/>
          <w:bCs/>
          <w:color w:val="auto"/>
          <w:spacing w:val="-5"/>
          <w:sz w:val="25"/>
          <w:szCs w:val="25"/>
          <w:highlight w:val="none"/>
        </w:rPr>
        <w:t>□增值税普通发票</w:t>
      </w:r>
    </w:p>
    <w:p w14:paraId="146C0020">
      <w:pPr>
        <w:spacing w:line="222" w:lineRule="auto"/>
        <w:rPr>
          <w:rFonts w:ascii="仿宋" w:hAnsi="仿宋" w:eastAsia="仿宋" w:cs="仿宋"/>
          <w:color w:val="auto"/>
          <w:sz w:val="25"/>
          <w:szCs w:val="25"/>
          <w:highlight w:val="none"/>
        </w:rPr>
        <w:sectPr>
          <w:footerReference r:id="rId6" w:type="default"/>
          <w:pgSz w:w="11900" w:h="16830"/>
          <w:pgMar w:top="1430" w:right="1785" w:bottom="1275" w:left="1785" w:header="0" w:footer="397" w:gutter="0"/>
          <w:pgNumType w:fmt="decimal" w:start="1"/>
          <w:cols w:space="720" w:num="1"/>
        </w:sectPr>
      </w:pPr>
    </w:p>
    <w:p w14:paraId="48DB363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rPr>
      </w:pPr>
      <w:bookmarkStart w:id="3" w:name="bookmark26"/>
      <w:bookmarkEnd w:id="3"/>
      <w:r>
        <w:rPr>
          <w:rFonts w:hint="eastAsia" w:ascii="仿宋" w:hAnsi="仿宋" w:eastAsia="仿宋" w:cs="仿宋"/>
          <w:color w:val="auto"/>
          <w:sz w:val="25"/>
          <w:szCs w:val="25"/>
          <w:highlight w:val="none"/>
        </w:rPr>
        <w:t>依照《中华人民共和国民法典》及其它有关法律、法规的规定，为确保工程优质、按期完工，甲乙双方本着诚实信用原则，经自愿、平等协商就</w:t>
      </w:r>
      <w:r>
        <w:rPr>
          <w:rFonts w:hint="eastAsia" w:ascii="仿宋" w:hAnsi="仿宋" w:eastAsia="仿宋" w:cs="仿宋"/>
          <w:color w:val="auto"/>
          <w:sz w:val="25"/>
          <w:szCs w:val="25"/>
          <w:highlight w:val="none"/>
          <w:lang w:eastAsia="zh-CN"/>
        </w:rPr>
        <w:t>会理市“天府森林四库”产业融合发展示范项目（一期）一标段房建主体劳务</w:t>
      </w:r>
      <w:r>
        <w:rPr>
          <w:rFonts w:hint="eastAsia" w:ascii="仿宋" w:hAnsi="仿宋" w:eastAsia="仿宋" w:cs="仿宋"/>
          <w:color w:val="auto"/>
          <w:sz w:val="25"/>
          <w:szCs w:val="25"/>
          <w:highlight w:val="none"/>
        </w:rPr>
        <w:t>分包事项达成一致，且乙方已充分注意、理解本合同各项条款的约定，并自愿履行由此产生的全部义务，特订立本合同，以兹共同遵守。</w:t>
      </w:r>
    </w:p>
    <w:p w14:paraId="6BEB7F1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rPr>
      </w:pPr>
      <w:bookmarkStart w:id="4" w:name="_Toc16608"/>
      <w:r>
        <w:rPr>
          <w:rFonts w:hint="eastAsia" w:ascii="仿宋" w:hAnsi="仿宋" w:eastAsia="仿宋" w:cs="仿宋"/>
          <w:b/>
          <w:bCs/>
          <w:color w:val="auto"/>
          <w:sz w:val="25"/>
          <w:szCs w:val="25"/>
          <w:highlight w:val="none"/>
        </w:rPr>
        <w:t>一、项目概况</w:t>
      </w:r>
      <w:bookmarkEnd w:id="4"/>
    </w:p>
    <w:p w14:paraId="6F49B7D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b/>
          <w:bCs/>
          <w:color w:val="auto"/>
          <w:sz w:val="25"/>
          <w:szCs w:val="25"/>
          <w:highlight w:val="none"/>
          <w:u w:val="single"/>
        </w:rPr>
      </w:pPr>
      <w:r>
        <w:rPr>
          <w:rFonts w:hint="eastAsia" w:ascii="仿宋" w:hAnsi="仿宋" w:eastAsia="仿宋" w:cs="仿宋"/>
          <w:color w:val="auto"/>
          <w:sz w:val="25"/>
          <w:szCs w:val="25"/>
          <w:highlight w:val="none"/>
        </w:rPr>
        <w:t>1、项目名称：</w:t>
      </w:r>
      <w:r>
        <w:rPr>
          <w:rFonts w:hint="eastAsia" w:ascii="仿宋" w:hAnsi="仿宋" w:eastAsia="仿宋" w:cs="仿宋"/>
          <w:b/>
          <w:bCs/>
          <w:color w:val="auto"/>
          <w:sz w:val="25"/>
          <w:szCs w:val="25"/>
          <w:highlight w:val="none"/>
          <w:u w:val="single"/>
          <w:lang w:eastAsia="zh-CN"/>
        </w:rPr>
        <w:t>会理市“天府森林四库”产业融合发展示范项目（一期）一标段房建主体劳务</w:t>
      </w:r>
      <w:r>
        <w:rPr>
          <w:rFonts w:hint="eastAsia" w:ascii="仿宋" w:hAnsi="仿宋" w:eastAsia="仿宋" w:cs="仿宋"/>
          <w:b/>
          <w:bCs/>
          <w:color w:val="auto"/>
          <w:sz w:val="25"/>
          <w:szCs w:val="25"/>
          <w:highlight w:val="none"/>
          <w:u w:val="single"/>
        </w:rPr>
        <w:t>分包合同</w:t>
      </w:r>
    </w:p>
    <w:p w14:paraId="3EE4F2A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rPr>
        <w:t>2、项目地点：</w:t>
      </w:r>
      <w:r>
        <w:rPr>
          <w:rFonts w:hint="eastAsia" w:ascii="仿宋" w:hAnsi="仿宋" w:eastAsia="仿宋" w:cs="仿宋"/>
          <w:color w:val="auto"/>
          <w:sz w:val="25"/>
          <w:szCs w:val="25"/>
          <w:highlight w:val="none"/>
          <w:u w:val="single"/>
        </w:rPr>
        <w:t>会理市</w:t>
      </w:r>
    </w:p>
    <w:p w14:paraId="4D5B82C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u w:val="single"/>
        </w:rPr>
      </w:pPr>
      <w:r>
        <w:rPr>
          <w:rFonts w:hint="eastAsia" w:ascii="仿宋" w:hAnsi="仿宋" w:eastAsia="仿宋" w:cs="仿宋"/>
          <w:color w:val="auto"/>
          <w:sz w:val="25"/>
          <w:szCs w:val="25"/>
          <w:highlight w:val="none"/>
        </w:rPr>
        <w:t>3、本项目采用</w:t>
      </w:r>
      <w:r>
        <w:rPr>
          <w:rFonts w:hint="eastAsia" w:ascii="仿宋" w:hAnsi="仿宋" w:eastAsia="仿宋" w:cs="仿宋"/>
          <w:color w:val="auto"/>
          <w:sz w:val="25"/>
          <w:szCs w:val="25"/>
          <w:highlight w:val="none"/>
          <w:lang w:eastAsia="zh-CN"/>
        </w:rPr>
        <w:t>：</w:t>
      </w:r>
      <w:r>
        <w:rPr>
          <w:rFonts w:hint="eastAsia" w:ascii="仿宋" w:hAnsi="仿宋" w:eastAsia="仿宋" w:cs="仿宋"/>
          <w:color w:val="auto"/>
          <w:sz w:val="25"/>
          <w:szCs w:val="25"/>
          <w:highlight w:val="none"/>
          <w:u w:val="single"/>
          <w:lang w:val="en-US" w:eastAsia="zh-CN"/>
        </w:rPr>
        <w:t>简易计税</w:t>
      </w:r>
      <w:r>
        <w:rPr>
          <w:rFonts w:hint="eastAsia" w:ascii="仿宋" w:hAnsi="仿宋" w:eastAsia="仿宋" w:cs="仿宋"/>
          <w:color w:val="auto"/>
          <w:sz w:val="25"/>
          <w:szCs w:val="25"/>
          <w:highlight w:val="none"/>
          <w:u w:val="none"/>
        </w:rPr>
        <w:t>方法计算增值税，税率为</w:t>
      </w:r>
      <w:r>
        <w:rPr>
          <w:rFonts w:hint="eastAsia" w:ascii="仿宋" w:hAnsi="仿宋" w:eastAsia="仿宋" w:cs="仿宋"/>
          <w:color w:val="auto"/>
          <w:sz w:val="25"/>
          <w:szCs w:val="25"/>
          <w:highlight w:val="none"/>
          <w:u w:val="single"/>
          <w:lang w:val="en-US" w:eastAsia="zh-CN"/>
        </w:rPr>
        <w:t>3%</w:t>
      </w:r>
    </w:p>
    <w:p w14:paraId="1D3E8EA3">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rPr>
      </w:pPr>
      <w:bookmarkStart w:id="5" w:name="_Toc9362"/>
      <w:r>
        <w:rPr>
          <w:rFonts w:hint="eastAsia" w:ascii="仿宋" w:hAnsi="仿宋" w:eastAsia="仿宋" w:cs="仿宋"/>
          <w:b/>
          <w:bCs/>
          <w:color w:val="auto"/>
          <w:sz w:val="25"/>
          <w:szCs w:val="25"/>
          <w:highlight w:val="none"/>
        </w:rPr>
        <w:t>二、合同范围</w:t>
      </w:r>
      <w:bookmarkEnd w:id="5"/>
    </w:p>
    <w:p w14:paraId="077AF4F1">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eastAsia="zh-CN"/>
        </w:rPr>
      </w:pPr>
      <w:r>
        <w:rPr>
          <w:rFonts w:hint="eastAsia" w:ascii="仿宋" w:hAnsi="仿宋" w:eastAsia="仿宋" w:cs="仿宋"/>
          <w:b/>
          <w:bCs/>
          <w:color w:val="auto"/>
          <w:sz w:val="25"/>
          <w:szCs w:val="25"/>
          <w:highlight w:val="none"/>
        </w:rPr>
        <w:t>1、主要合同</w:t>
      </w:r>
      <w:r>
        <w:rPr>
          <w:rFonts w:hint="eastAsia" w:ascii="仿宋" w:hAnsi="仿宋" w:eastAsia="仿宋" w:cs="仿宋"/>
          <w:b/>
          <w:bCs/>
          <w:color w:val="auto"/>
          <w:sz w:val="25"/>
          <w:szCs w:val="25"/>
          <w:highlight w:val="none"/>
          <w:lang w:val="en-US" w:eastAsia="zh-CN"/>
        </w:rPr>
        <w:t>范围</w:t>
      </w:r>
    </w:p>
    <w:p w14:paraId="2873AC3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rPr>
      </w:pPr>
      <w:r>
        <w:rPr>
          <w:rFonts w:hint="eastAsia" w:ascii="仿宋" w:hAnsi="仿宋" w:eastAsia="仿宋" w:cs="仿宋"/>
          <w:b/>
          <w:bCs/>
          <w:color w:val="auto"/>
          <w:sz w:val="25"/>
          <w:szCs w:val="25"/>
          <w:highlight w:val="none"/>
        </w:rPr>
        <w:t>本工程图纸范围内包括但不限于：</w:t>
      </w:r>
    </w:p>
    <w:p w14:paraId="60CDC76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default"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1.1土建部分</w:t>
      </w:r>
    </w:p>
    <w:p w14:paraId="36F951B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基础工程：包含挖基坑土方（包含挖、装、运、弃）、回填方（包含装、运、填、压）、基坑捡底、平整（包含基坑捡底人工及机械）、从土方开挖至回填结算基坑降排水、换填、垫层（包含支模、砼浇筑与养护）、塔吊基础施工、止水钢板安装、砖胎膜</w:t>
      </w:r>
      <w:r>
        <w:rPr>
          <w:rFonts w:hint="eastAsia" w:ascii="仿宋" w:hAnsi="仿宋" w:eastAsia="仿宋" w:cs="仿宋"/>
          <w:color w:val="FF0000"/>
          <w:sz w:val="25"/>
          <w:szCs w:val="25"/>
          <w:highlight w:val="none"/>
          <w:lang w:val="en-US" w:eastAsia="zh-CN"/>
        </w:rPr>
        <w:t>及抹灰</w:t>
      </w:r>
      <w:r>
        <w:rPr>
          <w:rFonts w:hint="eastAsia" w:ascii="仿宋" w:hAnsi="仿宋" w:eastAsia="仿宋" w:cs="仿宋"/>
          <w:color w:val="auto"/>
          <w:sz w:val="25"/>
          <w:szCs w:val="25"/>
          <w:highlight w:val="none"/>
          <w:lang w:val="en-US" w:eastAsia="zh-CN"/>
        </w:rPr>
        <w:t>、设备基础（结构钢筋、混凝土及模板、不包括专业预埋等）、钢筋（含辅助钢筋、措施钢筋）的制作及安装、钢筋焊接与机械连接;钢筋保护层、剪力墙内支撑垫块的购买及安装、成品保护及清理、模板的制作与安装、接缝处理、涂刷脱模剂、模板拆除、</w:t>
      </w:r>
      <w:r>
        <w:rPr>
          <w:rFonts w:hint="eastAsia" w:ascii="仿宋" w:hAnsi="仿宋" w:eastAsia="仿宋" w:cs="仿宋"/>
          <w:color w:val="FF0000"/>
          <w:sz w:val="25"/>
          <w:szCs w:val="25"/>
          <w:highlight w:val="none"/>
          <w:lang w:val="en-US" w:eastAsia="zh-CN"/>
        </w:rPr>
        <w:t>后浇带留设（钢丝网购买、安设、剔打及建渣清理）、后浇带施工缝留设与剔打及建渣清理、</w:t>
      </w:r>
      <w:r>
        <w:rPr>
          <w:rFonts w:hint="eastAsia" w:ascii="仿宋" w:hAnsi="仿宋" w:eastAsia="仿宋" w:cs="仿宋"/>
          <w:color w:val="auto"/>
          <w:sz w:val="25"/>
          <w:szCs w:val="25"/>
          <w:highlight w:val="none"/>
          <w:lang w:val="en-US" w:eastAsia="zh-CN"/>
        </w:rPr>
        <w:t>砼浇筑与覆盖养护、泵管安装、拆卸、清洗、</w:t>
      </w:r>
      <w:r>
        <w:rPr>
          <w:rFonts w:hint="eastAsia" w:ascii="仿宋" w:hAnsi="仿宋" w:eastAsia="仿宋" w:cs="仿宋"/>
          <w:color w:val="FF0000"/>
          <w:sz w:val="25"/>
          <w:szCs w:val="25"/>
          <w:highlight w:val="none"/>
          <w:lang w:val="en-US" w:eastAsia="zh-CN"/>
        </w:rPr>
        <w:t>钢筋与混凝土试件制作与管理</w:t>
      </w:r>
      <w:r>
        <w:rPr>
          <w:rFonts w:hint="eastAsia" w:ascii="仿宋" w:hAnsi="仿宋" w:eastAsia="仿宋" w:cs="仿宋"/>
          <w:color w:val="auto"/>
          <w:sz w:val="25"/>
          <w:szCs w:val="25"/>
          <w:highlight w:val="none"/>
          <w:lang w:val="en-US" w:eastAsia="zh-CN"/>
        </w:rPr>
        <w:t>、砖砌体等所有分部分项工作内容。</w:t>
      </w:r>
    </w:p>
    <w:p w14:paraId="36DE817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主体工程（地上和地下）：钢筋（含辅助钢筋、措施钢筋）的制作及安装、钢筋焊接与机械连接;钢筋保护层、剪力墙内支撑垫块采购安装、成品保护及清理、模板的制作与安装、接缝处理、涂刷脱模剂、模板拆除、</w:t>
      </w:r>
      <w:r>
        <w:rPr>
          <w:rFonts w:hint="eastAsia" w:ascii="仿宋" w:hAnsi="仿宋" w:eastAsia="仿宋" w:cs="仿宋"/>
          <w:color w:val="FF0000"/>
          <w:sz w:val="25"/>
          <w:szCs w:val="25"/>
          <w:highlight w:val="none"/>
          <w:lang w:val="en-US" w:eastAsia="zh-CN"/>
        </w:rPr>
        <w:t>后浇带和施工缝留设（钢丝网采购、安装、剔打及建渣清理）、高低标号混凝土隔断措施、</w:t>
      </w:r>
      <w:r>
        <w:rPr>
          <w:rFonts w:hint="eastAsia" w:ascii="仿宋" w:hAnsi="仿宋" w:eastAsia="仿宋" w:cs="仿宋"/>
          <w:color w:val="auto"/>
          <w:sz w:val="25"/>
          <w:szCs w:val="25"/>
          <w:highlight w:val="none"/>
          <w:lang w:val="en-US" w:eastAsia="zh-CN"/>
        </w:rPr>
        <w:t>砼浇筑与覆盖养护、泵管安装、拆卸、清洗、</w:t>
      </w:r>
      <w:r>
        <w:rPr>
          <w:rFonts w:hint="eastAsia" w:ascii="仿宋" w:hAnsi="仿宋" w:eastAsia="仿宋" w:cs="仿宋"/>
          <w:color w:val="FF0000"/>
          <w:sz w:val="25"/>
          <w:szCs w:val="25"/>
          <w:highlight w:val="none"/>
          <w:lang w:val="en-US" w:eastAsia="zh-CN"/>
        </w:rPr>
        <w:t>钢筋与混凝土试件制作</w:t>
      </w:r>
      <w:r>
        <w:rPr>
          <w:rFonts w:hint="eastAsia" w:eastAsia="宋体"/>
          <w:lang w:val="en-US" w:eastAsia="zh-CN"/>
        </w:rPr>
        <w:t>与管理</w:t>
      </w:r>
      <w:r>
        <w:rPr>
          <w:rFonts w:hint="eastAsia" w:ascii="仿宋" w:hAnsi="仿宋" w:eastAsia="仿宋" w:cs="仿宋"/>
          <w:color w:val="FF0000"/>
          <w:sz w:val="25"/>
          <w:szCs w:val="25"/>
          <w:highlight w:val="none"/>
          <w:lang w:val="en-US" w:eastAsia="zh-CN"/>
        </w:rPr>
        <w:t>、水电预留的孔洞封堵及防水施工</w:t>
      </w:r>
      <w:r>
        <w:rPr>
          <w:rFonts w:hint="eastAsia" w:ascii="仿宋" w:hAnsi="仿宋" w:eastAsia="仿宋" w:cs="仿宋"/>
          <w:color w:val="auto"/>
          <w:sz w:val="25"/>
          <w:szCs w:val="25"/>
          <w:highlight w:val="none"/>
          <w:lang w:val="en-US" w:eastAsia="zh-CN"/>
        </w:rPr>
        <w:t>模板拆除、砖砌体及所有收边收口等所有分部分项工作内容。</w:t>
      </w:r>
    </w:p>
    <w:p w14:paraId="4328BF9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（3）屋面工程：屋面找坡、找平、防水保护、保温板的安装、钢筋制作与安装、砼浇筑与覆盖养护、收缩缝的处理等设计图纸所示的分部分项工作内容（收缩缝油膏由乙方购买）</w:t>
      </w:r>
      <w:r>
        <w:rPr>
          <w:rFonts w:hint="eastAsia" w:ascii="仿宋" w:hAnsi="仿宋" w:eastAsia="仿宋" w:cs="仿宋"/>
          <w:color w:val="FF0000"/>
          <w:sz w:val="25"/>
          <w:szCs w:val="25"/>
          <w:highlight w:val="none"/>
          <w:lang w:val="en-US" w:eastAsia="zh-CN"/>
        </w:rPr>
        <w:t>水电预留的孔洞封堵及防水施工</w:t>
      </w:r>
      <w:r>
        <w:rPr>
          <w:rFonts w:hint="eastAsia" w:ascii="仿宋" w:hAnsi="仿宋" w:eastAsia="仿宋" w:cs="仿宋"/>
          <w:color w:val="auto"/>
          <w:sz w:val="25"/>
          <w:szCs w:val="25"/>
          <w:highlight w:val="none"/>
          <w:lang w:val="en-US" w:eastAsia="zh-CN"/>
        </w:rPr>
        <w:t>。</w:t>
      </w:r>
    </w:p>
    <w:p w14:paraId="061AF6E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抹灰工程：地上室内外、阳台、走廊、女儿墙、屋面凸出结构墙面抹灰；地下室墙柱（含车道墙面）、设备间墙面抹灰；地下地上楼梯间墙面、顶棚抹灰；地下地上电梯井、水电井墙面抹灰等（所有抹灰砂浆自拌、</w:t>
      </w:r>
      <w:r>
        <w:rPr>
          <w:rFonts w:hint="eastAsia" w:ascii="仿宋" w:hAnsi="仿宋" w:eastAsia="仿宋" w:cs="仿宋"/>
          <w:color w:val="FF0000"/>
          <w:sz w:val="25"/>
          <w:szCs w:val="25"/>
          <w:highlight w:val="none"/>
          <w:lang w:val="en-US" w:eastAsia="zh-CN"/>
        </w:rPr>
        <w:t>所有辅材采购、抹灰设备提供、砂浆自拌防护棚材料及搭设</w:t>
      </w:r>
      <w:r>
        <w:rPr>
          <w:rFonts w:hint="eastAsia" w:ascii="仿宋" w:hAnsi="仿宋" w:eastAsia="仿宋" w:cs="仿宋"/>
          <w:color w:val="auto"/>
          <w:sz w:val="25"/>
          <w:szCs w:val="25"/>
          <w:highlight w:val="none"/>
          <w:lang w:val="en-US" w:eastAsia="zh-CN"/>
        </w:rPr>
        <w:t>）。</w:t>
      </w:r>
    </w:p>
    <w:p w14:paraId="2DB5FC9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（5）地下室工程：地下室回填土捡平；地下室底板、地坪、车道路面钢筋砼浇筑。</w:t>
      </w:r>
      <w:r>
        <w:rPr>
          <w:rFonts w:hint="eastAsia" w:ascii="仿宋" w:hAnsi="仿宋" w:eastAsia="仿宋" w:cs="仿宋"/>
          <w:color w:val="FF0000"/>
          <w:sz w:val="25"/>
          <w:szCs w:val="25"/>
          <w:highlight w:val="none"/>
          <w:lang w:val="en-US" w:eastAsia="zh-CN"/>
        </w:rPr>
        <w:t>后浇带和施工缝留设（钢丝网采购、安装、剔打及建渣清理）、竖向后浇带挡土隔离板、水电预留的套管封堵及防水施工。</w:t>
      </w:r>
    </w:p>
    <w:p w14:paraId="482FFC0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（6）脚手架工程：所有脚手架所需的材料；综合支模架的搭拆、外墙脚手架的搭拆、外架安全防护、各种工棚的搭拆、安全平台、安全通道、临边防护、洞口防护、卸料平台的搭拆、日常维护等。</w:t>
      </w:r>
    </w:p>
    <w:p w14:paraId="696993B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（7）二次结构：模板制作与安拆、预制构件的制作与安装、钢筋制作与安装、植筋（不包含抗拉拔检测费）、砌体砌筑（砂浆自拌）、砼浇筑与养护等工作内容。</w:t>
      </w:r>
    </w:p>
    <w:p w14:paraId="310DDAC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（8）临水临电工程</w:t>
      </w:r>
    </w:p>
    <w:p w14:paraId="577BBE2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临水工程：由甲方按临水方案提供</w:t>
      </w:r>
      <w:r>
        <w:rPr>
          <w:rFonts w:hint="eastAsia" w:ascii="仿宋" w:hAnsi="仿宋" w:eastAsia="仿宋" w:cs="仿宋"/>
          <w:color w:val="FF0000"/>
          <w:sz w:val="25"/>
          <w:szCs w:val="25"/>
          <w:highlight w:val="yellow"/>
          <w:lang w:val="en-US" w:eastAsia="zh-CN"/>
        </w:rPr>
        <w:t>总坪</w:t>
      </w:r>
      <w:r>
        <w:rPr>
          <w:rFonts w:hint="eastAsia" w:ascii="仿宋" w:hAnsi="仿宋" w:eastAsia="仿宋" w:cs="仿宋"/>
          <w:color w:val="auto"/>
          <w:sz w:val="25"/>
          <w:szCs w:val="25"/>
          <w:highlight w:val="yellow"/>
          <w:lang w:val="en-US" w:eastAsia="zh-CN"/>
        </w:rPr>
        <w:t>环网临水接入点，乙方负责完成从临水接入点往下至各个工作面的管路接入及养护工作（含材料），施工用水费用由甲方承担。</w:t>
      </w:r>
    </w:p>
    <w:p w14:paraId="309460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临电工程：由甲方按临电施工方案实施至</w:t>
      </w:r>
      <w:r>
        <w:rPr>
          <w:rFonts w:hint="eastAsia" w:ascii="仿宋" w:hAnsi="仿宋" w:eastAsia="仿宋" w:cs="仿宋"/>
          <w:color w:val="FF0000"/>
          <w:sz w:val="25"/>
          <w:szCs w:val="25"/>
          <w:highlight w:val="yellow"/>
          <w:lang w:val="en-US" w:eastAsia="zh-CN"/>
        </w:rPr>
        <w:t>总坪</w:t>
      </w:r>
      <w:r>
        <w:rPr>
          <w:rFonts w:hint="eastAsia" w:ascii="仿宋" w:hAnsi="仿宋" w:eastAsia="仿宋" w:cs="仿宋"/>
          <w:color w:val="auto"/>
          <w:sz w:val="25"/>
          <w:szCs w:val="25"/>
          <w:highlight w:val="yellow"/>
          <w:lang w:val="en-US" w:eastAsia="zh-CN"/>
        </w:rPr>
        <w:t>二级配电箱，二级配电箱外的三级配电箱以及所有电源箱、电源线、灯具、开关、插座、设备、机械（不包含塔吊）由乙方提供，乙方应配备专业电工进行现场用电维护，电工应满足持证上岗要求，施工用电费用由甲方承担。</w:t>
      </w:r>
    </w:p>
    <w:p w14:paraId="63D2CEA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（9）成品保护：成品保护除对乙方自身完成的产品保护外，还应对其他工种、交叉作业队伍产品的保护。</w:t>
      </w:r>
    </w:p>
    <w:p w14:paraId="6BC2D64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（10）来料卸车</w:t>
      </w:r>
    </w:p>
    <w:p w14:paraId="7ED1088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甲方提供的材料如有卸车时，乙方应无条件安排卸车人员并承担相应的费用，包含但不限于人工费用、劳动保护费用等。</w:t>
      </w:r>
    </w:p>
    <w:p w14:paraId="3F5D59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来料卸车包含的内容：钢筋、砂浆、砼、砖、砂、水泥及其他零星材料等。</w:t>
      </w:r>
    </w:p>
    <w:p w14:paraId="3E5A069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二次及多次转运材料：包括材料、周转材料进场下车、退场装车、水平运输、垂直运输、场地码放以及根据现场需要的其他转运工作。</w:t>
      </w:r>
    </w:p>
    <w:p w14:paraId="1FA783ED">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配合工作</w:t>
      </w:r>
    </w:p>
    <w:p w14:paraId="10C0BA27">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textAlignment w:val="baseline"/>
        <w:rPr>
          <w:rFonts w:hint="default"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 xml:space="preserve">    配合安装等专业预留预埋工作，实施并配合测量放线工作。</w:t>
      </w:r>
    </w:p>
    <w:p w14:paraId="481CC1E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（12）标准化施工</w:t>
      </w:r>
    </w:p>
    <w:p w14:paraId="1B3C046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整个施工区域内的安全文明施工，土方单位退场后，整个施工场地的安全文明施工由乙方全权负责。</w:t>
      </w:r>
    </w:p>
    <w:p w14:paraId="7A1CD5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安全文明施工包含的人、材、机全部由乙方负责（施工缝、集水坑、预留洞口的覆盖）。</w:t>
      </w:r>
    </w:p>
    <w:p w14:paraId="62E6D6B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安全文明施工必需达到州标化工地要求。</w:t>
      </w:r>
    </w:p>
    <w:p w14:paraId="66C7D8E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所有乙方产生的包括但不限于建筑、生活等垃圾的清运。</w:t>
      </w:r>
    </w:p>
    <w:p w14:paraId="26289D8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default"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办公区、生活区卫生清理和维护。</w:t>
      </w:r>
    </w:p>
    <w:p w14:paraId="572C0487">
      <w:pPr>
        <w:spacing w:before="140" w:line="347" w:lineRule="auto"/>
        <w:ind w:right="164" w:firstLine="530"/>
        <w:jc w:val="both"/>
        <w:rPr>
          <w:rFonts w:ascii="仿宋" w:hAnsi="仿宋" w:eastAsia="仿宋" w:cs="仿宋"/>
          <w:color w:val="auto"/>
          <w:spacing w:val="-9"/>
          <w:sz w:val="25"/>
          <w:szCs w:val="25"/>
        </w:rPr>
      </w:pPr>
      <w:r>
        <w:rPr>
          <w:rFonts w:ascii="仿宋" w:hAnsi="仿宋" w:eastAsia="仿宋" w:cs="仿宋"/>
          <w:color w:val="auto"/>
          <w:spacing w:val="-14"/>
          <w:sz w:val="25"/>
          <w:szCs w:val="25"/>
        </w:rPr>
        <w:t>上述工程项目包括</w:t>
      </w:r>
      <w:r>
        <w:rPr>
          <w:rFonts w:hint="eastAsia" w:ascii="仿宋" w:hAnsi="仿宋" w:eastAsia="仿宋" w:cs="仿宋"/>
          <w:color w:val="auto"/>
          <w:spacing w:val="-14"/>
          <w:sz w:val="25"/>
          <w:szCs w:val="25"/>
          <w:lang w:val="en-US" w:eastAsia="zh-CN"/>
        </w:rPr>
        <w:t>除甲供材料以外的所有人工、材料、机械等内容</w:t>
      </w:r>
      <w:r>
        <w:rPr>
          <w:rFonts w:ascii="仿宋" w:hAnsi="仿宋" w:eastAsia="仿宋" w:cs="仿宋"/>
          <w:color w:val="auto"/>
          <w:spacing w:val="-9"/>
          <w:sz w:val="25"/>
          <w:szCs w:val="25"/>
        </w:rPr>
        <w:t>。</w:t>
      </w:r>
    </w:p>
    <w:p w14:paraId="72AE2679">
      <w:pPr>
        <w:spacing w:before="140" w:line="347" w:lineRule="auto"/>
        <w:ind w:right="164" w:firstLine="530"/>
        <w:jc w:val="both"/>
        <w:rPr>
          <w:rFonts w:hint="eastAsia" w:ascii="仿宋" w:hAnsi="仿宋" w:eastAsia="仿宋" w:cs="仿宋"/>
          <w:b/>
          <w:bCs/>
          <w:color w:val="auto"/>
          <w:spacing w:val="-9"/>
          <w:sz w:val="25"/>
          <w:szCs w:val="25"/>
          <w:lang w:val="en-US" w:eastAsia="zh-CN"/>
        </w:rPr>
      </w:pPr>
      <w:r>
        <w:rPr>
          <w:rFonts w:hint="eastAsia" w:ascii="仿宋" w:hAnsi="仿宋" w:eastAsia="仿宋" w:cs="仿宋"/>
          <w:b/>
          <w:bCs/>
          <w:color w:val="auto"/>
          <w:spacing w:val="-9"/>
          <w:sz w:val="25"/>
          <w:szCs w:val="25"/>
          <w:lang w:val="en-US" w:eastAsia="zh-CN"/>
        </w:rPr>
        <w:t>1.2水电部分</w:t>
      </w:r>
    </w:p>
    <w:p w14:paraId="61A03E07">
      <w:pPr>
        <w:pStyle w:val="16"/>
        <w:spacing w:line="360" w:lineRule="auto"/>
        <w:ind w:firstLine="490" w:firstLineChars="200"/>
        <w:rPr>
          <w:rFonts w:ascii="仿宋" w:hAnsi="仿宋" w:eastAsia="仿宋" w:cs="仿宋"/>
          <w:b/>
          <w:bCs/>
          <w:color w:val="auto"/>
          <w:spacing w:val="-3"/>
          <w:sz w:val="25"/>
          <w:szCs w:val="25"/>
          <w:u w:val="single" w:color="auto"/>
        </w:rPr>
      </w:pPr>
      <w:r>
        <w:rPr>
          <w:rFonts w:ascii="仿宋" w:hAnsi="仿宋" w:eastAsia="仿宋" w:cs="仿宋"/>
          <w:b/>
          <w:bCs/>
          <w:color w:val="auto"/>
          <w:spacing w:val="-3"/>
          <w:sz w:val="25"/>
          <w:szCs w:val="25"/>
          <w:u w:val="single" w:color="auto"/>
        </w:rPr>
        <w:t>本工程图纸范围内包括但不限于：</w:t>
      </w:r>
    </w:p>
    <w:p w14:paraId="39E11BAF">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（1）</w:t>
      </w:r>
      <w:r>
        <w:rPr>
          <w:rFonts w:hint="eastAsia" w:ascii="仿宋" w:hAnsi="仿宋" w:eastAsia="仿宋" w:cs="仿宋"/>
          <w:b/>
          <w:bCs/>
          <w:color w:val="auto"/>
          <w:spacing w:val="-3"/>
          <w:sz w:val="25"/>
          <w:szCs w:val="25"/>
          <w:u w:val="single" w:color="auto"/>
        </w:rPr>
        <w:t>给水系统：从户外第一个阀门</w:t>
      </w:r>
      <w:r>
        <w:rPr>
          <w:rFonts w:hint="eastAsia" w:ascii="仿宋" w:hAnsi="仿宋" w:eastAsia="仿宋" w:cs="仿宋"/>
          <w:b/>
          <w:bCs/>
          <w:color w:val="auto"/>
          <w:spacing w:val="-3"/>
          <w:sz w:val="25"/>
          <w:szCs w:val="25"/>
          <w:u w:val="single" w:color="auto"/>
          <w:lang w:val="en-US" w:eastAsia="zh-CN"/>
        </w:rPr>
        <w:t>井</w:t>
      </w:r>
      <w:r>
        <w:rPr>
          <w:rFonts w:hint="eastAsia" w:ascii="仿宋" w:hAnsi="仿宋" w:eastAsia="仿宋" w:cs="仿宋"/>
          <w:b/>
          <w:bCs/>
          <w:color w:val="auto"/>
          <w:spacing w:val="-3"/>
          <w:sz w:val="25"/>
          <w:szCs w:val="25"/>
          <w:u w:val="single" w:color="auto"/>
        </w:rPr>
        <w:t>（含井内水表安装,不含</w:t>
      </w:r>
      <w:r>
        <w:rPr>
          <w:rFonts w:hint="eastAsia" w:ascii="仿宋" w:hAnsi="仿宋" w:eastAsia="仿宋" w:cs="仿宋"/>
          <w:b/>
          <w:bCs/>
          <w:color w:val="auto"/>
          <w:spacing w:val="-3"/>
          <w:sz w:val="25"/>
          <w:szCs w:val="25"/>
          <w:u w:val="single" w:color="auto"/>
          <w:lang w:val="en-US" w:eastAsia="zh-CN"/>
        </w:rPr>
        <w:t>阀门安装</w:t>
      </w:r>
      <w:r>
        <w:rPr>
          <w:rFonts w:hint="eastAsia" w:ascii="仿宋" w:hAnsi="仿宋" w:eastAsia="仿宋" w:cs="仿宋"/>
          <w:b/>
          <w:bCs/>
          <w:color w:val="auto"/>
          <w:spacing w:val="-3"/>
          <w:sz w:val="25"/>
          <w:szCs w:val="25"/>
          <w:u w:val="single" w:color="auto"/>
        </w:rPr>
        <w:t>）至室内</w:t>
      </w:r>
      <w:r>
        <w:rPr>
          <w:rFonts w:hint="eastAsia" w:ascii="仿宋" w:hAnsi="仿宋" w:eastAsia="仿宋" w:cs="仿宋"/>
          <w:b/>
          <w:bCs/>
          <w:color w:val="FF0000"/>
          <w:spacing w:val="-3"/>
          <w:sz w:val="25"/>
          <w:szCs w:val="25"/>
          <w:u w:val="single" w:color="auto"/>
          <w:lang w:eastAsia="zh-CN"/>
        </w:rPr>
        <w:t>楼栋、隔震层、</w:t>
      </w:r>
      <w:r>
        <w:rPr>
          <w:rFonts w:hint="eastAsia" w:ascii="仿宋" w:hAnsi="仿宋" w:eastAsia="仿宋" w:cs="仿宋"/>
          <w:b/>
          <w:bCs/>
          <w:color w:val="auto"/>
          <w:spacing w:val="-3"/>
          <w:sz w:val="25"/>
          <w:szCs w:val="25"/>
          <w:u w:val="single" w:color="auto"/>
          <w:lang w:eastAsia="zh-CN"/>
        </w:rPr>
        <w:t>所有配水点，</w:t>
      </w:r>
      <w:r>
        <w:rPr>
          <w:rFonts w:hint="eastAsia" w:ascii="仿宋" w:hAnsi="仿宋" w:eastAsia="仿宋" w:cs="仿宋"/>
          <w:b/>
          <w:bCs/>
          <w:color w:val="auto"/>
          <w:spacing w:val="-3"/>
          <w:sz w:val="25"/>
          <w:szCs w:val="25"/>
          <w:u w:val="single" w:color="auto"/>
        </w:rPr>
        <w:t>包括但不限于生活给水系统</w:t>
      </w:r>
      <w:r>
        <w:rPr>
          <w:rFonts w:hint="eastAsia" w:ascii="仿宋" w:hAnsi="仿宋" w:eastAsia="仿宋" w:cs="仿宋"/>
          <w:b/>
          <w:bCs/>
          <w:color w:val="auto"/>
          <w:spacing w:val="-3"/>
          <w:sz w:val="25"/>
          <w:szCs w:val="25"/>
          <w:u w:val="single" w:color="auto"/>
          <w:lang w:eastAsia="zh-CN"/>
        </w:rPr>
        <w:t>的</w:t>
      </w:r>
      <w:r>
        <w:rPr>
          <w:rFonts w:hint="eastAsia" w:ascii="仿宋" w:hAnsi="仿宋" w:eastAsia="仿宋" w:cs="仿宋"/>
          <w:b/>
          <w:bCs/>
          <w:color w:val="FF0000"/>
          <w:spacing w:val="-3"/>
          <w:sz w:val="25"/>
          <w:szCs w:val="25"/>
          <w:u w:val="single" w:color="auto"/>
          <w:lang w:eastAsia="zh-CN"/>
        </w:rPr>
        <w:t>预留预埋</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管道及附件，给水设备安装，管道防腐、绝热</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试压、冲洗、消毒、实验、调试</w:t>
      </w:r>
      <w:r>
        <w:rPr>
          <w:rFonts w:hint="eastAsia" w:ascii="仿宋" w:hAnsi="仿宋" w:eastAsia="仿宋" w:cs="仿宋"/>
          <w:b/>
          <w:bCs/>
          <w:color w:val="auto"/>
          <w:spacing w:val="-3"/>
          <w:sz w:val="25"/>
          <w:szCs w:val="25"/>
          <w:u w:val="single" w:color="auto"/>
        </w:rPr>
        <w:t>等（配水点临时堵头封堵）</w:t>
      </w:r>
      <w:r>
        <w:rPr>
          <w:rFonts w:hint="eastAsia" w:ascii="仿宋" w:hAnsi="仿宋" w:eastAsia="仿宋" w:cs="仿宋"/>
          <w:b/>
          <w:bCs/>
          <w:color w:val="auto"/>
          <w:spacing w:val="-3"/>
          <w:sz w:val="25"/>
          <w:szCs w:val="25"/>
          <w:u w:val="single" w:color="auto"/>
          <w:lang w:eastAsia="zh-CN"/>
        </w:rPr>
        <w:t>。</w:t>
      </w:r>
    </w:p>
    <w:p w14:paraId="204DE5A7">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（2）热水系统：</w:t>
      </w:r>
      <w:r>
        <w:rPr>
          <w:rFonts w:hint="eastAsia" w:ascii="仿宋" w:hAnsi="仿宋" w:eastAsia="仿宋" w:cs="仿宋"/>
          <w:b/>
          <w:bCs/>
          <w:color w:val="auto"/>
          <w:spacing w:val="-3"/>
          <w:sz w:val="25"/>
          <w:szCs w:val="25"/>
          <w:u w:val="single" w:color="auto"/>
        </w:rPr>
        <w:t>采用热水器供水，热水器的进出水管道预留预埋及安装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管道防腐、绝热</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试压、冲洗、消毒、实验、调试</w:t>
      </w:r>
      <w:r>
        <w:rPr>
          <w:rFonts w:hint="eastAsia" w:ascii="仿宋" w:hAnsi="仿宋" w:eastAsia="仿宋" w:cs="仿宋"/>
          <w:b/>
          <w:bCs/>
          <w:color w:val="auto"/>
          <w:spacing w:val="-3"/>
          <w:sz w:val="25"/>
          <w:szCs w:val="25"/>
          <w:u w:val="single" w:color="auto"/>
        </w:rPr>
        <w:t>等（配水点临时堵头封堵）</w:t>
      </w:r>
      <w:r>
        <w:rPr>
          <w:rFonts w:hint="eastAsia" w:ascii="仿宋" w:hAnsi="仿宋" w:eastAsia="仿宋" w:cs="仿宋"/>
          <w:b/>
          <w:bCs/>
          <w:color w:val="auto"/>
          <w:spacing w:val="-3"/>
          <w:sz w:val="25"/>
          <w:szCs w:val="25"/>
          <w:u w:val="single" w:color="auto"/>
          <w:lang w:eastAsia="zh-CN"/>
        </w:rPr>
        <w:t>。</w:t>
      </w:r>
    </w:p>
    <w:p w14:paraId="4B96926C">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（3）</w:t>
      </w:r>
      <w:r>
        <w:rPr>
          <w:rFonts w:hint="eastAsia" w:ascii="仿宋" w:hAnsi="仿宋" w:eastAsia="仿宋" w:cs="仿宋"/>
          <w:b/>
          <w:bCs/>
          <w:color w:val="auto"/>
          <w:spacing w:val="-3"/>
          <w:sz w:val="25"/>
          <w:szCs w:val="25"/>
          <w:u w:val="single" w:color="auto"/>
        </w:rPr>
        <w:t>排水工程：雨水、污水、废水</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0000FF"/>
          <w:spacing w:val="-3"/>
          <w:sz w:val="25"/>
          <w:szCs w:val="25"/>
          <w:u w:val="single" w:color="auto"/>
          <w:lang w:eastAsia="zh-CN"/>
        </w:rPr>
        <w:t>消防末端试水、空调冷凝水、阳台水、压力排水、</w:t>
      </w:r>
      <w:r>
        <w:rPr>
          <w:rFonts w:hint="eastAsia" w:ascii="仿宋" w:hAnsi="仿宋" w:eastAsia="仿宋" w:cs="仿宋"/>
          <w:b/>
          <w:bCs/>
          <w:color w:val="auto"/>
          <w:spacing w:val="-3"/>
          <w:sz w:val="25"/>
          <w:szCs w:val="25"/>
          <w:u w:val="single" w:color="auto"/>
        </w:rPr>
        <w:t>系统管道及附件的安装。从室外雨污水井</w:t>
      </w:r>
      <w:r>
        <w:rPr>
          <w:rFonts w:hint="eastAsia" w:ascii="仿宋" w:hAnsi="仿宋" w:eastAsia="仿宋" w:cs="仿宋"/>
          <w:b/>
          <w:bCs/>
          <w:color w:val="auto"/>
          <w:spacing w:val="-3"/>
          <w:sz w:val="25"/>
          <w:szCs w:val="25"/>
          <w:u w:val="single" w:color="auto"/>
          <w:lang w:val="en-US" w:eastAsia="zh-CN"/>
        </w:rPr>
        <w:t>，</w:t>
      </w:r>
      <w:r>
        <w:rPr>
          <w:rFonts w:hint="eastAsia" w:ascii="仿宋" w:hAnsi="仿宋" w:eastAsia="仿宋" w:cs="仿宋"/>
          <w:b/>
          <w:bCs/>
          <w:color w:val="0000FF"/>
          <w:spacing w:val="-3"/>
          <w:sz w:val="25"/>
          <w:szCs w:val="25"/>
          <w:u w:val="single" w:color="auto"/>
          <w:lang w:val="en-US" w:eastAsia="zh-CN"/>
        </w:rPr>
        <w:t>(</w:t>
      </w:r>
      <w:r>
        <w:rPr>
          <w:rFonts w:hint="eastAsia" w:ascii="仿宋" w:hAnsi="仿宋" w:eastAsia="仿宋" w:cs="仿宋"/>
          <w:b/>
          <w:bCs/>
          <w:color w:val="FF0000"/>
          <w:spacing w:val="-3"/>
          <w:sz w:val="25"/>
          <w:szCs w:val="25"/>
          <w:u w:val="single" w:color="auto"/>
          <w:lang w:val="en-US" w:eastAsia="zh-CN"/>
        </w:rPr>
        <w:t>不</w:t>
      </w:r>
      <w:r>
        <w:rPr>
          <w:rFonts w:hint="eastAsia" w:ascii="仿宋" w:hAnsi="仿宋" w:eastAsia="仿宋" w:cs="仿宋"/>
          <w:b/>
          <w:bCs/>
          <w:color w:val="0000FF"/>
          <w:spacing w:val="-3"/>
          <w:sz w:val="25"/>
          <w:szCs w:val="25"/>
          <w:u w:val="single" w:color="auto"/>
        </w:rPr>
        <w:t>含雨</w:t>
      </w:r>
      <w:r>
        <w:rPr>
          <w:rFonts w:hint="eastAsia" w:ascii="仿宋" w:hAnsi="仿宋" w:eastAsia="仿宋" w:cs="仿宋"/>
          <w:b/>
          <w:bCs/>
          <w:color w:val="0000FF"/>
          <w:spacing w:val="-3"/>
          <w:sz w:val="25"/>
          <w:szCs w:val="25"/>
          <w:u w:val="single" w:color="auto"/>
          <w:lang w:val="en-US" w:eastAsia="zh-CN"/>
        </w:rPr>
        <w:t>污</w:t>
      </w:r>
      <w:r>
        <w:rPr>
          <w:rFonts w:hint="eastAsia" w:ascii="仿宋" w:hAnsi="仿宋" w:eastAsia="仿宋" w:cs="仿宋"/>
          <w:b/>
          <w:bCs/>
          <w:color w:val="0000FF"/>
          <w:spacing w:val="-3"/>
          <w:sz w:val="25"/>
          <w:szCs w:val="25"/>
          <w:u w:val="single" w:color="auto"/>
        </w:rPr>
        <w:t>井</w:t>
      </w:r>
      <w:r>
        <w:rPr>
          <w:rFonts w:hint="eastAsia" w:ascii="仿宋" w:hAnsi="仿宋" w:eastAsia="仿宋" w:cs="仿宋"/>
          <w:b/>
          <w:bCs/>
          <w:color w:val="0000FF"/>
          <w:spacing w:val="-3"/>
          <w:sz w:val="25"/>
          <w:szCs w:val="25"/>
          <w:u w:val="single" w:color="auto"/>
          <w:lang w:val="en-US" w:eastAsia="zh-CN"/>
        </w:rPr>
        <w:t>安装</w:t>
      </w:r>
      <w:r>
        <w:rPr>
          <w:rFonts w:hint="eastAsia" w:ascii="仿宋" w:hAnsi="仿宋" w:eastAsia="仿宋" w:cs="仿宋"/>
          <w:b/>
          <w:bCs/>
          <w:color w:val="0000FF"/>
          <w:spacing w:val="-3"/>
          <w:sz w:val="25"/>
          <w:szCs w:val="25"/>
          <w:u w:val="single" w:color="auto"/>
        </w:rPr>
        <w:t>）</w:t>
      </w:r>
      <w:r>
        <w:rPr>
          <w:rFonts w:hint="eastAsia" w:ascii="仿宋" w:hAnsi="仿宋" w:eastAsia="仿宋" w:cs="仿宋"/>
          <w:b/>
          <w:bCs/>
          <w:color w:val="FF0000"/>
          <w:spacing w:val="-3"/>
          <w:sz w:val="25"/>
          <w:szCs w:val="25"/>
          <w:u w:val="single" w:color="auto"/>
        </w:rPr>
        <w:t>开始至</w:t>
      </w:r>
      <w:r>
        <w:rPr>
          <w:rFonts w:hint="eastAsia" w:ascii="仿宋" w:hAnsi="仿宋" w:eastAsia="仿宋" w:cs="仿宋"/>
          <w:b/>
          <w:bCs/>
          <w:color w:val="FF0000"/>
          <w:spacing w:val="-3"/>
          <w:sz w:val="25"/>
          <w:szCs w:val="25"/>
          <w:u w:val="single" w:color="auto"/>
          <w:lang w:eastAsia="zh-CN"/>
        </w:rPr>
        <w:t>楼栋内</w:t>
      </w:r>
      <w:r>
        <w:rPr>
          <w:rFonts w:hint="eastAsia" w:ascii="仿宋" w:hAnsi="仿宋" w:eastAsia="仿宋" w:cs="仿宋"/>
          <w:b/>
          <w:bCs/>
          <w:color w:val="auto"/>
          <w:spacing w:val="-3"/>
          <w:sz w:val="25"/>
          <w:szCs w:val="25"/>
          <w:u w:val="single" w:color="auto"/>
        </w:rPr>
        <w:t>所有排水点（含卫生洁具</w:t>
      </w:r>
      <w:r>
        <w:rPr>
          <w:rFonts w:hint="eastAsia" w:ascii="仿宋" w:hAnsi="仿宋" w:eastAsia="仿宋" w:cs="仿宋"/>
          <w:b/>
          <w:bCs/>
          <w:color w:val="auto"/>
          <w:spacing w:val="-3"/>
          <w:sz w:val="25"/>
          <w:szCs w:val="25"/>
          <w:u w:val="single" w:color="auto"/>
          <w:lang w:eastAsia="zh-CN"/>
        </w:rPr>
        <w:t>安装</w:t>
      </w:r>
      <w:r>
        <w:rPr>
          <w:rFonts w:hint="eastAsia" w:ascii="仿宋" w:hAnsi="仿宋" w:eastAsia="仿宋" w:cs="仿宋"/>
          <w:b/>
          <w:bCs/>
          <w:color w:val="auto"/>
          <w:spacing w:val="-3"/>
          <w:sz w:val="25"/>
          <w:szCs w:val="25"/>
          <w:u w:val="single" w:color="auto"/>
        </w:rPr>
        <w:t>）；雨水及冷凝水从排水点至散水沟；地下室有压排水</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含水泵安装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至</w:t>
      </w:r>
      <w:r>
        <w:rPr>
          <w:rFonts w:hint="eastAsia" w:ascii="仿宋" w:hAnsi="仿宋" w:eastAsia="仿宋" w:cs="仿宋"/>
          <w:b/>
          <w:bCs/>
          <w:color w:val="auto"/>
          <w:spacing w:val="-3"/>
          <w:sz w:val="25"/>
          <w:szCs w:val="25"/>
          <w:highlight w:val="yellow"/>
          <w:u w:val="single" w:color="auto"/>
          <w:lang w:val="en-US" w:eastAsia="zh-CN"/>
        </w:rPr>
        <w:t>室外</w:t>
      </w:r>
      <w:r>
        <w:rPr>
          <w:rFonts w:hint="eastAsia" w:ascii="仿宋" w:hAnsi="仿宋" w:eastAsia="仿宋" w:cs="仿宋"/>
          <w:b/>
          <w:bCs/>
          <w:color w:val="auto"/>
          <w:spacing w:val="-3"/>
          <w:sz w:val="25"/>
          <w:szCs w:val="25"/>
          <w:highlight w:val="yellow"/>
          <w:u w:val="single" w:color="auto"/>
        </w:rPr>
        <w:t>雨水井（若有）</w:t>
      </w:r>
      <w:r>
        <w:rPr>
          <w:rFonts w:hint="eastAsia" w:ascii="仿宋" w:hAnsi="仿宋" w:eastAsia="仿宋" w:cs="仿宋"/>
          <w:b/>
          <w:bCs/>
          <w:color w:val="auto"/>
          <w:spacing w:val="-3"/>
          <w:sz w:val="25"/>
          <w:szCs w:val="25"/>
          <w:u w:val="single" w:color="auto"/>
        </w:rPr>
        <w:t>，管</w:t>
      </w:r>
      <w:r>
        <w:rPr>
          <w:rFonts w:hint="eastAsia" w:ascii="仿宋" w:hAnsi="仿宋" w:eastAsia="仿宋" w:cs="仿宋"/>
          <w:b/>
          <w:bCs/>
          <w:color w:val="auto"/>
          <w:spacing w:val="-3"/>
          <w:sz w:val="25"/>
          <w:szCs w:val="25"/>
          <w:u w:val="single" w:color="auto"/>
          <w:lang w:val="en-US" w:eastAsia="zh-CN"/>
        </w:rPr>
        <w:t>道</w:t>
      </w:r>
      <w:r>
        <w:rPr>
          <w:rFonts w:hint="eastAsia" w:ascii="仿宋" w:hAnsi="仿宋" w:eastAsia="仿宋" w:cs="仿宋"/>
          <w:b/>
          <w:bCs/>
          <w:color w:val="auto"/>
          <w:spacing w:val="-3"/>
          <w:sz w:val="25"/>
          <w:szCs w:val="25"/>
          <w:u w:val="single" w:color="auto"/>
        </w:rPr>
        <w:t>通球试验</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灌水试验</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防腐、阻火圈安装</w:t>
      </w:r>
      <w:r>
        <w:rPr>
          <w:rFonts w:hint="eastAsia" w:ascii="仿宋" w:hAnsi="仿宋" w:eastAsia="仿宋" w:cs="仿宋"/>
          <w:b/>
          <w:bCs/>
          <w:color w:val="auto"/>
          <w:spacing w:val="-3"/>
          <w:sz w:val="25"/>
          <w:szCs w:val="25"/>
          <w:u w:val="single" w:color="auto"/>
        </w:rPr>
        <w:t>。</w:t>
      </w:r>
    </w:p>
    <w:p w14:paraId="3FD86A16">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（4）</w:t>
      </w:r>
      <w:r>
        <w:rPr>
          <w:rFonts w:hint="eastAsia" w:ascii="仿宋" w:hAnsi="仿宋" w:eastAsia="仿宋" w:cs="仿宋"/>
          <w:b/>
          <w:bCs/>
          <w:color w:val="auto"/>
          <w:spacing w:val="-3"/>
          <w:sz w:val="25"/>
          <w:szCs w:val="25"/>
          <w:highlight w:val="yellow"/>
          <w:u w:val="single" w:color="auto"/>
        </w:rPr>
        <w:t>空调</w:t>
      </w:r>
      <w:r>
        <w:rPr>
          <w:rFonts w:hint="eastAsia" w:ascii="仿宋" w:hAnsi="仿宋" w:eastAsia="仿宋" w:cs="仿宋"/>
          <w:b/>
          <w:bCs/>
          <w:color w:val="auto"/>
          <w:spacing w:val="-3"/>
          <w:sz w:val="25"/>
          <w:szCs w:val="25"/>
          <w:highlight w:val="yellow"/>
          <w:u w:val="single" w:color="auto"/>
          <w:lang w:eastAsia="zh-CN"/>
        </w:rPr>
        <w:t>、</w:t>
      </w:r>
      <w:r>
        <w:rPr>
          <w:rFonts w:hint="eastAsia" w:ascii="仿宋" w:hAnsi="仿宋" w:eastAsia="仿宋" w:cs="仿宋"/>
          <w:b/>
          <w:bCs/>
          <w:color w:val="auto"/>
          <w:spacing w:val="-3"/>
          <w:sz w:val="25"/>
          <w:szCs w:val="25"/>
          <w:highlight w:val="yellow"/>
          <w:u w:val="single" w:color="auto"/>
          <w:lang w:val="en-US" w:eastAsia="zh-CN"/>
        </w:rPr>
        <w:t>新风</w:t>
      </w:r>
      <w:r>
        <w:rPr>
          <w:rFonts w:hint="eastAsia" w:ascii="仿宋" w:hAnsi="仿宋" w:eastAsia="仿宋" w:cs="仿宋"/>
          <w:b/>
          <w:bCs/>
          <w:color w:val="auto"/>
          <w:spacing w:val="-3"/>
          <w:sz w:val="25"/>
          <w:szCs w:val="25"/>
          <w:highlight w:val="yellow"/>
          <w:u w:val="single" w:color="auto"/>
        </w:rPr>
        <w:t>工程</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highlight w:val="yellow"/>
          <w:u w:val="single" w:color="auto"/>
          <w:lang w:val="en-US" w:eastAsia="zh-CN"/>
        </w:rPr>
        <w:t>本</w:t>
      </w:r>
      <w:r>
        <w:rPr>
          <w:rFonts w:hint="eastAsia" w:ascii="仿宋" w:hAnsi="仿宋" w:eastAsia="仿宋" w:cs="仿宋"/>
          <w:b/>
          <w:bCs/>
          <w:color w:val="auto"/>
          <w:spacing w:val="-3"/>
          <w:sz w:val="25"/>
          <w:szCs w:val="25"/>
          <w:highlight w:val="yellow"/>
          <w:u w:val="single" w:color="auto"/>
        </w:rPr>
        <w:t>系统所有</w:t>
      </w:r>
      <w:r>
        <w:rPr>
          <w:rFonts w:hint="eastAsia" w:ascii="仿宋" w:hAnsi="仿宋" w:eastAsia="仿宋" w:cs="仿宋"/>
          <w:b/>
          <w:bCs/>
          <w:color w:val="auto"/>
          <w:spacing w:val="-3"/>
          <w:sz w:val="25"/>
          <w:szCs w:val="25"/>
          <w:highlight w:val="yellow"/>
          <w:u w:val="single" w:color="auto"/>
          <w:lang w:val="en-US" w:eastAsia="zh-CN"/>
        </w:rPr>
        <w:t>管线、底盒预留预埋</w:t>
      </w:r>
      <w:r>
        <w:rPr>
          <w:rFonts w:hint="eastAsia" w:ascii="仿宋" w:hAnsi="仿宋" w:eastAsia="仿宋" w:cs="仿宋"/>
          <w:b/>
          <w:bCs/>
          <w:color w:val="auto"/>
          <w:spacing w:val="-3"/>
          <w:sz w:val="25"/>
          <w:szCs w:val="25"/>
          <w:highlight w:val="yellow"/>
          <w:u w:val="single" w:color="auto"/>
          <w:lang w:eastAsia="zh-CN"/>
        </w:rPr>
        <w:t>、</w:t>
      </w:r>
      <w:r>
        <w:rPr>
          <w:rFonts w:hint="eastAsia" w:ascii="仿宋" w:hAnsi="仿宋" w:eastAsia="仿宋" w:cs="仿宋"/>
          <w:b/>
          <w:bCs/>
          <w:color w:val="auto"/>
          <w:spacing w:val="-3"/>
          <w:sz w:val="25"/>
          <w:szCs w:val="25"/>
          <w:highlight w:val="yellow"/>
          <w:u w:val="single" w:color="auto"/>
          <w:lang w:val="en-US" w:eastAsia="zh-CN"/>
        </w:rPr>
        <w:t>二次配管、</w:t>
      </w:r>
      <w:r>
        <w:rPr>
          <w:rFonts w:hint="eastAsia" w:ascii="仿宋" w:hAnsi="仿宋" w:eastAsia="仿宋" w:cs="仿宋"/>
          <w:b/>
          <w:bCs/>
          <w:color w:val="auto"/>
          <w:spacing w:val="-3"/>
          <w:sz w:val="25"/>
          <w:szCs w:val="25"/>
          <w:highlight w:val="yellow"/>
          <w:u w:val="single" w:color="auto"/>
        </w:rPr>
        <w:t>洞口预留预埋</w:t>
      </w:r>
      <w:r>
        <w:rPr>
          <w:rFonts w:hint="eastAsia" w:ascii="仿宋" w:hAnsi="仿宋" w:eastAsia="仿宋" w:cs="仿宋"/>
          <w:b/>
          <w:bCs/>
          <w:color w:val="auto"/>
          <w:spacing w:val="-3"/>
          <w:sz w:val="25"/>
          <w:szCs w:val="25"/>
          <w:highlight w:val="yellow"/>
          <w:u w:val="single" w:color="auto"/>
          <w:lang w:val="en-US" w:eastAsia="zh-CN"/>
        </w:rPr>
        <w:t>套管</w:t>
      </w:r>
      <w:r>
        <w:rPr>
          <w:rFonts w:hint="eastAsia" w:ascii="仿宋" w:hAnsi="仿宋" w:eastAsia="仿宋" w:cs="仿宋"/>
          <w:b/>
          <w:bCs/>
          <w:color w:val="auto"/>
          <w:spacing w:val="-3"/>
          <w:sz w:val="25"/>
          <w:szCs w:val="25"/>
          <w:highlight w:val="yellow"/>
          <w:u w:val="single" w:color="auto"/>
        </w:rPr>
        <w:t>及</w:t>
      </w:r>
      <w:r>
        <w:rPr>
          <w:rFonts w:hint="eastAsia" w:ascii="仿宋" w:hAnsi="仿宋" w:eastAsia="仿宋" w:cs="仿宋"/>
          <w:b/>
          <w:bCs/>
          <w:color w:val="auto"/>
          <w:spacing w:val="-3"/>
          <w:sz w:val="25"/>
          <w:szCs w:val="25"/>
          <w:highlight w:val="yellow"/>
          <w:u w:val="single" w:color="auto"/>
          <w:lang w:val="en-US" w:eastAsia="zh-CN"/>
        </w:rPr>
        <w:t>电源放线</w:t>
      </w:r>
      <w:r>
        <w:rPr>
          <w:rFonts w:hint="eastAsia" w:ascii="仿宋" w:hAnsi="仿宋" w:eastAsia="仿宋" w:cs="仿宋"/>
          <w:b/>
          <w:bCs/>
          <w:color w:val="auto"/>
          <w:spacing w:val="-3"/>
          <w:sz w:val="25"/>
          <w:szCs w:val="25"/>
          <w:u w:val="single" w:color="auto"/>
          <w:lang w:val="en-US" w:eastAsia="zh-CN"/>
        </w:rPr>
        <w:t>。</w:t>
      </w:r>
    </w:p>
    <w:p w14:paraId="3CB9BFA3">
      <w:pPr>
        <w:pStyle w:val="16"/>
        <w:spacing w:line="360" w:lineRule="auto"/>
        <w:ind w:firstLine="490" w:firstLineChars="200"/>
        <w:rPr>
          <w:rFonts w:hint="default" w:ascii="仿宋" w:hAnsi="仿宋" w:eastAsia="仿宋" w:cs="仿宋"/>
          <w:b/>
          <w:bCs/>
          <w:color w:val="auto"/>
          <w:spacing w:val="-3"/>
          <w:sz w:val="25"/>
          <w:szCs w:val="25"/>
          <w:highlight w:val="yellow"/>
          <w:u w:val="single" w:color="auto"/>
          <w:lang w:val="en-US" w:eastAsia="zh-CN"/>
        </w:rPr>
      </w:pPr>
      <w:r>
        <w:rPr>
          <w:rFonts w:hint="eastAsia" w:ascii="仿宋" w:hAnsi="仿宋" w:eastAsia="仿宋" w:cs="仿宋"/>
          <w:b/>
          <w:bCs/>
          <w:color w:val="auto"/>
          <w:spacing w:val="-3"/>
          <w:sz w:val="25"/>
          <w:szCs w:val="25"/>
          <w:u w:val="single" w:color="auto"/>
          <w:lang w:val="en-US" w:eastAsia="zh-CN"/>
        </w:rPr>
        <w:t>（5）通风工程（非消防系统、空调新风系统）：</w:t>
      </w:r>
      <w:r>
        <w:rPr>
          <w:rFonts w:hint="eastAsia" w:ascii="仿宋" w:hAnsi="仿宋" w:eastAsia="仿宋" w:cs="仿宋"/>
          <w:b/>
          <w:bCs/>
          <w:color w:val="auto"/>
          <w:spacing w:val="-3"/>
          <w:sz w:val="25"/>
          <w:szCs w:val="25"/>
          <w:highlight w:val="yellow"/>
          <w:u w:val="none" w:color="auto"/>
          <w:lang w:val="en-US" w:eastAsia="zh-CN"/>
        </w:rPr>
        <w:t>卫生间排风系统、排油烟系统的</w:t>
      </w:r>
      <w:r>
        <w:rPr>
          <w:rFonts w:hint="eastAsia" w:ascii="仿宋" w:hAnsi="仿宋" w:eastAsia="仿宋" w:cs="仿宋"/>
          <w:b/>
          <w:bCs/>
          <w:strike w:val="0"/>
          <w:dstrike w:val="0"/>
          <w:color w:val="auto"/>
          <w:spacing w:val="-3"/>
          <w:sz w:val="25"/>
          <w:szCs w:val="25"/>
          <w:highlight w:val="yellow"/>
          <w:u w:val="none" w:color="auto"/>
          <w:lang w:val="en-US" w:eastAsia="zh-CN"/>
        </w:rPr>
        <w:t>管线与底盒预留预埋</w:t>
      </w:r>
      <w:r>
        <w:rPr>
          <w:rFonts w:hint="eastAsia" w:ascii="仿宋" w:hAnsi="仿宋" w:eastAsia="仿宋" w:cs="仿宋"/>
          <w:b/>
          <w:bCs/>
          <w:strike w:val="0"/>
          <w:dstrike w:val="0"/>
          <w:color w:val="auto"/>
          <w:spacing w:val="-3"/>
          <w:sz w:val="25"/>
          <w:szCs w:val="25"/>
          <w:highlight w:val="yellow"/>
          <w:u w:val="none" w:color="auto"/>
          <w:lang w:eastAsia="zh-CN"/>
        </w:rPr>
        <w:t>、</w:t>
      </w:r>
      <w:r>
        <w:rPr>
          <w:rFonts w:hint="eastAsia" w:ascii="仿宋" w:hAnsi="仿宋" w:eastAsia="仿宋" w:cs="仿宋"/>
          <w:b/>
          <w:bCs/>
          <w:strike w:val="0"/>
          <w:dstrike w:val="0"/>
          <w:color w:val="auto"/>
          <w:spacing w:val="-3"/>
          <w:sz w:val="25"/>
          <w:szCs w:val="25"/>
          <w:highlight w:val="yellow"/>
          <w:u w:val="none" w:color="auto"/>
          <w:lang w:val="en-US" w:eastAsia="zh-CN"/>
        </w:rPr>
        <w:t>二次配管</w:t>
      </w:r>
      <w:r>
        <w:rPr>
          <w:rFonts w:hint="eastAsia" w:ascii="仿宋" w:hAnsi="仿宋" w:eastAsia="仿宋" w:cs="仿宋"/>
          <w:b/>
          <w:bCs/>
          <w:strike w:val="0"/>
          <w:dstrike w:val="0"/>
          <w:color w:val="auto"/>
          <w:spacing w:val="-3"/>
          <w:sz w:val="25"/>
          <w:szCs w:val="25"/>
          <w:highlight w:val="yellow"/>
          <w:u w:val="none" w:color="auto"/>
          <w:lang w:eastAsia="zh-CN"/>
        </w:rPr>
        <w:t>、</w:t>
      </w:r>
      <w:r>
        <w:rPr>
          <w:rFonts w:hint="eastAsia" w:ascii="仿宋" w:hAnsi="仿宋" w:eastAsia="仿宋" w:cs="仿宋"/>
          <w:b/>
          <w:bCs/>
          <w:strike w:val="0"/>
          <w:dstrike w:val="0"/>
          <w:color w:val="auto"/>
          <w:spacing w:val="-3"/>
          <w:sz w:val="25"/>
          <w:szCs w:val="25"/>
          <w:highlight w:val="yellow"/>
          <w:u w:val="none" w:color="auto"/>
          <w:lang w:val="en-US" w:eastAsia="zh-CN"/>
        </w:rPr>
        <w:t>电源放线，</w:t>
      </w:r>
      <w:r>
        <w:rPr>
          <w:rFonts w:hint="eastAsia" w:ascii="仿宋" w:hAnsi="仿宋" w:eastAsia="仿宋" w:cs="仿宋"/>
          <w:b/>
          <w:bCs/>
          <w:color w:val="auto"/>
          <w:spacing w:val="-3"/>
          <w:sz w:val="25"/>
          <w:szCs w:val="25"/>
          <w:highlight w:val="yellow"/>
          <w:u w:val="single" w:color="auto"/>
          <w:lang w:val="en-US" w:eastAsia="zh-CN"/>
        </w:rPr>
        <w:t>卫生间排气管道及设备、排油烟系统、防雨罩（若有）、风帽（若有）等普通风系统及附属设备安装及调试调整至消防专业分包界面内。</w:t>
      </w:r>
    </w:p>
    <w:p w14:paraId="38BBD94B">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（6）</w:t>
      </w:r>
      <w:r>
        <w:rPr>
          <w:rFonts w:hint="eastAsia" w:ascii="仿宋" w:hAnsi="仿宋" w:eastAsia="仿宋" w:cs="仿宋"/>
          <w:b/>
          <w:bCs/>
          <w:color w:val="auto"/>
          <w:spacing w:val="-3"/>
          <w:sz w:val="25"/>
          <w:szCs w:val="25"/>
          <w:u w:val="single" w:color="auto"/>
        </w:rPr>
        <w:t>弱电工程</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本系统所有</w:t>
      </w:r>
      <w:r>
        <w:rPr>
          <w:rFonts w:hint="eastAsia" w:ascii="仿宋" w:hAnsi="仿宋" w:eastAsia="仿宋" w:cs="仿宋"/>
          <w:b/>
          <w:bCs/>
          <w:color w:val="auto"/>
          <w:spacing w:val="-3"/>
          <w:sz w:val="25"/>
          <w:szCs w:val="25"/>
          <w:u w:val="single" w:color="auto"/>
        </w:rPr>
        <w:t>管线预留预埋，</w:t>
      </w:r>
      <w:r>
        <w:rPr>
          <w:rFonts w:hint="eastAsia" w:ascii="仿宋" w:hAnsi="仿宋" w:eastAsia="仿宋" w:cs="仿宋"/>
          <w:b/>
          <w:bCs/>
          <w:color w:val="auto"/>
          <w:spacing w:val="-3"/>
          <w:sz w:val="25"/>
          <w:szCs w:val="25"/>
          <w:u w:val="single" w:color="auto"/>
          <w:lang w:val="en-US" w:eastAsia="zh-CN"/>
        </w:rPr>
        <w:t>二次配管，管道引线</w:t>
      </w:r>
      <w:r>
        <w:rPr>
          <w:rFonts w:hint="eastAsia" w:ascii="仿宋" w:hAnsi="仿宋" w:eastAsia="仿宋" w:cs="仿宋"/>
          <w:b/>
          <w:bCs/>
          <w:color w:val="auto"/>
          <w:spacing w:val="-3"/>
          <w:sz w:val="25"/>
          <w:szCs w:val="25"/>
          <w:u w:val="single" w:color="auto"/>
        </w:rPr>
        <w:t>敷设</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弱电桥架及支吊架制作安装（含防火封堵及桥架加工）</w:t>
      </w:r>
      <w:r>
        <w:rPr>
          <w:rFonts w:hint="eastAsia" w:ascii="仿宋" w:hAnsi="仿宋" w:eastAsia="仿宋" w:cs="仿宋"/>
          <w:b/>
          <w:bCs/>
          <w:color w:val="auto"/>
          <w:spacing w:val="-3"/>
          <w:sz w:val="25"/>
          <w:szCs w:val="25"/>
          <w:u w:val="single" w:color="auto"/>
          <w:lang w:eastAsia="zh-CN"/>
        </w:rPr>
        <w:t>。</w:t>
      </w:r>
    </w:p>
    <w:p w14:paraId="13E35BBD">
      <w:pPr>
        <w:pStyle w:val="16"/>
        <w:spacing w:line="360" w:lineRule="auto"/>
        <w:ind w:firstLine="490" w:firstLineChars="200"/>
        <w:rPr>
          <w:rFonts w:hint="default" w:ascii="仿宋" w:hAnsi="仿宋" w:eastAsia="仿宋" w:cs="仿宋"/>
          <w:b/>
          <w:bCs/>
          <w:color w:val="auto"/>
          <w:spacing w:val="-3"/>
          <w:sz w:val="25"/>
          <w:szCs w:val="25"/>
          <w:u w:val="single" w:color="auto"/>
          <w:lang w:val="en-US"/>
        </w:rPr>
      </w:pPr>
      <w:r>
        <w:rPr>
          <w:rFonts w:hint="eastAsia" w:ascii="仿宋" w:hAnsi="仿宋" w:eastAsia="仿宋" w:cs="仿宋"/>
          <w:b/>
          <w:bCs/>
          <w:color w:val="auto"/>
          <w:spacing w:val="-3"/>
          <w:sz w:val="25"/>
          <w:szCs w:val="25"/>
          <w:u w:val="single" w:color="auto"/>
          <w:lang w:val="en-US" w:eastAsia="zh-CN"/>
        </w:rPr>
        <w:t>（7）</w:t>
      </w:r>
      <w:r>
        <w:rPr>
          <w:rFonts w:hint="eastAsia" w:ascii="仿宋" w:hAnsi="仿宋" w:eastAsia="仿宋" w:cs="仿宋"/>
          <w:b/>
          <w:bCs/>
          <w:color w:val="auto"/>
          <w:spacing w:val="-3"/>
          <w:sz w:val="25"/>
          <w:szCs w:val="25"/>
          <w:u w:val="single" w:color="auto"/>
        </w:rPr>
        <w:t>强电工程：从</w:t>
      </w:r>
      <w:r>
        <w:rPr>
          <w:rFonts w:hint="eastAsia" w:ascii="仿宋" w:hAnsi="仿宋" w:eastAsia="仿宋" w:cs="仿宋"/>
          <w:b/>
          <w:bCs/>
          <w:color w:val="auto"/>
          <w:spacing w:val="-3"/>
          <w:sz w:val="25"/>
          <w:szCs w:val="25"/>
          <w:u w:val="single" w:color="auto"/>
          <w:lang w:val="en-US" w:eastAsia="zh-CN"/>
        </w:rPr>
        <w:t>高低压配电房</w:t>
      </w:r>
      <w:r>
        <w:rPr>
          <w:rFonts w:hint="eastAsia" w:ascii="仿宋" w:hAnsi="仿宋" w:eastAsia="仿宋" w:cs="仿宋"/>
          <w:b/>
          <w:bCs/>
          <w:color w:val="auto"/>
          <w:spacing w:val="-3"/>
          <w:sz w:val="25"/>
          <w:szCs w:val="25"/>
          <w:u w:val="single" w:color="auto"/>
        </w:rPr>
        <w:t>低压出</w:t>
      </w:r>
      <w:r>
        <w:rPr>
          <w:rFonts w:hint="eastAsia" w:ascii="仿宋" w:hAnsi="仿宋" w:eastAsia="仿宋" w:cs="仿宋"/>
          <w:b/>
          <w:bCs/>
          <w:color w:val="0000FF"/>
          <w:spacing w:val="-3"/>
          <w:sz w:val="25"/>
          <w:szCs w:val="25"/>
          <w:u w:val="single" w:color="auto"/>
        </w:rPr>
        <w:t>线</w:t>
      </w:r>
      <w:r>
        <w:rPr>
          <w:rFonts w:hint="eastAsia" w:ascii="仿宋" w:hAnsi="仿宋" w:eastAsia="仿宋" w:cs="仿宋"/>
          <w:b/>
          <w:bCs/>
          <w:color w:val="0000FF"/>
          <w:spacing w:val="-3"/>
          <w:sz w:val="25"/>
          <w:szCs w:val="25"/>
          <w:u w:val="single" w:color="auto"/>
          <w:lang w:eastAsia="zh-CN"/>
        </w:rPr>
        <w:t>回路开关</w:t>
      </w:r>
      <w:r>
        <w:rPr>
          <w:rFonts w:hint="eastAsia" w:ascii="仿宋" w:hAnsi="仿宋" w:eastAsia="仿宋" w:cs="仿宋"/>
          <w:b/>
          <w:bCs/>
          <w:color w:val="0000FF"/>
          <w:spacing w:val="-3"/>
          <w:sz w:val="25"/>
          <w:szCs w:val="25"/>
          <w:u w:val="single" w:color="auto"/>
        </w:rPr>
        <w:t>端</w:t>
      </w:r>
      <w:r>
        <w:rPr>
          <w:rFonts w:hint="eastAsia" w:ascii="仿宋" w:hAnsi="仿宋" w:eastAsia="仿宋" w:cs="仿宋"/>
          <w:b/>
          <w:bCs/>
          <w:color w:val="auto"/>
          <w:spacing w:val="-3"/>
          <w:sz w:val="25"/>
          <w:szCs w:val="25"/>
          <w:u w:val="single" w:color="auto"/>
        </w:rPr>
        <w:t>开始至所有</w:t>
      </w:r>
      <w:r>
        <w:rPr>
          <w:rFonts w:hint="eastAsia" w:ascii="仿宋" w:hAnsi="仿宋" w:eastAsia="仿宋" w:cs="仿宋"/>
          <w:b/>
          <w:bCs/>
          <w:color w:val="0000FF"/>
          <w:spacing w:val="-3"/>
          <w:sz w:val="25"/>
          <w:szCs w:val="25"/>
          <w:u w:val="single" w:color="auto"/>
          <w:lang w:eastAsia="zh-CN"/>
        </w:rPr>
        <w:t>箱柜</w:t>
      </w:r>
      <w:r>
        <w:rPr>
          <w:rFonts w:hint="eastAsia" w:ascii="仿宋" w:hAnsi="仿宋" w:eastAsia="仿宋" w:cs="仿宋"/>
          <w:b/>
          <w:bCs/>
          <w:color w:val="auto"/>
          <w:spacing w:val="-3"/>
          <w:sz w:val="25"/>
          <w:szCs w:val="25"/>
          <w:u w:val="single" w:color="auto"/>
        </w:rPr>
        <w:t>设备</w:t>
      </w:r>
      <w:r>
        <w:rPr>
          <w:rFonts w:hint="eastAsia" w:ascii="仿宋" w:hAnsi="仿宋" w:eastAsia="仿宋" w:cs="仿宋"/>
          <w:b/>
          <w:bCs/>
          <w:color w:val="auto"/>
          <w:spacing w:val="-3"/>
          <w:sz w:val="25"/>
          <w:szCs w:val="25"/>
          <w:u w:val="single" w:color="auto"/>
          <w:lang w:eastAsia="zh-CN"/>
        </w:rPr>
        <w:t>至末端</w:t>
      </w:r>
      <w:r>
        <w:rPr>
          <w:rFonts w:hint="eastAsia" w:ascii="仿宋" w:hAnsi="仿宋" w:eastAsia="仿宋" w:cs="仿宋"/>
          <w:b/>
          <w:bCs/>
          <w:color w:val="auto"/>
          <w:spacing w:val="-3"/>
          <w:sz w:val="25"/>
          <w:szCs w:val="25"/>
          <w:u w:val="single" w:color="auto"/>
          <w:lang w:val="en-US" w:eastAsia="zh-CN"/>
        </w:rPr>
        <w:t>,</w:t>
      </w:r>
      <w:r>
        <w:rPr>
          <w:rFonts w:hint="eastAsia" w:ascii="仿宋" w:hAnsi="仿宋" w:eastAsia="仿宋" w:cs="仿宋"/>
          <w:b/>
          <w:bCs/>
          <w:color w:val="C0504D" w:themeColor="accent2"/>
          <w:spacing w:val="-3"/>
          <w:sz w:val="25"/>
          <w:szCs w:val="25"/>
          <w:u w:val="single" w:color="auto"/>
          <w:lang w:val="en-US" w:eastAsia="zh-CN"/>
          <w14:textFill>
            <w14:solidFill>
              <w14:schemeClr w14:val="accent2"/>
            </w14:solidFill>
          </w14:textFill>
        </w:rPr>
        <w:t>包含电缆穿越总坪区域到用电设备</w:t>
      </w:r>
      <w:r>
        <w:rPr>
          <w:rFonts w:hint="eastAsia" w:ascii="仿宋" w:hAnsi="仿宋" w:eastAsia="仿宋" w:cs="仿宋"/>
          <w:b/>
          <w:bCs/>
          <w:color w:val="auto"/>
          <w:spacing w:val="-3"/>
          <w:sz w:val="25"/>
          <w:szCs w:val="25"/>
          <w:u w:val="single" w:color="auto"/>
        </w:rPr>
        <w:t>（配电室高低配柜安装工程</w:t>
      </w:r>
      <w:r>
        <w:rPr>
          <w:rFonts w:hint="eastAsia" w:ascii="仿宋" w:hAnsi="仿宋" w:eastAsia="仿宋" w:cs="仿宋"/>
          <w:b/>
          <w:bCs/>
          <w:color w:val="auto"/>
          <w:spacing w:val="-3"/>
          <w:sz w:val="25"/>
          <w:szCs w:val="25"/>
          <w:u w:val="single" w:color="auto"/>
          <w:lang w:eastAsia="zh-CN"/>
        </w:rPr>
        <w:t>除外，</w:t>
      </w:r>
      <w:r>
        <w:rPr>
          <w:rFonts w:hint="eastAsia" w:ascii="仿宋" w:hAnsi="仿宋" w:eastAsia="仿宋" w:cs="仿宋"/>
          <w:b/>
          <w:bCs/>
          <w:color w:val="auto"/>
          <w:spacing w:val="-3"/>
          <w:sz w:val="25"/>
          <w:szCs w:val="25"/>
          <w:u w:val="single" w:color="auto"/>
        </w:rPr>
        <w:t>）【配合装修完成灯具、设备安装】。</w:t>
      </w:r>
      <w:r>
        <w:rPr>
          <w:rFonts w:hint="eastAsia" w:ascii="仿宋" w:hAnsi="仿宋" w:eastAsia="仿宋" w:cs="仿宋"/>
          <w:b/>
          <w:bCs/>
          <w:color w:val="auto"/>
          <w:spacing w:val="-3"/>
          <w:sz w:val="25"/>
          <w:szCs w:val="25"/>
          <w:u w:val="single" w:color="auto"/>
          <w:lang w:val="en-US" w:eastAsia="zh-CN"/>
        </w:rPr>
        <w:t>具体</w:t>
      </w:r>
      <w:r>
        <w:rPr>
          <w:rFonts w:hint="eastAsia" w:ascii="仿宋" w:hAnsi="仿宋" w:eastAsia="仿宋" w:cs="仿宋"/>
          <w:b/>
          <w:bCs/>
          <w:color w:val="auto"/>
          <w:spacing w:val="-3"/>
          <w:sz w:val="25"/>
          <w:szCs w:val="25"/>
          <w:u w:val="single" w:color="auto"/>
        </w:rPr>
        <w:t>内容：</w:t>
      </w:r>
      <w:r>
        <w:rPr>
          <w:rFonts w:hint="eastAsia" w:ascii="仿宋" w:hAnsi="仿宋" w:eastAsia="仿宋" w:cs="仿宋"/>
          <w:b/>
          <w:bCs/>
          <w:color w:val="auto"/>
          <w:spacing w:val="-3"/>
          <w:sz w:val="25"/>
          <w:szCs w:val="25"/>
          <w:u w:val="single" w:color="auto"/>
          <w:lang w:val="en-US" w:eastAsia="zh-CN"/>
        </w:rPr>
        <w:t>a、</w:t>
      </w:r>
      <w:r>
        <w:rPr>
          <w:rFonts w:hint="eastAsia" w:ascii="仿宋" w:hAnsi="仿宋" w:eastAsia="仿宋" w:cs="仿宋"/>
          <w:b/>
          <w:bCs/>
          <w:color w:val="auto"/>
          <w:spacing w:val="-3"/>
          <w:sz w:val="25"/>
          <w:szCs w:val="25"/>
          <w:u w:val="single" w:color="auto"/>
        </w:rPr>
        <w:t>电气</w:t>
      </w:r>
      <w:r>
        <w:rPr>
          <w:rFonts w:hint="eastAsia" w:ascii="仿宋" w:hAnsi="仿宋" w:eastAsia="仿宋" w:cs="仿宋"/>
          <w:b/>
          <w:bCs/>
          <w:color w:val="auto"/>
          <w:spacing w:val="-3"/>
          <w:sz w:val="25"/>
          <w:szCs w:val="25"/>
          <w:u w:val="single" w:color="auto"/>
          <w:lang w:val="en-US" w:eastAsia="zh-CN"/>
        </w:rPr>
        <w:t>分部分项工程</w:t>
      </w:r>
      <w:r>
        <w:rPr>
          <w:rFonts w:hint="eastAsia" w:ascii="仿宋" w:hAnsi="仿宋" w:eastAsia="仿宋" w:cs="仿宋"/>
          <w:b/>
          <w:bCs/>
          <w:color w:val="auto"/>
          <w:spacing w:val="-3"/>
          <w:sz w:val="25"/>
          <w:szCs w:val="25"/>
          <w:u w:val="single" w:color="auto"/>
        </w:rPr>
        <w:t>所有管线预留预埋、</w:t>
      </w:r>
      <w:r>
        <w:rPr>
          <w:rFonts w:hint="eastAsia" w:ascii="仿宋" w:hAnsi="仿宋" w:eastAsia="仿宋" w:cs="仿宋"/>
          <w:b/>
          <w:bCs/>
          <w:color w:val="auto"/>
          <w:spacing w:val="-3"/>
          <w:sz w:val="25"/>
          <w:szCs w:val="25"/>
          <w:u w:val="single" w:color="auto"/>
          <w:lang w:val="en-US" w:eastAsia="zh-CN"/>
        </w:rPr>
        <w:t>二次配</w:t>
      </w:r>
      <w:r>
        <w:rPr>
          <w:rFonts w:hint="eastAsia" w:ascii="仿宋" w:hAnsi="仿宋" w:eastAsia="仿宋" w:cs="仿宋"/>
          <w:b/>
          <w:bCs/>
          <w:color w:val="auto"/>
          <w:spacing w:val="-3"/>
          <w:sz w:val="25"/>
          <w:szCs w:val="25"/>
          <w:u w:val="single" w:color="auto"/>
        </w:rPr>
        <w:t>管</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b、强弱电</w:t>
      </w:r>
      <w:r>
        <w:rPr>
          <w:rFonts w:hint="eastAsia" w:ascii="仿宋" w:hAnsi="仿宋" w:eastAsia="仿宋" w:cs="仿宋"/>
          <w:b/>
          <w:bCs/>
          <w:color w:val="auto"/>
          <w:spacing w:val="-3"/>
          <w:sz w:val="25"/>
          <w:szCs w:val="25"/>
          <w:u w:val="single" w:color="auto"/>
        </w:rPr>
        <w:t>桥架安装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含消防桥架</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c、</w:t>
      </w:r>
      <w:r>
        <w:rPr>
          <w:rFonts w:hint="eastAsia" w:ascii="仿宋" w:hAnsi="仿宋" w:eastAsia="仿宋" w:cs="仿宋"/>
          <w:b/>
          <w:bCs/>
          <w:color w:val="auto"/>
          <w:spacing w:val="-3"/>
          <w:sz w:val="25"/>
          <w:szCs w:val="25"/>
          <w:highlight w:val="yellow"/>
          <w:u w:val="single" w:color="auto"/>
          <w:lang w:val="en-US" w:eastAsia="zh-CN"/>
        </w:rPr>
        <w:t>甲供配电</w:t>
      </w:r>
      <w:r>
        <w:rPr>
          <w:rFonts w:hint="eastAsia" w:ascii="仿宋" w:hAnsi="仿宋" w:eastAsia="仿宋" w:cs="仿宋"/>
          <w:b/>
          <w:bCs/>
          <w:color w:val="auto"/>
          <w:spacing w:val="-3"/>
          <w:sz w:val="25"/>
          <w:szCs w:val="25"/>
          <w:highlight w:val="yellow"/>
          <w:u w:val="single" w:color="auto"/>
        </w:rPr>
        <w:t>箱安装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不限于动力配电箱，</w:t>
      </w:r>
      <w:r>
        <w:rPr>
          <w:rFonts w:hint="eastAsia" w:ascii="仿宋" w:hAnsi="仿宋" w:eastAsia="仿宋" w:cs="仿宋"/>
          <w:b/>
          <w:bCs/>
          <w:color w:val="auto"/>
          <w:spacing w:val="-3"/>
          <w:sz w:val="25"/>
          <w:szCs w:val="25"/>
          <w:u w:val="single" w:color="auto"/>
        </w:rPr>
        <w:t>普通</w:t>
      </w:r>
      <w:r>
        <w:rPr>
          <w:rFonts w:hint="eastAsia" w:ascii="仿宋" w:hAnsi="仿宋" w:eastAsia="仿宋" w:cs="仿宋"/>
          <w:b/>
          <w:bCs/>
          <w:color w:val="0000FF"/>
          <w:spacing w:val="-3"/>
          <w:sz w:val="25"/>
          <w:szCs w:val="25"/>
          <w:u w:val="single" w:color="auto"/>
          <w:lang w:eastAsia="zh-CN"/>
        </w:rPr>
        <w:t>照明配电箱，</w:t>
      </w:r>
      <w:r>
        <w:rPr>
          <w:rFonts w:hint="eastAsia" w:ascii="仿宋" w:hAnsi="仿宋" w:eastAsia="仿宋" w:cs="仿宋"/>
          <w:b/>
          <w:bCs/>
          <w:color w:val="auto"/>
          <w:spacing w:val="-3"/>
          <w:sz w:val="25"/>
          <w:szCs w:val="25"/>
          <w:u w:val="single" w:color="auto"/>
        </w:rPr>
        <w:t>消防电源箱，</w:t>
      </w:r>
      <w:r>
        <w:rPr>
          <w:rFonts w:hint="eastAsia" w:ascii="仿宋" w:hAnsi="仿宋" w:eastAsia="仿宋" w:cs="仿宋"/>
          <w:b/>
          <w:bCs/>
          <w:color w:val="auto"/>
          <w:spacing w:val="-3"/>
          <w:sz w:val="25"/>
          <w:szCs w:val="25"/>
          <w:u w:val="single" w:color="auto"/>
          <w:lang w:val="en-US" w:eastAsia="zh-CN"/>
        </w:rPr>
        <w:t>弱电电源箱，</w:t>
      </w:r>
      <w:r>
        <w:rPr>
          <w:rFonts w:hint="eastAsia" w:ascii="仿宋" w:hAnsi="仿宋" w:eastAsia="仿宋" w:cs="仿宋"/>
          <w:b/>
          <w:bCs/>
          <w:color w:val="auto"/>
          <w:spacing w:val="-3"/>
          <w:sz w:val="25"/>
          <w:szCs w:val="25"/>
          <w:u w:val="single" w:color="auto"/>
        </w:rPr>
        <w:t>生活水泵电源箱，双电源柜，电梯电源箱，排污泵控制箱</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强排水泵控制箱</w:t>
      </w:r>
      <w:r>
        <w:rPr>
          <w:rFonts w:hint="eastAsia" w:ascii="仿宋" w:hAnsi="仿宋" w:eastAsia="仿宋" w:cs="仿宋"/>
          <w:b/>
          <w:bCs/>
          <w:color w:val="auto"/>
          <w:spacing w:val="-3"/>
          <w:sz w:val="25"/>
          <w:szCs w:val="25"/>
          <w:u w:val="single" w:color="auto"/>
          <w:lang w:val="en-US" w:eastAsia="zh-CN"/>
        </w:rPr>
        <w:t>等安装（电动排烟窗的电源施工至末端控制箱，不接电）</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d</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val="en-US" w:eastAsia="zh-CN"/>
        </w:rPr>
        <w:t>电线电缆敷设（从高低压配电房低压出线端开始至各楼栋设备灯具开关插座等，</w:t>
      </w:r>
      <w:r>
        <w:rPr>
          <w:rFonts w:hint="eastAsia" w:ascii="仿宋" w:hAnsi="仿宋" w:eastAsia="仿宋" w:cs="仿宋"/>
          <w:b/>
          <w:bCs/>
          <w:color w:val="auto"/>
          <w:spacing w:val="-3"/>
          <w:sz w:val="25"/>
          <w:szCs w:val="25"/>
          <w:highlight w:val="yellow"/>
          <w:u w:val="single" w:color="auto"/>
          <w:lang w:val="en-US" w:eastAsia="zh-CN"/>
        </w:rPr>
        <w:t>含消防应急照明箱、风机控制箱上端进线</w:t>
      </w:r>
      <w:r>
        <w:rPr>
          <w:rFonts w:hint="eastAsia" w:ascii="仿宋" w:hAnsi="仿宋" w:eastAsia="仿宋" w:cs="仿宋"/>
          <w:b/>
          <w:bCs/>
          <w:color w:val="auto"/>
          <w:spacing w:val="-3"/>
          <w:sz w:val="25"/>
          <w:szCs w:val="25"/>
          <w:u w:val="single" w:color="auto"/>
          <w:lang w:val="en-US" w:eastAsia="zh-CN"/>
        </w:rPr>
        <w:t>）、电缆压接、电线并线及烫锡；（消防及弱电类配电箱强电电缆线放至末端配电箱通电调试）；e</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val="en-US" w:eastAsia="zh-CN"/>
        </w:rPr>
        <w:t>不限于灯具、开关、插座、强排泵等设备安装；f</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val="en-US" w:eastAsia="zh-CN"/>
        </w:rPr>
        <w:t>电气各</w:t>
      </w:r>
      <w:r>
        <w:rPr>
          <w:rFonts w:hint="eastAsia" w:ascii="仿宋" w:hAnsi="仿宋" w:eastAsia="仿宋" w:cs="仿宋"/>
          <w:b/>
          <w:bCs/>
          <w:color w:val="auto"/>
          <w:spacing w:val="-3"/>
          <w:sz w:val="25"/>
          <w:szCs w:val="25"/>
          <w:u w:val="single" w:color="auto"/>
        </w:rPr>
        <w:t>系统负载试验、设备空载、超载试验、联动试验</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防火封堵</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配合精装修完成灯具等安装</w:t>
      </w:r>
      <w:r>
        <w:rPr>
          <w:rFonts w:hint="eastAsia" w:ascii="仿宋" w:hAnsi="仿宋" w:eastAsia="仿宋" w:cs="仿宋"/>
          <w:b/>
          <w:bCs/>
          <w:color w:val="auto"/>
          <w:spacing w:val="-3"/>
          <w:sz w:val="25"/>
          <w:szCs w:val="25"/>
          <w:u w:val="single" w:color="auto"/>
          <w:lang w:eastAsia="zh-CN"/>
        </w:rPr>
        <w:t>）；</w:t>
      </w:r>
    </w:p>
    <w:p w14:paraId="75280E07">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（8）</w:t>
      </w:r>
      <w:r>
        <w:rPr>
          <w:rFonts w:hint="eastAsia" w:ascii="仿宋" w:hAnsi="仿宋" w:eastAsia="仿宋" w:cs="仿宋"/>
          <w:b/>
          <w:bCs/>
          <w:color w:val="auto"/>
          <w:spacing w:val="-3"/>
          <w:sz w:val="25"/>
          <w:szCs w:val="25"/>
          <w:u w:val="single" w:color="auto"/>
        </w:rPr>
        <w:t>所有</w:t>
      </w:r>
      <w:r>
        <w:rPr>
          <w:rFonts w:hint="eastAsia" w:ascii="仿宋" w:hAnsi="仿宋" w:eastAsia="仿宋" w:cs="仿宋"/>
          <w:b/>
          <w:bCs/>
          <w:color w:val="FF0000"/>
          <w:spacing w:val="-3"/>
          <w:sz w:val="25"/>
          <w:szCs w:val="25"/>
          <w:u w:val="single" w:color="auto"/>
          <w:lang w:eastAsia="zh-CN"/>
        </w:rPr>
        <w:t>防雷及</w:t>
      </w:r>
      <w:r>
        <w:rPr>
          <w:rFonts w:hint="eastAsia" w:ascii="仿宋" w:hAnsi="仿宋" w:eastAsia="仿宋" w:cs="仿宋"/>
          <w:b/>
          <w:bCs/>
          <w:color w:val="auto"/>
          <w:spacing w:val="-3"/>
          <w:sz w:val="25"/>
          <w:szCs w:val="25"/>
          <w:u w:val="single" w:color="auto"/>
        </w:rPr>
        <w:t>接地工程，含</w:t>
      </w:r>
      <w:r>
        <w:rPr>
          <w:rFonts w:hint="eastAsia" w:ascii="仿宋" w:hAnsi="仿宋" w:eastAsia="仿宋" w:cs="仿宋"/>
          <w:b/>
          <w:bCs/>
          <w:color w:val="auto"/>
          <w:spacing w:val="-3"/>
          <w:sz w:val="25"/>
          <w:szCs w:val="25"/>
          <w:u w:val="single" w:color="auto"/>
          <w:lang w:val="en-US" w:eastAsia="zh-CN"/>
        </w:rPr>
        <w:t>高低压配电房</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eastAsia="zh-CN"/>
        </w:rPr>
        <w:t>消防控制室、</w:t>
      </w:r>
      <w:r>
        <w:rPr>
          <w:rFonts w:hint="eastAsia" w:ascii="仿宋" w:hAnsi="仿宋" w:eastAsia="仿宋" w:cs="仿宋"/>
          <w:b/>
          <w:bCs/>
          <w:color w:val="auto"/>
          <w:spacing w:val="-3"/>
          <w:sz w:val="25"/>
          <w:szCs w:val="25"/>
          <w:u w:val="single" w:color="auto"/>
          <w:lang w:val="en-US" w:eastAsia="zh-CN"/>
        </w:rPr>
        <w:t>强弱电井</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弱电机房，消防水泵房，风机房等所有设备机房及管道井，配电箱柜接地工程施工；防雷接地系统的测试与验收</w:t>
      </w:r>
      <w:r>
        <w:rPr>
          <w:rFonts w:hint="eastAsia" w:ascii="仿宋" w:hAnsi="仿宋" w:eastAsia="仿宋" w:cs="仿宋"/>
          <w:b/>
          <w:bCs/>
          <w:color w:val="auto"/>
          <w:spacing w:val="-3"/>
          <w:sz w:val="25"/>
          <w:szCs w:val="25"/>
          <w:u w:val="single" w:color="auto"/>
          <w:lang w:val="en-US" w:eastAsia="zh-CN"/>
        </w:rPr>
        <w:t>必须合格</w:t>
      </w:r>
      <w:r>
        <w:rPr>
          <w:rFonts w:hint="eastAsia" w:ascii="仿宋" w:hAnsi="仿宋" w:eastAsia="仿宋" w:cs="仿宋"/>
          <w:b/>
          <w:bCs/>
          <w:color w:val="auto"/>
          <w:spacing w:val="-3"/>
          <w:sz w:val="25"/>
          <w:szCs w:val="25"/>
          <w:u w:val="single" w:color="auto"/>
          <w:lang w:eastAsia="zh-CN"/>
        </w:rPr>
        <w:t>；</w:t>
      </w:r>
    </w:p>
    <w:p w14:paraId="7615C2CB">
      <w:pPr>
        <w:pStyle w:val="16"/>
        <w:spacing w:line="360" w:lineRule="auto"/>
        <w:ind w:firstLine="490" w:firstLineChars="200"/>
        <w:rPr>
          <w:rFonts w:hint="default"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（9）所有系统（在水电施工图范围内）在总平检查井接入室内管道的土方开挖及回填洞口封堵夯实，管道安装。</w:t>
      </w:r>
    </w:p>
    <w:p w14:paraId="20D25BA9">
      <w:pPr>
        <w:pStyle w:val="16"/>
        <w:spacing w:line="360" w:lineRule="auto"/>
        <w:ind w:firstLine="490" w:firstLineChars="200"/>
        <w:rPr>
          <w:rFonts w:hint="eastAsia" w:ascii="仿宋" w:hAnsi="仿宋" w:eastAsia="仿宋" w:cs="仿宋"/>
          <w:b/>
          <w:bCs/>
          <w:color w:val="auto"/>
          <w:spacing w:val="-3"/>
          <w:sz w:val="25"/>
          <w:szCs w:val="25"/>
          <w:u w:val="single" w:color="auto"/>
        </w:rPr>
      </w:pPr>
      <w:r>
        <w:rPr>
          <w:rFonts w:hint="eastAsia" w:ascii="仿宋" w:hAnsi="仿宋" w:eastAsia="仿宋" w:cs="仿宋"/>
          <w:b/>
          <w:bCs/>
          <w:color w:val="auto"/>
          <w:spacing w:val="-3"/>
          <w:sz w:val="25"/>
          <w:szCs w:val="25"/>
          <w:u w:val="single" w:color="auto"/>
          <w:lang w:val="en-US" w:eastAsia="zh-CN"/>
        </w:rPr>
        <w:t>（10）</w:t>
      </w:r>
      <w:r>
        <w:rPr>
          <w:rFonts w:hint="eastAsia" w:ascii="仿宋" w:hAnsi="仿宋" w:eastAsia="仿宋" w:cs="仿宋"/>
          <w:b/>
          <w:bCs/>
          <w:color w:val="auto"/>
          <w:spacing w:val="-3"/>
          <w:sz w:val="25"/>
          <w:szCs w:val="25"/>
          <w:u w:val="single" w:color="auto"/>
        </w:rPr>
        <w:t>施工材料范围：给排水管及配件、PVC线管及配件、SC</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JDG等</w:t>
      </w:r>
      <w:r>
        <w:rPr>
          <w:rFonts w:hint="eastAsia" w:ascii="仿宋" w:hAnsi="仿宋" w:eastAsia="仿宋" w:cs="仿宋"/>
          <w:b/>
          <w:bCs/>
          <w:color w:val="auto"/>
          <w:spacing w:val="-3"/>
          <w:sz w:val="25"/>
          <w:szCs w:val="25"/>
          <w:u w:val="single" w:color="auto"/>
        </w:rPr>
        <w:t>管</w:t>
      </w:r>
      <w:r>
        <w:rPr>
          <w:rFonts w:hint="eastAsia" w:ascii="仿宋" w:hAnsi="仿宋" w:eastAsia="仿宋" w:cs="仿宋"/>
          <w:b/>
          <w:bCs/>
          <w:color w:val="auto"/>
          <w:spacing w:val="-3"/>
          <w:sz w:val="25"/>
          <w:szCs w:val="25"/>
          <w:u w:val="single" w:color="auto"/>
          <w:lang w:eastAsia="zh-CN"/>
        </w:rPr>
        <w:t>材</w:t>
      </w:r>
      <w:r>
        <w:rPr>
          <w:rFonts w:hint="eastAsia" w:ascii="仿宋" w:hAnsi="仿宋" w:eastAsia="仿宋" w:cs="仿宋"/>
          <w:b/>
          <w:bCs/>
          <w:color w:val="auto"/>
          <w:spacing w:val="-3"/>
          <w:sz w:val="25"/>
          <w:szCs w:val="25"/>
          <w:u w:val="single" w:color="auto"/>
        </w:rPr>
        <w:t>及配件、电线电缆、配电箱、线鼻子、桥架、圆钢、角钢、扁铁、五金件、洁具</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FF0000"/>
          <w:spacing w:val="-3"/>
          <w:sz w:val="25"/>
          <w:szCs w:val="25"/>
          <w:u w:val="single" w:color="auto"/>
          <w:lang w:eastAsia="zh-CN"/>
        </w:rPr>
        <w:t>灯具、水泵</w:t>
      </w:r>
      <w:r>
        <w:rPr>
          <w:rFonts w:hint="eastAsia" w:ascii="仿宋" w:hAnsi="仿宋" w:eastAsia="仿宋" w:cs="仿宋"/>
          <w:b/>
          <w:bCs/>
          <w:color w:val="FF0000"/>
          <w:spacing w:val="-3"/>
          <w:sz w:val="25"/>
          <w:szCs w:val="25"/>
          <w:u w:val="single" w:color="auto"/>
        </w:rPr>
        <w:t>等</w:t>
      </w:r>
      <w:r>
        <w:rPr>
          <w:rFonts w:hint="eastAsia" w:ascii="仿宋" w:hAnsi="仿宋" w:eastAsia="仿宋" w:cs="仿宋"/>
          <w:b/>
          <w:bCs/>
          <w:color w:val="auto"/>
          <w:spacing w:val="-3"/>
          <w:sz w:val="25"/>
          <w:szCs w:val="25"/>
          <w:u w:val="single" w:color="auto"/>
        </w:rPr>
        <w:t>由甲方统一提供，</w:t>
      </w:r>
      <w:r>
        <w:rPr>
          <w:rFonts w:hint="eastAsia" w:ascii="仿宋" w:hAnsi="仿宋" w:eastAsia="仿宋" w:cs="仿宋"/>
          <w:b/>
          <w:bCs/>
          <w:color w:val="auto"/>
          <w:spacing w:val="-3"/>
          <w:sz w:val="25"/>
          <w:szCs w:val="25"/>
          <w:u w:val="single" w:color="auto"/>
          <w:lang w:val="en-US" w:eastAsia="zh-CN"/>
        </w:rPr>
        <w:t>所有其它材料由乙方采买</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甲供材料采取限额领取方式，工程完成后乙方使用的耗用量超过定额用量，超过部分产生的材料费用</w:t>
      </w:r>
      <w:r>
        <w:rPr>
          <w:rFonts w:hint="eastAsia" w:ascii="仿宋" w:hAnsi="仿宋" w:eastAsia="仿宋" w:cs="仿宋"/>
          <w:b/>
          <w:bCs/>
          <w:color w:val="auto"/>
          <w:spacing w:val="-3"/>
          <w:sz w:val="25"/>
          <w:szCs w:val="25"/>
          <w:u w:val="single" w:color="auto"/>
          <w:lang w:val="en-US" w:eastAsia="zh-CN"/>
        </w:rPr>
        <w:t>按合同条款约定</w:t>
      </w:r>
      <w:r>
        <w:rPr>
          <w:rFonts w:hint="eastAsia" w:ascii="仿宋" w:hAnsi="仿宋" w:eastAsia="仿宋" w:cs="仿宋"/>
          <w:b/>
          <w:bCs/>
          <w:color w:val="auto"/>
          <w:spacing w:val="-3"/>
          <w:sz w:val="25"/>
          <w:szCs w:val="25"/>
          <w:u w:val="single" w:color="auto"/>
        </w:rPr>
        <w:t>从工程款中扣除。</w:t>
      </w:r>
    </w:p>
    <w:p w14:paraId="37EE4A58">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（11）</w:t>
      </w:r>
      <w:r>
        <w:rPr>
          <w:rFonts w:hint="eastAsia" w:ascii="仿宋" w:hAnsi="仿宋" w:eastAsia="仿宋" w:cs="仿宋"/>
          <w:b/>
          <w:bCs/>
          <w:color w:val="auto"/>
          <w:spacing w:val="-3"/>
          <w:sz w:val="25"/>
          <w:szCs w:val="25"/>
          <w:u w:val="single" w:color="auto"/>
        </w:rPr>
        <w:t>施工机具范围：甲方不提供任何机具</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乙方自行提供与工程有关的</w:t>
      </w:r>
      <w:r>
        <w:rPr>
          <w:rFonts w:hint="eastAsia" w:ascii="仿宋" w:hAnsi="仿宋" w:eastAsia="仿宋" w:cs="仿宋"/>
          <w:b/>
          <w:bCs/>
          <w:color w:val="auto"/>
          <w:spacing w:val="-3"/>
          <w:sz w:val="25"/>
          <w:szCs w:val="25"/>
          <w:u w:val="single" w:color="auto"/>
          <w:lang w:val="en-US" w:eastAsia="zh-CN"/>
        </w:rPr>
        <w:t>所有</w:t>
      </w:r>
      <w:r>
        <w:rPr>
          <w:rFonts w:hint="eastAsia" w:ascii="仿宋" w:hAnsi="仿宋" w:eastAsia="仿宋" w:cs="仿宋"/>
          <w:b/>
          <w:bCs/>
          <w:color w:val="auto"/>
          <w:spacing w:val="-3"/>
          <w:sz w:val="25"/>
          <w:szCs w:val="25"/>
          <w:u w:val="single" w:color="auto"/>
        </w:rPr>
        <w:t>施工机具。包含但不限于电锤、电钻、开孔器、套丝机、焊机、电熔机、电缆放线架、滚轮及其它配件、水平尺、钳子、改刀、扳手、手锤、錾子、摇表、地阻仪、安全带、安全绳、PP-R热熔器、PP-R剪刀、锯弓、锯条、卷尺、切割机、切割片、砂轮机、砂轮片、喷灯、电炉等安装工程所需施工机具及设备。</w:t>
      </w:r>
    </w:p>
    <w:p w14:paraId="7DA708A2">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（12）</w:t>
      </w:r>
      <w:r>
        <w:rPr>
          <w:rFonts w:hint="eastAsia" w:ascii="仿宋" w:hAnsi="仿宋" w:eastAsia="仿宋" w:cs="仿宋"/>
          <w:b/>
          <w:bCs/>
          <w:color w:val="auto"/>
          <w:spacing w:val="-3"/>
          <w:sz w:val="25"/>
          <w:szCs w:val="25"/>
          <w:u w:val="single" w:color="auto"/>
        </w:rPr>
        <w:t>临电工程：</w:t>
      </w:r>
      <w:r>
        <w:rPr>
          <w:rFonts w:hint="eastAsia" w:ascii="仿宋" w:hAnsi="仿宋" w:eastAsia="仿宋" w:cs="仿宋"/>
          <w:b/>
          <w:bCs/>
          <w:color w:val="auto"/>
          <w:spacing w:val="-3"/>
          <w:sz w:val="25"/>
          <w:szCs w:val="25"/>
          <w:highlight w:val="yellow"/>
          <w:u w:val="single" w:color="auto"/>
        </w:rPr>
        <w:t>生活区与施工区临</w:t>
      </w:r>
      <w:r>
        <w:rPr>
          <w:rFonts w:hint="eastAsia" w:ascii="仿宋" w:hAnsi="仿宋" w:eastAsia="仿宋" w:cs="仿宋"/>
          <w:b/>
          <w:bCs/>
          <w:color w:val="auto"/>
          <w:spacing w:val="-3"/>
          <w:sz w:val="25"/>
          <w:szCs w:val="25"/>
          <w:highlight w:val="yellow"/>
          <w:u w:val="single" w:color="auto"/>
          <w:lang w:val="en-US" w:eastAsia="zh-CN"/>
        </w:rPr>
        <w:t>时</w:t>
      </w:r>
      <w:r>
        <w:rPr>
          <w:rFonts w:hint="eastAsia" w:ascii="仿宋" w:hAnsi="仿宋" w:eastAsia="仿宋" w:cs="仿宋"/>
          <w:b/>
          <w:bCs/>
          <w:color w:val="auto"/>
          <w:spacing w:val="-3"/>
          <w:sz w:val="25"/>
          <w:szCs w:val="25"/>
          <w:highlight w:val="yellow"/>
          <w:u w:val="single" w:color="auto"/>
        </w:rPr>
        <w:t>电安装，含强电</w:t>
      </w:r>
      <w:r>
        <w:rPr>
          <w:rFonts w:hint="eastAsia" w:ascii="仿宋" w:hAnsi="仿宋" w:eastAsia="仿宋" w:cs="仿宋"/>
          <w:b/>
          <w:bCs/>
          <w:color w:val="auto"/>
          <w:spacing w:val="-3"/>
          <w:sz w:val="25"/>
          <w:szCs w:val="25"/>
          <w:highlight w:val="yellow"/>
          <w:u w:val="single" w:color="auto"/>
          <w:lang w:val="en-US" w:eastAsia="zh-CN"/>
        </w:rPr>
        <w:t>用电点位的</w:t>
      </w:r>
      <w:r>
        <w:rPr>
          <w:rFonts w:hint="eastAsia" w:ascii="仿宋" w:hAnsi="仿宋" w:eastAsia="仿宋" w:cs="仿宋"/>
          <w:b/>
          <w:bCs/>
          <w:color w:val="auto"/>
          <w:spacing w:val="-3"/>
          <w:sz w:val="25"/>
          <w:szCs w:val="25"/>
          <w:highlight w:val="yellow"/>
          <w:u w:val="single" w:color="auto"/>
        </w:rPr>
        <w:t>管线敷设</w:t>
      </w:r>
      <w:r>
        <w:rPr>
          <w:rFonts w:hint="eastAsia" w:ascii="仿宋" w:hAnsi="仿宋" w:eastAsia="仿宋" w:cs="仿宋"/>
          <w:b/>
          <w:bCs/>
          <w:color w:val="auto"/>
          <w:spacing w:val="-3"/>
          <w:sz w:val="25"/>
          <w:szCs w:val="25"/>
          <w:u w:val="single" w:color="auto"/>
        </w:rPr>
        <w:t>与附件、设备安装与运行维护工作，包括根据工程进度进行临时电管线、箱柜的移改</w:t>
      </w:r>
      <w:r>
        <w:rPr>
          <w:rFonts w:hint="eastAsia" w:ascii="仿宋" w:hAnsi="仿宋" w:eastAsia="仿宋" w:cs="仿宋"/>
          <w:b/>
          <w:bCs/>
          <w:color w:val="auto"/>
          <w:spacing w:val="-3"/>
          <w:sz w:val="25"/>
          <w:szCs w:val="25"/>
          <w:u w:val="single" w:color="auto"/>
          <w:lang w:eastAsia="zh-CN"/>
        </w:rPr>
        <w:t>，现场用电设备接线</w:t>
      </w:r>
      <w:r>
        <w:rPr>
          <w:rFonts w:hint="eastAsia" w:ascii="仿宋" w:hAnsi="仿宋" w:eastAsia="仿宋" w:cs="仿宋"/>
          <w:b/>
          <w:bCs/>
          <w:color w:val="0000FF"/>
          <w:spacing w:val="-3"/>
          <w:sz w:val="25"/>
          <w:szCs w:val="25"/>
          <w:u w:val="single" w:color="auto"/>
          <w:lang w:eastAsia="zh-CN"/>
        </w:rPr>
        <w:t>维护</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不含监控、扬尘监测、门禁人脸识别等弱电系统</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0000FF"/>
          <w:spacing w:val="-3"/>
          <w:sz w:val="25"/>
          <w:szCs w:val="25"/>
          <w:u w:val="single" w:color="auto"/>
          <w:lang w:eastAsia="zh-CN"/>
        </w:rPr>
        <w:t>箱变至二级配电柜甲方安装，乙方维护，二级柜出线后的所有施工用电线电缆配电箱等乙方负责安装，线路电缆及配电箱由各分包单位自行购买</w:t>
      </w:r>
      <w:r>
        <w:rPr>
          <w:rFonts w:hint="eastAsia" w:ascii="仿宋" w:hAnsi="仿宋" w:eastAsia="仿宋" w:cs="仿宋"/>
          <w:b/>
          <w:bCs/>
          <w:color w:val="auto"/>
          <w:spacing w:val="-3"/>
          <w:sz w:val="25"/>
          <w:szCs w:val="25"/>
          <w:u w:val="single" w:color="auto"/>
          <w:lang w:val="en-US" w:eastAsia="zh-CN"/>
        </w:rPr>
        <w:t>，临时用水泵房、施工大门等，各楼栋临时照明安装，分包单位需配备至少一名专职电工负责</w:t>
      </w:r>
      <w:r>
        <w:rPr>
          <w:rFonts w:hint="eastAsia" w:ascii="仿宋" w:hAnsi="仿宋" w:eastAsia="仿宋" w:cs="仿宋"/>
          <w:b/>
          <w:bCs/>
          <w:color w:val="auto"/>
          <w:spacing w:val="-3"/>
          <w:sz w:val="25"/>
          <w:szCs w:val="25"/>
          <w:u w:val="single" w:color="auto"/>
        </w:rPr>
        <w:t>履行</w:t>
      </w:r>
      <w:r>
        <w:rPr>
          <w:rFonts w:hint="eastAsia" w:ascii="仿宋" w:hAnsi="仿宋" w:eastAsia="仿宋" w:cs="仿宋"/>
          <w:b/>
          <w:bCs/>
          <w:color w:val="auto"/>
          <w:spacing w:val="-3"/>
          <w:sz w:val="25"/>
          <w:szCs w:val="25"/>
          <w:u w:val="single" w:color="auto"/>
          <w:lang w:val="en-US" w:eastAsia="zh-CN"/>
        </w:rPr>
        <w:t>不限于</w:t>
      </w:r>
      <w:r>
        <w:rPr>
          <w:rFonts w:hint="eastAsia" w:ascii="仿宋" w:hAnsi="仿宋" w:eastAsia="仿宋" w:cs="仿宋"/>
          <w:b/>
          <w:bCs/>
          <w:color w:val="auto"/>
          <w:spacing w:val="-3"/>
          <w:sz w:val="25"/>
          <w:szCs w:val="25"/>
          <w:u w:val="single" w:color="auto"/>
        </w:rPr>
        <w:t>巡视、接线、维修、</w:t>
      </w:r>
      <w:r>
        <w:rPr>
          <w:rFonts w:hint="eastAsia" w:ascii="仿宋" w:hAnsi="仿宋" w:eastAsia="仿宋" w:cs="仿宋"/>
          <w:b/>
          <w:bCs/>
          <w:color w:val="auto"/>
          <w:spacing w:val="-3"/>
          <w:sz w:val="25"/>
          <w:szCs w:val="25"/>
          <w:u w:val="single" w:color="auto"/>
          <w:lang w:val="en-US" w:eastAsia="zh-CN"/>
        </w:rPr>
        <w:t>各分包单位</w:t>
      </w:r>
      <w:r>
        <w:rPr>
          <w:rFonts w:hint="eastAsia" w:ascii="仿宋" w:hAnsi="仿宋" w:eastAsia="仿宋" w:cs="仿宋"/>
          <w:b/>
          <w:bCs/>
          <w:color w:val="auto"/>
          <w:spacing w:val="-3"/>
          <w:sz w:val="25"/>
          <w:szCs w:val="25"/>
          <w:u w:val="single" w:color="auto"/>
        </w:rPr>
        <w:t>计量表</w:t>
      </w:r>
      <w:r>
        <w:rPr>
          <w:rFonts w:hint="eastAsia" w:ascii="仿宋" w:hAnsi="仿宋" w:eastAsia="仿宋" w:cs="仿宋"/>
          <w:b/>
          <w:bCs/>
          <w:color w:val="auto"/>
          <w:spacing w:val="-3"/>
          <w:sz w:val="25"/>
          <w:szCs w:val="25"/>
          <w:u w:val="single" w:color="auto"/>
          <w:lang w:val="en-US" w:eastAsia="zh-CN"/>
        </w:rPr>
        <w:t>计量</w:t>
      </w:r>
      <w:r>
        <w:rPr>
          <w:rFonts w:hint="eastAsia" w:ascii="仿宋" w:hAnsi="仿宋" w:eastAsia="仿宋" w:cs="仿宋"/>
          <w:b/>
          <w:bCs/>
          <w:color w:val="auto"/>
          <w:spacing w:val="-3"/>
          <w:sz w:val="25"/>
          <w:szCs w:val="25"/>
          <w:u w:val="single" w:color="auto"/>
        </w:rPr>
        <w:t>等工作</w:t>
      </w:r>
      <w:r>
        <w:rPr>
          <w:rFonts w:hint="eastAsia" w:ascii="仿宋" w:hAnsi="仿宋" w:eastAsia="仿宋" w:cs="仿宋"/>
          <w:b/>
          <w:bCs/>
          <w:color w:val="auto"/>
          <w:spacing w:val="-3"/>
          <w:sz w:val="25"/>
          <w:szCs w:val="25"/>
          <w:u w:val="single" w:color="auto"/>
          <w:lang w:eastAsia="zh-CN"/>
        </w:rPr>
        <w:t>。</w:t>
      </w:r>
    </w:p>
    <w:p w14:paraId="2533578C">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（13）临水临消工程：不限于从临时水泵房（含泵房设备安装）至各临时用水点管网安装及维修工作，</w:t>
      </w:r>
      <w:r>
        <w:rPr>
          <w:rFonts w:hint="eastAsia" w:ascii="仿宋" w:hAnsi="仿宋" w:eastAsia="仿宋" w:cs="仿宋"/>
          <w:b/>
          <w:bCs/>
          <w:color w:val="auto"/>
          <w:spacing w:val="-3"/>
          <w:sz w:val="25"/>
          <w:szCs w:val="25"/>
          <w:highlight w:val="yellow"/>
          <w:u w:val="single" w:color="auto"/>
          <w:lang w:val="en-US" w:eastAsia="zh-CN"/>
        </w:rPr>
        <w:t>含结合消防水的进水接驳，</w:t>
      </w:r>
      <w:r>
        <w:rPr>
          <w:rFonts w:hint="eastAsia" w:ascii="仿宋" w:hAnsi="仿宋" w:eastAsia="仿宋" w:cs="仿宋"/>
          <w:b/>
          <w:bCs/>
          <w:color w:val="auto"/>
          <w:spacing w:val="-3"/>
          <w:sz w:val="25"/>
          <w:szCs w:val="25"/>
          <w:highlight w:val="none"/>
          <w:u w:val="single" w:color="auto"/>
          <w:lang w:val="en-US" w:eastAsia="zh-CN"/>
        </w:rPr>
        <w:t>临时消防箱的安装调试</w:t>
      </w:r>
      <w:r>
        <w:rPr>
          <w:rFonts w:hint="eastAsia" w:ascii="仿宋" w:hAnsi="仿宋" w:eastAsia="仿宋" w:cs="仿宋"/>
          <w:b/>
          <w:bCs/>
          <w:color w:val="auto"/>
          <w:spacing w:val="-3"/>
          <w:sz w:val="25"/>
          <w:szCs w:val="25"/>
          <w:u w:val="single" w:color="auto"/>
          <w:lang w:val="en-US" w:eastAsia="zh-CN"/>
        </w:rPr>
        <w:t>围栏喷雾及雾炮机等设备安装等工作；</w:t>
      </w:r>
    </w:p>
    <w:p w14:paraId="771F26EB">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（14）消防工程：本系统所有</w:t>
      </w:r>
      <w:r>
        <w:rPr>
          <w:rFonts w:hint="eastAsia" w:ascii="仿宋" w:hAnsi="仿宋" w:eastAsia="仿宋" w:cs="仿宋"/>
          <w:b/>
          <w:bCs/>
          <w:color w:val="0000FF"/>
          <w:spacing w:val="-3"/>
          <w:sz w:val="25"/>
          <w:szCs w:val="25"/>
          <w:u w:val="single" w:color="auto"/>
        </w:rPr>
        <w:t>管线</w:t>
      </w:r>
      <w:r>
        <w:rPr>
          <w:rFonts w:hint="eastAsia" w:ascii="仿宋" w:hAnsi="仿宋" w:eastAsia="仿宋" w:cs="仿宋"/>
          <w:b/>
          <w:bCs/>
          <w:color w:val="0000FF"/>
          <w:spacing w:val="-3"/>
          <w:sz w:val="25"/>
          <w:szCs w:val="25"/>
          <w:u w:val="single" w:color="auto"/>
          <w:lang w:eastAsia="zh-CN"/>
        </w:rPr>
        <w:t>、洞口、套管</w:t>
      </w:r>
      <w:r>
        <w:rPr>
          <w:rFonts w:hint="eastAsia" w:ascii="仿宋" w:hAnsi="仿宋" w:eastAsia="仿宋" w:cs="仿宋"/>
          <w:b/>
          <w:bCs/>
          <w:color w:val="auto"/>
          <w:spacing w:val="-3"/>
          <w:sz w:val="25"/>
          <w:szCs w:val="25"/>
          <w:u w:val="single" w:color="auto"/>
        </w:rPr>
        <w:t>预留预埋</w:t>
      </w:r>
      <w:r>
        <w:rPr>
          <w:rFonts w:hint="eastAsia" w:ascii="仿宋" w:hAnsi="仿宋" w:eastAsia="仿宋" w:cs="仿宋"/>
          <w:b/>
          <w:bCs/>
          <w:color w:val="auto"/>
          <w:spacing w:val="-3"/>
          <w:sz w:val="25"/>
          <w:szCs w:val="25"/>
          <w:u w:val="single" w:color="auto"/>
          <w:lang w:eastAsia="zh-CN"/>
        </w:rPr>
        <w:t>。</w:t>
      </w:r>
    </w:p>
    <w:p w14:paraId="69A6BEF1">
      <w:pPr>
        <w:pStyle w:val="16"/>
        <w:spacing w:line="360" w:lineRule="auto"/>
        <w:ind w:firstLine="490" w:firstLineChars="200"/>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b/>
          <w:bCs/>
          <w:color w:val="auto"/>
          <w:spacing w:val="-3"/>
          <w:sz w:val="25"/>
          <w:szCs w:val="25"/>
          <w:u w:val="single" w:color="auto"/>
        </w:rPr>
        <w:t>上述工程项目包括但不限于以下内容：</w:t>
      </w:r>
      <w:r>
        <w:rPr>
          <w:rFonts w:hint="eastAsia" w:ascii="仿宋" w:hAnsi="仿宋" w:eastAsia="仿宋" w:cs="仿宋"/>
          <w:b/>
          <w:bCs/>
          <w:color w:val="FF0000"/>
          <w:spacing w:val="-3"/>
          <w:sz w:val="25"/>
          <w:szCs w:val="25"/>
          <w:u w:val="single" w:color="auto"/>
          <w:lang w:eastAsia="zh-CN"/>
        </w:rPr>
        <w:t>本工程施工图</w:t>
      </w:r>
      <w:r>
        <w:rPr>
          <w:rFonts w:hint="eastAsia" w:ascii="仿宋" w:hAnsi="仿宋" w:eastAsia="仿宋" w:cs="仿宋"/>
          <w:b/>
          <w:bCs/>
          <w:color w:val="auto"/>
          <w:spacing w:val="-3"/>
          <w:sz w:val="25"/>
          <w:szCs w:val="25"/>
          <w:u w:val="single" w:color="auto"/>
        </w:rPr>
        <w:t>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w:t>
      </w:r>
      <w:r>
        <w:rPr>
          <w:rFonts w:hint="eastAsia" w:ascii="仿宋" w:hAnsi="仿宋" w:eastAsia="仿宋" w:cs="仿宋"/>
          <w:b/>
          <w:bCs/>
          <w:color w:val="FF0000"/>
          <w:spacing w:val="-3"/>
          <w:sz w:val="25"/>
          <w:szCs w:val="25"/>
          <w:u w:val="single" w:color="auto"/>
          <w:lang w:eastAsia="zh-CN"/>
        </w:rPr>
        <w:t>（包含甲供材料、设备的下车、二次搬运）</w:t>
      </w:r>
      <w:r>
        <w:rPr>
          <w:rFonts w:hint="eastAsia" w:ascii="仿宋" w:hAnsi="仿宋" w:eastAsia="仿宋" w:cs="仿宋"/>
          <w:b/>
          <w:bCs/>
          <w:color w:val="auto"/>
          <w:spacing w:val="-3"/>
          <w:sz w:val="25"/>
          <w:szCs w:val="25"/>
          <w:u w:val="single" w:color="auto"/>
        </w:rPr>
        <w:t>。</w:t>
      </w:r>
    </w:p>
    <w:p w14:paraId="132F0CAA">
      <w:pPr>
        <w:pStyle w:val="16"/>
        <w:spacing w:line="360" w:lineRule="auto"/>
        <w:ind w:firstLine="444" w:firstLineChars="200"/>
        <w:outlineLvl w:val="1"/>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、标准化施工</w:t>
      </w:r>
    </w:p>
    <w:p w14:paraId="3BF57A4F">
      <w:pPr>
        <w:pStyle w:val="16"/>
        <w:spacing w:line="360" w:lineRule="auto"/>
        <w:ind w:firstLine="444" w:firstLineChars="200"/>
        <w:rPr>
          <w:rFonts w:hint="default" w:ascii="仿宋" w:hAnsi="仿宋" w:eastAsia="仿宋" w:cs="仿宋"/>
          <w:b w:val="0"/>
          <w:bCs w:val="0"/>
          <w:snapToGrid w:val="0"/>
          <w:color w:val="auto"/>
          <w:spacing w:val="-14"/>
          <w:kern w:val="0"/>
          <w:sz w:val="25"/>
          <w:szCs w:val="25"/>
          <w:highlight w:val="none"/>
          <w:u w:val="single"/>
          <w:lang w:val="en-US" w:eastAsia="en-US" w:bidi="ar-SA"/>
        </w:rPr>
      </w:pPr>
      <w:r>
        <w:rPr>
          <w:rFonts w:hint="default" w:ascii="仿宋" w:hAnsi="仿宋" w:eastAsia="仿宋" w:cs="仿宋"/>
          <w:b w:val="0"/>
          <w:bCs w:val="0"/>
          <w:snapToGrid w:val="0"/>
          <w:color w:val="auto"/>
          <w:spacing w:val="-14"/>
          <w:kern w:val="0"/>
          <w:sz w:val="25"/>
          <w:szCs w:val="25"/>
          <w:highlight w:val="none"/>
          <w:u w:val="single"/>
          <w:lang w:val="en-US" w:eastAsia="en-US" w:bidi="ar-SA"/>
        </w:rPr>
        <w:t>（1）</w:t>
      </w:r>
      <w:r>
        <w:rPr>
          <w:rFonts w:hint="eastAsia" w:ascii="仿宋" w:hAnsi="仿宋" w:eastAsia="仿宋" w:cs="仿宋"/>
          <w:b w:val="0"/>
          <w:bCs w:val="0"/>
          <w:snapToGrid w:val="0"/>
          <w:color w:val="auto"/>
          <w:spacing w:val="-14"/>
          <w:kern w:val="0"/>
          <w:sz w:val="25"/>
          <w:szCs w:val="25"/>
          <w:highlight w:val="none"/>
          <w:u w:val="single"/>
          <w:lang w:val="en-US" w:eastAsia="zh-CN" w:bidi="ar-SA"/>
        </w:rPr>
        <w:t>整个水电安装施工区域内</w:t>
      </w:r>
      <w:r>
        <w:rPr>
          <w:rFonts w:hint="default" w:ascii="仿宋" w:hAnsi="仿宋" w:eastAsia="仿宋" w:cs="仿宋"/>
          <w:b w:val="0"/>
          <w:bCs w:val="0"/>
          <w:snapToGrid w:val="0"/>
          <w:color w:val="auto"/>
          <w:spacing w:val="-14"/>
          <w:kern w:val="0"/>
          <w:sz w:val="25"/>
          <w:szCs w:val="25"/>
          <w:highlight w:val="none"/>
          <w:u w:val="single"/>
          <w:lang w:val="en-US" w:eastAsia="en-US" w:bidi="ar-SA"/>
        </w:rPr>
        <w:t>的安全文明施工</w:t>
      </w:r>
      <w:r>
        <w:rPr>
          <w:rFonts w:hint="eastAsia" w:ascii="仿宋" w:hAnsi="仿宋" w:eastAsia="仿宋" w:cs="仿宋"/>
          <w:b w:val="0"/>
          <w:bCs w:val="0"/>
          <w:snapToGrid w:val="0"/>
          <w:color w:val="auto"/>
          <w:spacing w:val="-14"/>
          <w:kern w:val="0"/>
          <w:sz w:val="25"/>
          <w:szCs w:val="25"/>
          <w:highlight w:val="none"/>
          <w:u w:val="single"/>
          <w:lang w:val="en-US" w:eastAsia="zh-CN" w:bidi="ar-SA"/>
        </w:rPr>
        <w:t>由乙方全权负责</w:t>
      </w:r>
      <w:r>
        <w:rPr>
          <w:rFonts w:hint="default" w:ascii="仿宋" w:hAnsi="仿宋" w:eastAsia="仿宋" w:cs="仿宋"/>
          <w:b w:val="0"/>
          <w:bCs w:val="0"/>
          <w:snapToGrid w:val="0"/>
          <w:color w:val="auto"/>
          <w:spacing w:val="-14"/>
          <w:kern w:val="0"/>
          <w:sz w:val="25"/>
          <w:szCs w:val="25"/>
          <w:highlight w:val="none"/>
          <w:u w:val="single"/>
          <w:lang w:val="en-US" w:eastAsia="en-US" w:bidi="ar-SA"/>
        </w:rPr>
        <w:t>。</w:t>
      </w:r>
    </w:p>
    <w:p w14:paraId="78ECFB10">
      <w:pPr>
        <w:pStyle w:val="16"/>
        <w:spacing w:line="360" w:lineRule="auto"/>
        <w:ind w:firstLine="444" w:firstLineChars="200"/>
        <w:outlineLvl w:val="2"/>
        <w:rPr>
          <w:rFonts w:hint="eastAsia" w:ascii="仿宋" w:hAnsi="仿宋" w:eastAsia="仿宋" w:cs="仿宋"/>
          <w:b w:val="0"/>
          <w:bCs w:val="0"/>
          <w:snapToGrid w:val="0"/>
          <w:color w:val="auto"/>
          <w:spacing w:val="-14"/>
          <w:kern w:val="0"/>
          <w:sz w:val="25"/>
          <w:szCs w:val="25"/>
          <w:highlight w:val="none"/>
          <w:u w:val="single"/>
          <w:lang w:val="en-US" w:eastAsia="zh-CN" w:bidi="ar-SA"/>
        </w:rPr>
      </w:pPr>
      <w:r>
        <w:rPr>
          <w:rFonts w:hint="default" w:ascii="仿宋" w:hAnsi="仿宋" w:eastAsia="仿宋" w:cs="仿宋"/>
          <w:b w:val="0"/>
          <w:bCs w:val="0"/>
          <w:snapToGrid w:val="0"/>
          <w:color w:val="auto"/>
          <w:spacing w:val="-14"/>
          <w:kern w:val="0"/>
          <w:sz w:val="25"/>
          <w:szCs w:val="25"/>
          <w:highlight w:val="none"/>
          <w:u w:val="single"/>
          <w:lang w:val="en-US" w:eastAsia="en-US" w:bidi="ar-SA"/>
        </w:rPr>
        <w:t>（2）</w:t>
      </w:r>
      <w:r>
        <w:rPr>
          <w:rFonts w:hint="eastAsia" w:ascii="仿宋" w:hAnsi="仿宋" w:eastAsia="仿宋" w:cs="仿宋"/>
          <w:b w:val="0"/>
          <w:bCs w:val="0"/>
          <w:snapToGrid w:val="0"/>
          <w:color w:val="auto"/>
          <w:spacing w:val="-14"/>
          <w:kern w:val="0"/>
          <w:sz w:val="25"/>
          <w:szCs w:val="25"/>
          <w:highlight w:val="none"/>
          <w:u w:val="single"/>
          <w:lang w:val="en-US" w:eastAsia="zh-CN" w:bidi="ar-SA"/>
        </w:rPr>
        <w:t>安全文明施工包含的人、材、机全部由乙方负责。</w:t>
      </w:r>
    </w:p>
    <w:p w14:paraId="66B9DA01">
      <w:pPr>
        <w:pStyle w:val="16"/>
        <w:spacing w:line="360" w:lineRule="auto"/>
        <w:ind w:firstLine="446" w:firstLineChars="200"/>
        <w:outlineLvl w:val="2"/>
        <w:rPr>
          <w:rFonts w:hint="eastAsia"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snapToGrid w:val="0"/>
          <w:color w:val="auto"/>
          <w:spacing w:val="-14"/>
          <w:kern w:val="0"/>
          <w:sz w:val="25"/>
          <w:szCs w:val="25"/>
          <w:highlight w:val="none"/>
          <w:u w:val="none"/>
          <w:lang w:val="en-US" w:eastAsia="zh-CN" w:bidi="ar-SA"/>
        </w:rPr>
        <w:t>1.3屋面保温</w:t>
      </w:r>
    </w:p>
    <w:p w14:paraId="38EDF30B">
      <w:pPr>
        <w:pStyle w:val="16"/>
        <w:spacing w:line="360" w:lineRule="auto"/>
        <w:ind w:firstLine="490" w:firstLineChars="200"/>
        <w:rPr>
          <w:rFonts w:ascii="仿宋" w:hAnsi="仿宋" w:eastAsia="仿宋" w:cs="仿宋"/>
          <w:b/>
          <w:bCs/>
          <w:color w:val="auto"/>
          <w:spacing w:val="-3"/>
          <w:sz w:val="25"/>
          <w:szCs w:val="25"/>
          <w:u w:val="single" w:color="auto"/>
        </w:rPr>
      </w:pPr>
      <w:r>
        <w:rPr>
          <w:rFonts w:ascii="仿宋" w:hAnsi="仿宋" w:eastAsia="仿宋" w:cs="仿宋"/>
          <w:b/>
          <w:bCs/>
          <w:color w:val="auto"/>
          <w:spacing w:val="-3"/>
          <w:sz w:val="25"/>
          <w:szCs w:val="25"/>
          <w:u w:val="single" w:color="auto"/>
        </w:rPr>
        <w:t>本工程图纸范围内包括但不限于：</w:t>
      </w:r>
    </w:p>
    <w:p w14:paraId="332D48E0">
      <w:pPr>
        <w:pStyle w:val="16"/>
        <w:spacing w:line="360" w:lineRule="auto"/>
        <w:ind w:firstLine="490" w:firstLineChars="200"/>
        <w:outlineLvl w:val="2"/>
        <w:rPr>
          <w:rFonts w:hint="default"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color w:val="auto"/>
          <w:spacing w:val="-3"/>
          <w:sz w:val="25"/>
          <w:szCs w:val="25"/>
          <w:u w:val="single" w:color="auto"/>
          <w:lang w:val="en-US" w:eastAsia="zh-CN"/>
        </w:rPr>
        <w:t>（1）</w:t>
      </w:r>
      <w:r>
        <w:rPr>
          <w:rFonts w:hint="default" w:ascii="仿宋" w:hAnsi="仿宋" w:eastAsia="仿宋" w:cs="仿宋"/>
          <w:b w:val="0"/>
          <w:bCs w:val="0"/>
          <w:snapToGrid w:val="0"/>
          <w:color w:val="auto"/>
          <w:spacing w:val="-14"/>
          <w:kern w:val="0"/>
          <w:sz w:val="25"/>
          <w:szCs w:val="25"/>
          <w:highlight w:val="none"/>
          <w:u w:val="single"/>
          <w:lang w:val="en-US" w:eastAsia="zh-CN" w:bidi="ar-SA"/>
        </w:rPr>
        <w:t>基层清理、找平层表面处理、杂物清扫、洒水湿润</w:t>
      </w:r>
    </w:p>
    <w:p w14:paraId="2DE26BD8">
      <w:pPr>
        <w:pStyle w:val="16"/>
        <w:spacing w:line="360" w:lineRule="auto"/>
        <w:ind w:firstLine="490" w:firstLineChars="200"/>
        <w:outlineLvl w:val="2"/>
        <w:rPr>
          <w:rFonts w:hint="default"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color w:val="auto"/>
          <w:spacing w:val="-3"/>
          <w:sz w:val="25"/>
          <w:szCs w:val="25"/>
          <w:u w:val="single" w:color="auto"/>
          <w:lang w:val="en-US" w:eastAsia="zh-CN"/>
        </w:rPr>
        <w:t>（2）</w:t>
      </w:r>
      <w:r>
        <w:rPr>
          <w:rFonts w:hint="default" w:ascii="仿宋" w:hAnsi="仿宋" w:eastAsia="仿宋" w:cs="仿宋"/>
          <w:b w:val="0"/>
          <w:bCs w:val="0"/>
          <w:snapToGrid w:val="0"/>
          <w:color w:val="auto"/>
          <w:spacing w:val="-14"/>
          <w:kern w:val="0"/>
          <w:sz w:val="25"/>
          <w:szCs w:val="25"/>
          <w:highlight w:val="none"/>
          <w:u w:val="single"/>
          <w:lang w:val="en-US" w:eastAsia="zh-CN" w:bidi="ar-SA"/>
        </w:rPr>
        <w:t>保温板（挤塑板/聚苯板/岩棉板等）铺设、排列、错缝、粘贴固定</w:t>
      </w:r>
    </w:p>
    <w:p w14:paraId="52970271">
      <w:pPr>
        <w:pStyle w:val="16"/>
        <w:spacing w:line="360" w:lineRule="auto"/>
        <w:ind w:firstLine="490" w:firstLineChars="200"/>
        <w:outlineLvl w:val="2"/>
        <w:rPr>
          <w:rFonts w:hint="default"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color w:val="auto"/>
          <w:spacing w:val="-3"/>
          <w:sz w:val="25"/>
          <w:szCs w:val="25"/>
          <w:u w:val="single" w:color="auto"/>
          <w:lang w:val="en-US" w:eastAsia="zh-CN"/>
        </w:rPr>
        <w:t>（3）</w:t>
      </w:r>
      <w:r>
        <w:rPr>
          <w:rFonts w:hint="default" w:ascii="仿宋" w:hAnsi="仿宋" w:eastAsia="仿宋" w:cs="仿宋"/>
          <w:b w:val="0"/>
          <w:bCs w:val="0"/>
          <w:snapToGrid w:val="0"/>
          <w:color w:val="auto"/>
          <w:spacing w:val="-14"/>
          <w:kern w:val="0"/>
          <w:sz w:val="25"/>
          <w:szCs w:val="25"/>
          <w:highlight w:val="none"/>
          <w:u w:val="single"/>
          <w:lang w:val="en-US" w:eastAsia="zh-CN" w:bidi="ar-SA"/>
        </w:rPr>
        <w:t>保温板缝隙填塞、局部修整、找平</w:t>
      </w:r>
    </w:p>
    <w:p w14:paraId="6C5A42B9">
      <w:pPr>
        <w:pStyle w:val="16"/>
        <w:spacing w:line="360" w:lineRule="auto"/>
        <w:ind w:firstLine="490" w:firstLineChars="200"/>
        <w:outlineLvl w:val="2"/>
        <w:rPr>
          <w:rFonts w:hint="default"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color w:val="auto"/>
          <w:spacing w:val="-3"/>
          <w:sz w:val="25"/>
          <w:szCs w:val="25"/>
          <w:u w:val="single" w:color="auto"/>
          <w:lang w:val="en-US" w:eastAsia="zh-CN"/>
        </w:rPr>
        <w:t>（4）</w:t>
      </w:r>
      <w:r>
        <w:rPr>
          <w:rFonts w:hint="default" w:ascii="仿宋" w:hAnsi="仿宋" w:eastAsia="仿宋" w:cs="仿宋"/>
          <w:b w:val="0"/>
          <w:bCs w:val="0"/>
          <w:snapToGrid w:val="0"/>
          <w:color w:val="auto"/>
          <w:spacing w:val="-14"/>
          <w:kern w:val="0"/>
          <w:sz w:val="25"/>
          <w:szCs w:val="25"/>
          <w:highlight w:val="none"/>
          <w:u w:val="single"/>
          <w:lang w:val="en-US" w:eastAsia="zh-CN" w:bidi="ar-SA"/>
        </w:rPr>
        <w:t>保温层表面平整度调整、保护层施工前配合验收</w:t>
      </w:r>
    </w:p>
    <w:p w14:paraId="62368EEA">
      <w:pPr>
        <w:pStyle w:val="16"/>
        <w:spacing w:line="360" w:lineRule="auto"/>
        <w:ind w:firstLine="490" w:firstLineChars="200"/>
        <w:outlineLvl w:val="2"/>
        <w:rPr>
          <w:rFonts w:hint="default"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color w:val="auto"/>
          <w:spacing w:val="-3"/>
          <w:sz w:val="25"/>
          <w:szCs w:val="25"/>
          <w:u w:val="single" w:color="auto"/>
          <w:lang w:val="en-US" w:eastAsia="zh-CN"/>
        </w:rPr>
        <w:t>（5）</w:t>
      </w:r>
      <w:r>
        <w:rPr>
          <w:rFonts w:hint="default" w:ascii="仿宋" w:hAnsi="仿宋" w:eastAsia="仿宋" w:cs="仿宋"/>
          <w:b w:val="0"/>
          <w:bCs w:val="0"/>
          <w:snapToGrid w:val="0"/>
          <w:color w:val="auto"/>
          <w:spacing w:val="-14"/>
          <w:kern w:val="0"/>
          <w:sz w:val="25"/>
          <w:szCs w:val="25"/>
          <w:highlight w:val="none"/>
          <w:u w:val="single"/>
          <w:lang w:val="en-US" w:eastAsia="zh-CN" w:bidi="ar-SA"/>
        </w:rPr>
        <w:t>保护层施工</w:t>
      </w:r>
    </w:p>
    <w:p w14:paraId="6E667059">
      <w:pPr>
        <w:pStyle w:val="16"/>
        <w:spacing w:line="360" w:lineRule="auto"/>
        <w:ind w:firstLine="490" w:firstLineChars="200"/>
        <w:outlineLvl w:val="2"/>
        <w:rPr>
          <w:rFonts w:hint="default"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color w:val="auto"/>
          <w:spacing w:val="-3"/>
          <w:sz w:val="25"/>
          <w:szCs w:val="25"/>
          <w:u w:val="single" w:color="auto"/>
          <w:lang w:val="en-US" w:eastAsia="zh-CN"/>
        </w:rPr>
        <w:t>（6）</w:t>
      </w:r>
      <w:r>
        <w:rPr>
          <w:rFonts w:hint="default" w:ascii="仿宋" w:hAnsi="仿宋" w:eastAsia="仿宋" w:cs="仿宋"/>
          <w:b w:val="0"/>
          <w:bCs w:val="0"/>
          <w:snapToGrid w:val="0"/>
          <w:color w:val="auto"/>
          <w:spacing w:val="-14"/>
          <w:kern w:val="0"/>
          <w:sz w:val="25"/>
          <w:szCs w:val="25"/>
          <w:highlight w:val="none"/>
          <w:u w:val="single"/>
          <w:lang w:val="en-US" w:eastAsia="zh-CN" w:bidi="ar-SA"/>
        </w:rPr>
        <w:t>施工过程中成品保护、现场文明施工及材料场内二次倒运</w:t>
      </w:r>
    </w:p>
    <w:p w14:paraId="067A73B8">
      <w:pPr>
        <w:pStyle w:val="16"/>
        <w:spacing w:line="360" w:lineRule="auto"/>
        <w:ind w:firstLine="490" w:firstLineChars="200"/>
        <w:outlineLvl w:val="2"/>
        <w:rPr>
          <w:rFonts w:hint="default" w:ascii="仿宋" w:hAnsi="仿宋" w:eastAsia="仿宋" w:cs="仿宋"/>
          <w:b w:val="0"/>
          <w:bCs w:val="0"/>
          <w:snapToGrid w:val="0"/>
          <w:color w:val="auto"/>
          <w:spacing w:val="-14"/>
          <w:kern w:val="0"/>
          <w:sz w:val="25"/>
          <w:szCs w:val="25"/>
          <w:highlight w:val="none"/>
          <w:u w:val="single"/>
          <w:lang w:val="en-US" w:eastAsia="zh-CN" w:bidi="ar-SA"/>
        </w:rPr>
      </w:pPr>
      <w:r>
        <w:rPr>
          <w:rFonts w:hint="eastAsia" w:ascii="仿宋" w:hAnsi="仿宋" w:eastAsia="仿宋" w:cs="仿宋"/>
          <w:b/>
          <w:bCs/>
          <w:color w:val="auto"/>
          <w:spacing w:val="-3"/>
          <w:sz w:val="25"/>
          <w:szCs w:val="25"/>
          <w:u w:val="single" w:color="auto"/>
          <w:lang w:val="en-US" w:eastAsia="zh-CN"/>
        </w:rPr>
        <w:t>（7）</w:t>
      </w:r>
      <w:r>
        <w:rPr>
          <w:rFonts w:hint="default" w:ascii="仿宋" w:hAnsi="仿宋" w:eastAsia="仿宋" w:cs="仿宋"/>
          <w:b w:val="0"/>
          <w:bCs w:val="0"/>
          <w:snapToGrid w:val="0"/>
          <w:color w:val="auto"/>
          <w:spacing w:val="-14"/>
          <w:kern w:val="0"/>
          <w:sz w:val="25"/>
          <w:szCs w:val="25"/>
          <w:highlight w:val="none"/>
          <w:u w:val="single"/>
          <w:lang w:val="en-US" w:eastAsia="zh-CN" w:bidi="ar-SA"/>
        </w:rPr>
        <w:t>配合测量放线、隐蔽验收、现场交叉作业协调，但不负责其他专业的成品破坏修复。</w:t>
      </w:r>
    </w:p>
    <w:p w14:paraId="44A1A2E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2、主要施工内容</w:t>
      </w:r>
    </w:p>
    <w:p w14:paraId="2974527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FF0000"/>
          <w:sz w:val="25"/>
          <w:szCs w:val="25"/>
          <w:highlight w:val="none"/>
          <w:lang w:val="en-US" w:eastAsia="zh-CN"/>
        </w:rPr>
        <w:t>(1)按设计、施工方案要求工序施工。</w:t>
      </w:r>
    </w:p>
    <w:p w14:paraId="1C808C1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砌筑工程：</w:t>
      </w:r>
      <w:r>
        <w:rPr>
          <w:rFonts w:hint="eastAsia" w:ascii="仿宋" w:hAnsi="仿宋" w:eastAsia="仿宋" w:cs="仿宋"/>
          <w:color w:val="auto"/>
          <w:sz w:val="25"/>
          <w:szCs w:val="25"/>
          <w:highlight w:val="none"/>
          <w:lang w:val="en-US" w:eastAsia="zh-CN"/>
        </w:rPr>
        <w:t>包含砂浆拌合制作、墙体砌筑，钢丝网加强、封堵、刮缝、浇水养护等完成该项工作的全部工序（工序不逐一列举，砂浆强度、砌体厚度、抹灰厚度等已综合考虑在综合单价中）；主材砖、砂、水泥、钢筋、等主材由甲方采购，其他辅材及消耗性材料、工器具由乙方自采，费用包含在单价内；包含材料及工器具（含甲供材）的垂直运输费、水平运输费、多次搬运费、上下车费、材料保管费、卫生清洁费（建筑垃圾按甲方项目部要求集中堆放）、砖、水泥及砂、砂浆等材料堆场的搭设费（材料堆场或加工棚的搭设按甲方项目部要求完成）费用包含在单价内；包含完成本项工作所需的措施费（如砌筑操作架、超高砌筑措施费，不逐一列举)、及劳保防护用品费，费用包含在单价内；</w:t>
      </w:r>
    </w:p>
    <w:p w14:paraId="176865F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保温层铺设：</w:t>
      </w:r>
      <w:r>
        <w:rPr>
          <w:rFonts w:hint="eastAsia" w:ascii="仿宋" w:hAnsi="仿宋" w:eastAsia="仿宋" w:cs="仿宋"/>
          <w:color w:val="auto"/>
          <w:sz w:val="25"/>
          <w:szCs w:val="25"/>
          <w:highlight w:val="none"/>
          <w:lang w:val="en-US" w:eastAsia="zh-CN"/>
        </w:rPr>
        <w:t>保温材料铺设(挤塑聚苯板、岩棉板、垫层聚苯泡沫板等）基层清理、刷粘结材料、铺粘保温层、铺、刷（喷）防护材料等完成该项工作的全部工序（工序不逐一列举，保温层采用等何种方式运输、不分部位、不分规格型号、不分施工工艺、不分材质已考虑在综合单价中）；保温材料由甲方采购，其他周转材料、辅材及消耗性材料、工器具由乙方自采，费用包含在单价中；包含材料及工器具（含甲供材）的垂直运输费、水平运输费、多次搬运费、上下车费、材料保管费、卫生清洁费（建筑垃圾按甲方项目部要求集中堆放）；包含保温材料等材料堆场的搭设费（材料堆场或加工棚的搭设按甲方项目部要求完成，费用包含在单价内）；包含措施费用（如操作架、超高措施费，不逐一列举）、及劳保防护用品费用；</w:t>
      </w:r>
    </w:p>
    <w:p w14:paraId="3146C09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内外墙面抹灰、天棚抹灰：</w:t>
      </w:r>
      <w:r>
        <w:rPr>
          <w:rFonts w:hint="eastAsia" w:ascii="仿宋" w:hAnsi="仿宋" w:eastAsia="仿宋" w:cs="仿宋"/>
          <w:color w:val="auto"/>
          <w:sz w:val="25"/>
          <w:szCs w:val="25"/>
          <w:highlight w:val="none"/>
          <w:lang w:val="en-US" w:eastAsia="zh-CN"/>
        </w:rPr>
        <w:t>包含基层清理、砂浆制作运输、架体搭设、底层抹灰、抹面层、成品挤塑板铺设（工序不逐一列举，水泥砂浆采用地泵或车泵等何种方式输送、水泥砂浆不分部位、不分强度等级、不分施工工艺、不分材质已考虑在综合单价中）；砂、水泥、成品挤塑板等由甲方采购，其他辅材及消耗性材料、工器具由乙方自采，费用包含在单价中；包含不同材料处钢丝网铺贴、拍浆等；包含门窗及管线开槽的修补；包含材料及工器具（含甲供材）的垂直运输费、水平运输费、多次搬运费、上下车费、材料保管费、卫生清洁费（建筑垃圾按甲方项目部要求集中堆放）；包含砂浆等材料堆场的搭设费（材料堆场或加工棚的搭设按甲方项目部要求完成，费用包含在单价内）；包含完成本项工作所需的措施费用（如抹灰操作架（如有）、超高措施费，不逐一列举）、及劳保防护用品费用；</w:t>
      </w:r>
    </w:p>
    <w:p w14:paraId="74B0C4D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人工捡底：</w:t>
      </w:r>
      <w:r>
        <w:rPr>
          <w:rFonts w:hint="eastAsia" w:ascii="仿宋" w:hAnsi="仿宋" w:eastAsia="仿宋" w:cs="仿宋"/>
          <w:color w:val="auto"/>
          <w:sz w:val="25"/>
          <w:szCs w:val="25"/>
          <w:highlight w:val="none"/>
          <w:lang w:val="en-US" w:eastAsia="zh-CN"/>
        </w:rPr>
        <w:t>包含基底范围土方人工捡底、平整、清理、标高控制放线、施工期间的抽排水等（工序不逐一列举，人工捡底不分方式、不分部位、不分土质情况、不分施工工艺已考虑在综合单价中）；辅材及消耗性材料、工器具由乙方自采，费用包含在单价中；包含材料及工器具（含甲供材）的垂直运输费、水平运输费、多次搬运费、上下车费、材料保管费、卫生清洁费（建筑垃圾按甲方项目部要求集中堆放）；包含土方等材料堆场的搭设费（材料堆场或加工棚的搭设按甲方项目部要求完成，费用包含在单价内）；包含完成本项工作所需的措施费用（如超高措施费，不逐一列举）、及劳保防护用品费用；</w:t>
      </w:r>
    </w:p>
    <w:p w14:paraId="399AE1D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钢筋制作安装：</w:t>
      </w:r>
      <w:r>
        <w:rPr>
          <w:rFonts w:hint="eastAsia" w:ascii="仿宋" w:hAnsi="仿宋" w:eastAsia="仿宋" w:cs="仿宋"/>
          <w:color w:val="auto"/>
          <w:sz w:val="25"/>
          <w:szCs w:val="25"/>
          <w:highlight w:val="none"/>
          <w:lang w:val="en-US" w:eastAsia="zh-CN"/>
        </w:rPr>
        <w:t>包含钢筋制作、加工、焊接和套筒连接、安装（工序不逐一列举，钢筋制作安装不分方式、不分部位、不分钢筋连接方式、不分钢筋的类型及级别、不分施工工艺、砌体及二次结构钢筋所采用施工方式（植筋/预留预埋）已考虑在综合单价中）、钢板止水带焊接、塔吊基础钢筋制作安装；主材钢筋、套筒、止水钢板由甲方采购；其他辅材及消耗性材料、工器具由乙方自采，费用包含在单价中；包含材料及工器具（含甲供材）的垂直运输费、水平运输费、多次搬运费、上下车费、材料保管费、卫生清洁费（建筑垃圾按甲方项目部要求集中堆放）；包含钢筋等材料堆场的搭设费（材料堆场或加工棚的搭设按甲方项目部要求完成，费用包含在单价内）；包含完成本项工作所需的措施费用（如操作架、超高措施费，不逐一列举）、及劳保防护用品费用；</w:t>
      </w:r>
    </w:p>
    <w:p w14:paraId="391F22B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模板搭拆费：</w:t>
      </w:r>
      <w:r>
        <w:rPr>
          <w:rFonts w:hint="eastAsia" w:ascii="仿宋" w:hAnsi="仿宋" w:eastAsia="仿宋" w:cs="仿宋"/>
          <w:color w:val="auto"/>
          <w:sz w:val="25"/>
          <w:szCs w:val="25"/>
          <w:highlight w:val="none"/>
          <w:lang w:val="en-US" w:eastAsia="zh-CN"/>
        </w:rPr>
        <w:t>包含模板及支撑的加工制作、安装、拆除、清理、整理堆放、涂刷隔离剂、止水螺栓的截断封堵防腐防锈等（工序不逐一列举，模板制作安装不分方式、不分部位、不分施工工艺已考虑在综合单价中）；超高模板增加费、地下室满堂脚手架费用、模板及支撑材料等为完成本项工作所用主材、辅材及消耗性材料、工器具均由乙方自采，费用包含在单价中。止水螺栓由甲方采购；包含材料及工器具（含甲供材）的垂直运输费、水平运输费、多次搬运费、上下车费、材料保管费、卫生清洁费（建筑垃圾按甲方项目部要求集中堆放）；包含模板、钢管、扣减、顶托材料等材料堆场的搭设费（材料堆场或加工棚的搭设按甲方项目部要求完成，费用包含在单价内）；包含完成本项工作所需的措施费用（如操作架、超高措施费，不逐一列举）、及劳保防护用品费用；</w:t>
      </w:r>
    </w:p>
    <w:p w14:paraId="4D6C5F2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地上地下外脚手架、内局部支撑脚手架制安：</w:t>
      </w:r>
      <w:r>
        <w:rPr>
          <w:rFonts w:hint="eastAsia" w:ascii="仿宋" w:hAnsi="仿宋" w:eastAsia="仿宋" w:cs="仿宋"/>
          <w:color w:val="auto"/>
          <w:sz w:val="25"/>
          <w:szCs w:val="25"/>
          <w:highlight w:val="none"/>
          <w:lang w:val="en-US" w:eastAsia="zh-CN"/>
        </w:rPr>
        <w:t>项目范围内竣工验收前结构图及建筑图的所有脚手架工程承包内容（包工包料）包含按甲方提供的外架施工方案搭设、按规范要求、包括定额规定综合外脚手架搭设全工序内容；包含材料进场整理并运至场内指定地点堆放、材料分类归集、堆码，工程完工材料拆除后钢管、安全网、扣件分类堆放到项目部指定地点及时运出工地等全部工作内容；包含施工中的钢管脚手架维护和修缮工作，定期清理安全网、兜底网；包含钢管、扣减、悬挑槽钢等乙方提供的材料必须符合国家现行规范、行业标准（以标准高者为准）验收标准，并按当地安监站规定要求材料送检，提供检测合格报告发包人；相关费用综合考虑在综合单价内；包含红白油漆涂刷，按文明施工要求安装、标识标牌、临边洞口防护;密目网、水平兜网、水平硬防护、挑板等按规范要求的所有材料均包含在单价内；包含材料及工器具（含甲供材）的垂直运输费、水平运输费、多次搬运费、上下车费、材料保管费、卫生清洁费（建筑垃圾按甲方项目部要求集中堆放）；模板、钢管、扣减、顶托材料等材料堆场的搭设费（材料堆场或加工棚的搭设按甲方项目部要求完成，费用包含在单价内）包含完成本项工作所需的措施费用（如操作架、超高措施费，不逐一列举）、及劳保防护用品费用；</w:t>
      </w:r>
    </w:p>
    <w:p w14:paraId="50387391">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混凝土浇筑：</w:t>
      </w:r>
      <w:r>
        <w:rPr>
          <w:rFonts w:hint="eastAsia" w:ascii="仿宋" w:hAnsi="仿宋" w:eastAsia="仿宋" w:cs="仿宋"/>
          <w:color w:val="auto"/>
          <w:sz w:val="25"/>
          <w:szCs w:val="25"/>
          <w:highlight w:val="none"/>
          <w:lang w:val="en-US" w:eastAsia="zh-CN"/>
        </w:rPr>
        <w:t>包含混凝土浇筑前的模板内杂物清理、浇水湿润、施工缝处理、接浆处理；包含混凝土的场内水平运输、垂直运输、布料、振捣、找平、收面、压光、养护（含养护材料、养护用水、养护周期内的全部工作）；包含后浇带、施工缝、变形缝等特殊部位的浇筑、凿毛、清理、封堵；包含浇筑过程中模板、钢筋的看护、成品保护及轻微缺陷修复；包含试块制作、养护、送检及相关试验费用；包含浇筑完成后的现场清理、建筑垃圾按甲方项目部要求集中堆放；包含为完成本项工作所需的措施费用（如泵车配合、操作架、夜间施工措施等，不逐一列举）、劳防防护用品费用；包含材料及工器具的多次搬运费、上下车费、材料保管费、卫生清洁费；混凝土主材由甲方采购，乙方负责接收、验收、场内转运及使用管理，所有辅材、消耗性材料、工器具均由乙方自采，费用包含在综合单价中；混凝土浇筑不分构件类型（梁、板、柱、墙、基础、楼梯等）、不分施工工艺（泵送、非泵送等）、不分施工部位，相关工序及费用已综合考虑在综合单价中。</w:t>
      </w:r>
    </w:p>
    <w:p w14:paraId="279D0CF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default"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水电安装：</w:t>
      </w:r>
      <w:r>
        <w:rPr>
          <w:rFonts w:hint="eastAsia" w:ascii="仿宋" w:hAnsi="仿宋" w:eastAsia="仿宋" w:cs="仿宋"/>
          <w:color w:val="auto"/>
          <w:sz w:val="25"/>
          <w:szCs w:val="25"/>
          <w:highlight w:val="none"/>
          <w:lang w:val="en-US" w:eastAsia="zh-CN"/>
        </w:rPr>
        <w:t>项目范围内竣工验收前结构施工图及建筑图、水电专业施工图的所有水电安装劳务承包内容（包工不包料，辅材自采），包含按甲方提供的施工方案、规范要求完成的全部工序；包含给排水、电气、消防、暖通等专业的预留预埋（套管、孔洞、线盒、管线预埋等）、管线敷设、设备安装、接线调试、打压试验、通水通电试验、系统调试等全流程劳务作业；包含施工过程中管线、设备的成品保护、现场清理、建筑垃圾按甲方项目部要求集中堆放；包含材料进场后的卸车、场内水平运输、垂直运输、多次搬运、分类归集、堆码，工程完工后剩余材料的分类整理、堆放到项目部指定地点并及时运出工地等全部工作；包含施工中的管线、设备的维护和修缮工作，定期清理现场、文明施工；包含乙方提供的辅材、消耗性材料、工器具必须符合国家现行规范、行业标准（以标准高者为准）验收标准，并按当地监管站规定要求配合材料送检，提供相关配合资料；相关费用综合考虑在综合单价内；包含红白油漆涂刷、按文明施工要求安装标识标牌、临边洞口防护配合、安全文明施工相关配合工作；包含为完成本项工作所需的措施费用（如操作架、登高作业措施、夜间施工措施等，不逐一列举）、劳防防护用品费用；包含材料保管费、卫生清洁费、成品保护费；水电主材、设备由甲方采购，乙方负责接收、验收、场内转运、安装及成品保护，所有辅材、消耗性材料、工器具均由乙方自采，费用包含在综合单价中；水电劳务施工不分专业、不分系统、不分施工部位、不分施工工艺，相关工序及费用已综合考虑在综合单价中。</w:t>
      </w:r>
    </w:p>
    <w:p w14:paraId="0F8A0FC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安全文明施工费及迎检费：</w:t>
      </w:r>
      <w:r>
        <w:rPr>
          <w:rFonts w:hint="eastAsia" w:ascii="仿宋" w:hAnsi="仿宋" w:eastAsia="仿宋" w:cs="仿宋"/>
          <w:color w:val="auto"/>
          <w:sz w:val="25"/>
          <w:szCs w:val="25"/>
          <w:highlight w:val="none"/>
          <w:lang w:val="en-US" w:eastAsia="zh-CN"/>
        </w:rPr>
        <w:t>乙方提供人员配合甲方完成迎检及安全文明施工设施设备的配置、悬挂标识标牌、标语、搭设迎检或安全通道、搭设甲方提供的成品定型防护围栏、成品定型外墙防护网，卫生清洁、裸土覆盖（室外总平进场后裸土覆盖由总坪单位负责）、演练、宣传片拍摄等具体以项目部安排为准，其费用包含在单价中。标识标牌、标语、裸土覆盖密目网、成品定型防护围栏、成品定型外墙防护网由甲方提供（具体要求按甲方要求为准）。</w:t>
      </w:r>
    </w:p>
    <w:p w14:paraId="1450597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二次深化设计：</w:t>
      </w:r>
      <w:r>
        <w:rPr>
          <w:rFonts w:hint="eastAsia" w:ascii="仿宋" w:hAnsi="仿宋" w:eastAsia="仿宋" w:cs="仿宋"/>
          <w:color w:val="auto"/>
          <w:sz w:val="25"/>
          <w:szCs w:val="25"/>
          <w:highlight w:val="none"/>
          <w:lang w:val="en-US" w:eastAsia="zh-CN"/>
        </w:rPr>
        <w:t>如需要二次深化设计的均需在原设计基础上进行，并经设计与业主方确认。所有二次深化设计均需满足施工、验收和相应国家规范标准的要求。需要编制专项施工方案的，乙方应组织编制并报甲方审核。</w:t>
      </w:r>
    </w:p>
    <w:p w14:paraId="55DD631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(2)以上工作内容涉及到的全部人工费、材料费、机械费、设备费、管理费、利润、一切风险费、安全文明施工费、规费、税金等均由乙方自行负责，相关价格已包含在合同价格中，不再另行计价。</w:t>
      </w:r>
    </w:p>
    <w:p w14:paraId="2125D30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(3)以上施工内容为列举，未尽事宜均包含在本合同分包范围且均属于乙方施工内容，施工图纸或设计内容有增减或调整的，工程量对应增减，但不因任何原因调整合同单价。</w:t>
      </w:r>
    </w:p>
    <w:p w14:paraId="2174A7E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(4)乙方负责现场文明施工、环境保护、水土保持工作及施工现场的安全、文明施工的管理。</w:t>
      </w:r>
    </w:p>
    <w:p w14:paraId="7C050B9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(5)乙方设备险及职工的（人身）事故险、未单独计列的生产生活用临时设施等为了本工程的顺利实施而可能发生的一切费用，均包含在合同价内。</w:t>
      </w:r>
    </w:p>
    <w:p w14:paraId="5662B3F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(6)为完成以上各工程项目所需的全部附属及临时工程施工，以及为完成本合同工程所做的其它一切准备工作。</w:t>
      </w:r>
    </w:p>
    <w:p w14:paraId="70FA790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(7)该工程不允许以任何形式转包，若被发现转包，取消乙方工程承包权，对完成工程量不予结算，合同自动失效，且甲方将对乙方进行经济处罚，造成甲方损失的，乙方应当赔偿甲方相应损失。</w:t>
      </w:r>
    </w:p>
    <w:p w14:paraId="40E0FB1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3、工程量</w:t>
      </w:r>
    </w:p>
    <w:p w14:paraId="667B53C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详见后附工程量计价清单，</w:t>
      </w:r>
      <w:r>
        <w:rPr>
          <w:rFonts w:hint="eastAsia" w:ascii="仿宋" w:hAnsi="仿宋" w:eastAsia="仿宋" w:cs="仿宋"/>
          <w:color w:val="auto"/>
          <w:sz w:val="25"/>
          <w:szCs w:val="25"/>
          <w:highlight w:val="none"/>
          <w:lang w:val="en-US" w:eastAsia="zh-CN"/>
        </w:rPr>
        <w:t>清单中工程数量为暂定量，乙方不能由于工程量的变化而调整清单单价。</w:t>
      </w:r>
    </w:p>
    <w:p w14:paraId="5EA0C52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合同外劳务作业单价确认：对于新增加的劳务作业项目，应遵循先签合同后施工的原则，按合同明确的单价、工程量计算原则、工程量签认程序和时效性执行。特殊紧急情况下未签合同的劳务作业项目，其新增加项目劳务单价的确定，首先选用本合同劳务单价中合适或相近作业内容单价；若无合适或相近的劳务单价时，甲方可参照同行业同类劳务予以确定。</w:t>
      </w:r>
    </w:p>
    <w:p w14:paraId="118B3FAA">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4、知识产权</w:t>
      </w:r>
    </w:p>
    <w:p w14:paraId="5BD0F37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68A0873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(2)除本合同另有约定外，乙方在合同签订前和签订时已确定采用的专利、专有技术、技术秘密的使用费已包含在签约合同价中。</w:t>
      </w:r>
    </w:p>
    <w:p w14:paraId="3785117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5、合同工期</w:t>
      </w:r>
    </w:p>
    <w:p w14:paraId="7EDFC8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FF0000"/>
          <w:sz w:val="25"/>
          <w:szCs w:val="25"/>
          <w:highlight w:val="none"/>
          <w:lang w:val="en-US" w:eastAsia="zh-CN"/>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开工日期以甲方通知为准，施工时间 严格按工程部进度计划。本合同工期以甲方制订的总体施工进度计划为准，如需调整，以甲方调整后的进度计划要求时间为准。</w:t>
      </w:r>
    </w:p>
    <w:p w14:paraId="00F1174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进度计划：乙方按建设单位和甲方要求的计划组织施工，确保作业期限。乙方除满足主合同约定的节点工期以外，还应满足甲方安排的期间计划(周计划、月计划)。若由于乙方原因(包括但不限于：人员数量、质量、管理水平、施工能力等)不能完成甲方期间计划的，已经或预计会影响劳务作业项目的合同工期时，甲方提出口头或书面警告并限期整改。若在限期整改时间内仍不满足期间计划时，甲方可提前解除本合同并另选劳务队伍进场，乙方承诺 5 日内无条件退场完毕，由此造成的损失由乙方自行承担并赔偿因此给甲方造成的损失。在施工过程中，如乙方出现消极怠工，阻挠施工，中途停工等非正常方式延误工期情形的，甲方有权单方解除合同，责令其立即退出施工场地，若乙方于解除合同后不按甲方规定时间撤出施工场地的。场地占用费金额为</w:t>
      </w:r>
      <w:r>
        <w:rPr>
          <w:rFonts w:hint="eastAsia" w:ascii="仿宋" w:hAnsi="仿宋" w:eastAsia="仿宋" w:cs="仿宋"/>
          <w:b/>
          <w:bCs/>
          <w:color w:val="auto"/>
          <w:sz w:val="25"/>
          <w:szCs w:val="25"/>
          <w:highlight w:val="none"/>
          <w:u w:val="single"/>
          <w:lang w:val="en-US" w:eastAsia="zh-CN"/>
        </w:rPr>
        <w:t xml:space="preserve">5000 </w:t>
      </w:r>
      <w:r>
        <w:rPr>
          <w:rFonts w:hint="eastAsia" w:ascii="仿宋" w:hAnsi="仿宋" w:eastAsia="仿宋" w:cs="仿宋"/>
          <w:color w:val="auto"/>
          <w:sz w:val="25"/>
          <w:szCs w:val="25"/>
          <w:highlight w:val="none"/>
          <w:lang w:val="en-US" w:eastAsia="zh-CN"/>
        </w:rPr>
        <w:t>元/天，违约金为</w:t>
      </w:r>
      <w:r>
        <w:rPr>
          <w:rFonts w:hint="eastAsia" w:ascii="仿宋" w:hAnsi="仿宋" w:eastAsia="仿宋" w:cs="仿宋"/>
          <w:b/>
          <w:bCs/>
          <w:color w:val="auto"/>
          <w:sz w:val="25"/>
          <w:szCs w:val="25"/>
          <w:highlight w:val="none"/>
          <w:u w:val="single"/>
          <w:lang w:val="en-US" w:eastAsia="zh-CN"/>
        </w:rPr>
        <w:t xml:space="preserve">10000 </w:t>
      </w:r>
      <w:r>
        <w:rPr>
          <w:rFonts w:hint="eastAsia" w:ascii="仿宋" w:hAnsi="仿宋" w:eastAsia="仿宋" w:cs="仿宋"/>
          <w:color w:val="auto"/>
          <w:sz w:val="25"/>
          <w:szCs w:val="25"/>
          <w:highlight w:val="none"/>
          <w:lang w:val="en-US" w:eastAsia="zh-CN"/>
        </w:rPr>
        <w:t>元/天，若对甲方造成损失的，乙方还应赔偿甲方的损失。</w:t>
      </w:r>
    </w:p>
    <w:p w14:paraId="0F11BB2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(3)工期延误</w:t>
      </w:r>
    </w:p>
    <w:p w14:paraId="20E4583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如果关键线路的节点工期在发生以下情形之一而造成工期延误，经甲方书面确认后，工期顺延：</w:t>
      </w:r>
    </w:p>
    <w:p w14:paraId="49D9AEB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a. 重大设计变更；</w:t>
      </w:r>
    </w:p>
    <w:p w14:paraId="343F1E9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b.重大自然灾害、不可抗力；</w:t>
      </w:r>
    </w:p>
    <w:p w14:paraId="40C2E65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c.由于业主原因导致停工；</w:t>
      </w:r>
    </w:p>
    <w:p w14:paraId="0393D8B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d.甲方书面同意工期顺延的其它情况。</w:t>
      </w:r>
    </w:p>
    <w:p w14:paraId="1984B6C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应在发生工期延误造成窝工事实后5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602514D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(5)因乙方原因导致工期延误，工期不予顺延，乙方应采取有效的赶工措施并承担增加的费用以及其他经济损失，包含工期延误产生的业主方罚款及违约金。</w:t>
      </w:r>
    </w:p>
    <w:p w14:paraId="075DF19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(6)业主及甲方需提前完成工期时，有关事宜由双方协商解决另行约定。</w:t>
      </w:r>
    </w:p>
    <w:p w14:paraId="597B2B9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6" w:name="_Toc22615"/>
      <w:r>
        <w:rPr>
          <w:rFonts w:hint="eastAsia" w:ascii="仿宋" w:hAnsi="仿宋" w:eastAsia="仿宋" w:cs="仿宋"/>
          <w:b/>
          <w:bCs/>
          <w:color w:val="auto"/>
          <w:sz w:val="25"/>
          <w:szCs w:val="25"/>
          <w:highlight w:val="none"/>
          <w:lang w:val="en-US" w:eastAsia="zh-CN"/>
        </w:rPr>
        <w:t>三、合同价款</w:t>
      </w:r>
      <w:bookmarkEnd w:id="6"/>
    </w:p>
    <w:p w14:paraId="0BB4817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1、合同总额</w:t>
      </w:r>
    </w:p>
    <w:p w14:paraId="78A09F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本合同采用</w:t>
      </w:r>
      <w:r>
        <w:rPr>
          <w:rFonts w:hint="eastAsia" w:ascii="仿宋" w:hAnsi="仿宋" w:eastAsia="仿宋" w:cs="仿宋"/>
          <w:color w:val="FF0000"/>
          <w:sz w:val="25"/>
          <w:szCs w:val="25"/>
          <w:highlight w:val="none"/>
          <w:u w:val="single"/>
          <w:lang w:val="en-US" w:eastAsia="zh-CN"/>
        </w:rPr>
        <w:t>固定全费用综合单价</w:t>
      </w:r>
      <w:r>
        <w:rPr>
          <w:rFonts w:hint="eastAsia" w:ascii="仿宋" w:hAnsi="仿宋" w:eastAsia="仿宋" w:cs="仿宋"/>
          <w:color w:val="FF0000"/>
          <w:sz w:val="25"/>
          <w:szCs w:val="25"/>
          <w:highlight w:val="none"/>
          <w:lang w:val="en-US" w:eastAsia="zh-CN"/>
        </w:rPr>
        <w:t>承包方式，具体详见后附工程量计价清单。暂定合同总价金额(含税):</w:t>
      </w:r>
      <w:r>
        <w:rPr>
          <w:rFonts w:hint="eastAsia" w:ascii="仿宋" w:hAnsi="仿宋" w:eastAsia="仿宋" w:cs="仿宋"/>
          <w:color w:val="FF0000"/>
          <w:sz w:val="25"/>
          <w:szCs w:val="25"/>
          <w:highlight w:val="none"/>
          <w:u w:val="single"/>
          <w:lang w:val="en-US" w:eastAsia="zh-CN"/>
        </w:rPr>
        <w:t xml:space="preserve">  **** </w:t>
      </w:r>
      <w:r>
        <w:rPr>
          <w:rFonts w:hint="eastAsia" w:ascii="仿宋" w:hAnsi="仿宋" w:eastAsia="仿宋" w:cs="仿宋"/>
          <w:color w:val="FF0000"/>
          <w:sz w:val="25"/>
          <w:szCs w:val="25"/>
          <w:highlight w:val="none"/>
          <w:lang w:val="en-US" w:eastAsia="zh-CN"/>
        </w:rPr>
        <w:t>元，(大写：人 民 币</w:t>
      </w:r>
      <w:r>
        <w:rPr>
          <w:rFonts w:hint="eastAsia" w:ascii="仿宋" w:hAnsi="仿宋" w:eastAsia="仿宋" w:cs="仿宋"/>
          <w:color w:val="FF0000"/>
          <w:sz w:val="25"/>
          <w:szCs w:val="25"/>
          <w:highlight w:val="none"/>
          <w:u w:val="single"/>
          <w:lang w:val="en-US" w:eastAsia="zh-CN"/>
        </w:rPr>
        <w:t xml:space="preserve">  **********    </w:t>
      </w:r>
      <w:r>
        <w:rPr>
          <w:rFonts w:hint="eastAsia" w:ascii="仿宋" w:hAnsi="仿宋" w:eastAsia="仿宋" w:cs="仿宋"/>
          <w:color w:val="FF0000"/>
          <w:sz w:val="25"/>
          <w:szCs w:val="25"/>
          <w:highlight w:val="none"/>
          <w:lang w:val="en-US" w:eastAsia="zh-CN"/>
        </w:rPr>
        <w:t>),增值税税率为3%,其中不含增值税价款为</w:t>
      </w:r>
      <w:r>
        <w:rPr>
          <w:rFonts w:hint="eastAsia" w:ascii="仿宋" w:hAnsi="仿宋" w:eastAsia="仿宋" w:cs="仿宋"/>
          <w:color w:val="FF0000"/>
          <w:sz w:val="25"/>
          <w:szCs w:val="25"/>
          <w:highlight w:val="none"/>
          <w:u w:val="single"/>
          <w:lang w:val="en-US" w:eastAsia="zh-CN"/>
        </w:rPr>
        <w:t xml:space="preserve"> ******* </w:t>
      </w:r>
      <w:r>
        <w:rPr>
          <w:rFonts w:hint="eastAsia" w:ascii="仿宋" w:hAnsi="仿宋" w:eastAsia="仿宋" w:cs="仿宋"/>
          <w:color w:val="FF0000"/>
          <w:sz w:val="25"/>
          <w:szCs w:val="25"/>
          <w:highlight w:val="none"/>
          <w:lang w:val="en-US" w:eastAsia="zh-CN"/>
        </w:rPr>
        <w:t>元，增值税额为</w:t>
      </w:r>
      <w:r>
        <w:rPr>
          <w:rFonts w:hint="eastAsia" w:ascii="仿宋" w:hAnsi="仿宋" w:eastAsia="仿宋" w:cs="仿宋"/>
          <w:color w:val="FF0000"/>
          <w:sz w:val="25"/>
          <w:szCs w:val="25"/>
          <w:highlight w:val="none"/>
          <w:u w:val="single"/>
          <w:lang w:val="en-US" w:eastAsia="zh-CN"/>
        </w:rPr>
        <w:t xml:space="preserve">********** </w:t>
      </w:r>
      <w:r>
        <w:rPr>
          <w:rFonts w:hint="eastAsia" w:ascii="仿宋" w:hAnsi="仿宋" w:eastAsia="仿宋" w:cs="仿宋"/>
          <w:color w:val="FF0000"/>
          <w:sz w:val="25"/>
          <w:szCs w:val="25"/>
          <w:highlight w:val="none"/>
          <w:lang w:val="en-US" w:eastAsia="zh-CN"/>
        </w:rPr>
        <w:t>元。</w:t>
      </w:r>
    </w:p>
    <w:p w14:paraId="670F7F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单价在合同执行期间，无论工程量、材料费、人工费、机械费或其它工程风险是否变化，合同单价均不作调整。暂定总价不作为结算支付依据，最终以经甲方验收合格并经签认的满足计量验收规范的实际完成的合格劳务作业量作为结算依据。</w:t>
      </w:r>
    </w:p>
    <w:p w14:paraId="430F90A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2、合同单价</w:t>
      </w:r>
    </w:p>
    <w:p w14:paraId="46A046B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单价中包含且不限于以下内容：除本合同约定甲供材料外为完成施工项目所需人工费、材料费、机械费，人员和机械的进出场费、油料费、生活设施费、安全文明施工费、环境保护费、人员及设备保险费用、综合管理费、合理利润、税金以及为完成合同规定所有项目工作所采取的临时措施费(含乙方为满足自身施工需要临时修建便道)等所有可能发生一切费用。还包括但不限于因国家法律法规及政策的变化、气候季节、地质水文、市场价格变化、因施工特殊处置项目等影响正常施工而降效增加的费用，施工环境、工程量增减、外部阻碍以及工序协调等各项风险因素导致的施工停滞窝工费等；乙方应充分考虑本工程施工的风险，风险费用已含在合同单价中，甲方不再承担由于任何风险引起的费用。在合同履行过程中和合同履行完毕后，甲乙双方不得以任何理由要求调整本合同单价。</w:t>
      </w:r>
    </w:p>
    <w:p w14:paraId="6B2408E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25E63D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合同价清单项目所包含的工序在实际施工过程中若有部分工序非分包人完成时，承包人将扣除相应工序的总价。分包人为实施本工程发生的全部费用已包含在上述费用中，分包人不得以任何理由要求承包人额外支付任何费用。</w:t>
      </w:r>
    </w:p>
    <w:p w14:paraId="04108BE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（4）如因施工需要调整施工工序和方法，乙方承诺予以执行，并不因此调整单价，增加费用。如因甲方需要，调用乙方机械和人员，乙方应积极予以配合。</w:t>
      </w:r>
    </w:p>
    <w:p w14:paraId="336E19A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（5）如果实施过程中发生工程量清单以外的项目，新增项目单价双方遵循市场价格原则协商确定。</w:t>
      </w:r>
    </w:p>
    <w:p w14:paraId="4C1ED240">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3、税费的承担</w:t>
      </w:r>
    </w:p>
    <w:p w14:paraId="6F40E70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bookmarkStart w:id="7" w:name="bookmark27"/>
      <w:bookmarkEnd w:id="7"/>
      <w:r>
        <w:rPr>
          <w:rFonts w:hint="eastAsia" w:ascii="仿宋" w:hAnsi="仿宋" w:eastAsia="仿宋" w:cs="仿宋"/>
          <w:color w:val="auto"/>
          <w:sz w:val="25"/>
          <w:szCs w:val="25"/>
          <w:highlight w:val="none"/>
          <w:lang w:val="en-US" w:eastAsia="zh-CN"/>
        </w:rPr>
        <w:t>本工程税金(增值税、企业所得税、城市维护建设税及教育附加费)和其他 税费已包含在合同单价及合同总价中，由乙方自行缴纳。其中，增值税按照</w:t>
      </w:r>
      <w:r>
        <w:rPr>
          <w:rFonts w:hint="eastAsia" w:ascii="仿宋" w:hAnsi="仿宋" w:eastAsia="仿宋" w:cs="仿宋"/>
          <w:b/>
          <w:bCs/>
          <w:color w:val="auto"/>
          <w:sz w:val="25"/>
          <w:szCs w:val="25"/>
          <w:highlight w:val="none"/>
          <w:lang w:val="en-US" w:eastAsia="zh-CN"/>
        </w:rPr>
        <w:t>简易计税法</w:t>
      </w:r>
      <w:r>
        <w:rPr>
          <w:rFonts w:hint="eastAsia" w:ascii="仿宋" w:hAnsi="仿宋" w:eastAsia="仿宋" w:cs="仿宋"/>
          <w:color w:val="auto"/>
          <w:sz w:val="25"/>
          <w:szCs w:val="25"/>
          <w:highlight w:val="none"/>
          <w:lang w:val="en-US" w:eastAsia="zh-CN"/>
        </w:rPr>
        <w:t>，征收率为</w:t>
      </w:r>
      <w:r>
        <w:rPr>
          <w:rFonts w:hint="eastAsia" w:ascii="仿宋" w:hAnsi="仿宋" w:eastAsia="仿宋" w:cs="仿宋"/>
          <w:b/>
          <w:bCs/>
          <w:color w:val="auto"/>
          <w:sz w:val="25"/>
          <w:szCs w:val="25"/>
          <w:highlight w:val="none"/>
          <w:lang w:val="en-US" w:eastAsia="zh-CN"/>
        </w:rPr>
        <w:t>3%</w:t>
      </w:r>
      <w:r>
        <w:rPr>
          <w:rFonts w:hint="eastAsia" w:ascii="仿宋" w:hAnsi="仿宋" w:eastAsia="仿宋" w:cs="仿宋"/>
          <w:color w:val="auto"/>
          <w:sz w:val="25"/>
          <w:szCs w:val="25"/>
          <w:highlight w:val="none"/>
          <w:lang w:val="en-US" w:eastAsia="zh-CN"/>
        </w:rPr>
        <w:t>,乙方办理结算后，必须向甲方提供</w:t>
      </w:r>
      <w:r>
        <w:rPr>
          <w:rFonts w:hint="eastAsia" w:ascii="仿宋" w:hAnsi="仿宋" w:eastAsia="仿宋" w:cs="仿宋"/>
          <w:b/>
          <w:bCs/>
          <w:color w:val="auto"/>
          <w:sz w:val="25"/>
          <w:szCs w:val="25"/>
          <w:highlight w:val="none"/>
          <w:lang w:val="en-US" w:eastAsia="zh-CN"/>
        </w:rPr>
        <w:t>3%的增值税专用发票</w:t>
      </w:r>
      <w:r>
        <w:rPr>
          <w:rFonts w:hint="eastAsia" w:ascii="仿宋" w:hAnsi="仿宋" w:eastAsia="仿宋" w:cs="仿宋"/>
          <w:color w:val="auto"/>
          <w:sz w:val="25"/>
          <w:szCs w:val="25"/>
          <w:highlight w:val="none"/>
          <w:lang w:val="en-US" w:eastAsia="zh-CN"/>
        </w:rPr>
        <w:t>(发票备注栏须填写项目名称及项目施工地点),提供发票中的甲方名称必须符合要求，收到发票后，甲方财务部门方可办理挂账支付手续。</w:t>
      </w:r>
    </w:p>
    <w:p w14:paraId="5644FEC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乙方未能及时向甲方提供足额增值税专用发票的，甲方有权拒绝付款。</w:t>
      </w:r>
    </w:p>
    <w:p w14:paraId="450C224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若乙方开具的发票不规范、不合法或者涉嫌虚开的，乙方应向甲方承担相应 的赔偿责任；同时，乙方应当按照甲方的要求重新开具合法合规且符合本合同约定的发票。</w:t>
      </w:r>
    </w:p>
    <w:p w14:paraId="41BD336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 损失的，乙方还应予以赔偿。甲方可以在应当支付给乙方的工程进度款中直接将前述违约金和赔偿金予以扣除。</w:t>
      </w:r>
    </w:p>
    <w:p w14:paraId="779730A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8" w:name="_Toc6186"/>
      <w:r>
        <w:rPr>
          <w:rFonts w:hint="eastAsia" w:ascii="仿宋" w:hAnsi="仿宋" w:eastAsia="仿宋" w:cs="仿宋"/>
          <w:b/>
          <w:bCs/>
          <w:color w:val="auto"/>
          <w:sz w:val="25"/>
          <w:szCs w:val="25"/>
          <w:highlight w:val="none"/>
          <w:lang w:val="en-US" w:eastAsia="zh-CN"/>
        </w:rPr>
        <w:t>四、双方权利与义务</w:t>
      </w:r>
      <w:bookmarkEnd w:id="8"/>
    </w:p>
    <w:p w14:paraId="52839C1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1、甲方权利与义务</w:t>
      </w:r>
    </w:p>
    <w:p w14:paraId="6FF6820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(1)甲方负责工程施工期间工程总进度计划安排、组织、协调工作及工程质量、进度、安全、环保、文明施工的管理、监督、检查。</w:t>
      </w:r>
    </w:p>
    <w:p w14:paraId="2F4E75B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(2)甲方负责进场道路通畅，负责混凝土试验费用、钢筋检验费用等工程方面的各项技术指标的检测检验试验费用。</w:t>
      </w:r>
    </w:p>
    <w:p w14:paraId="4AFFA71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(3)甲方负责组织相关施工图纸的技术、质量、安全、环保等交底工作。 但只对资料本身负责，不对乙方在使用上述资料所作的分析、判断和结论负责。</w:t>
      </w:r>
    </w:p>
    <w:p w14:paraId="664530A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(4)甲方负责组织现场调度会，协调现场施工；甲方负责与业主、监理工程师、设计单位的各种工作联系(包括协商、签证等)。</w:t>
      </w:r>
    </w:p>
    <w:p w14:paraId="24D688F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(5)甲方负责向乙方发布书面开工通知，并向乙方下达承包工程总体进度计划、月工程进度计划及周进度计划。</w:t>
      </w:r>
    </w:p>
    <w:p w14:paraId="4DE7B1B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就承包工程范围内的有关工作，甲方随时可以向乙方发出指令，乙方应执行甲方根据本合同和甲方项目管理规章制度所发出的所有指令。乙方拒不执行指令的，甲方有权采取相应措施或直接委托其他施工单位完成该指令事项，发生</w:t>
      </w:r>
      <w:bookmarkStart w:id="9" w:name="bookmark28"/>
      <w:bookmarkEnd w:id="9"/>
      <w:r>
        <w:rPr>
          <w:rFonts w:hint="eastAsia" w:ascii="仿宋" w:hAnsi="仿宋" w:eastAsia="仿宋" w:cs="仿宋"/>
          <w:color w:val="auto"/>
          <w:sz w:val="25"/>
          <w:szCs w:val="25"/>
          <w:highlight w:val="none"/>
          <w:lang w:val="en-US" w:eastAsia="zh-CN"/>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1DF29F6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(7)负责主要材料或半成品的管理和核销。</w:t>
      </w:r>
    </w:p>
    <w:p w14:paraId="7573AB8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(8)甲方负责对乙方完成的工程量进行审核、计价结算，并按业主资金到位情况进行工程款的支付。</w:t>
      </w:r>
    </w:p>
    <w:p w14:paraId="3F2A2A7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(9)甲方有权要求乙方撤换不能胜任本职工作的管理及施工人员。</w:t>
      </w:r>
    </w:p>
    <w:p w14:paraId="5114C7D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(10)甲方有权对乙方施工工作面存在的安全隐患进行监督、检查，并督促乙方采取整改措施。</w:t>
      </w:r>
    </w:p>
    <w:p w14:paraId="072FC98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(11)甲方有权对乙方的现场资源进行合理调配。</w:t>
      </w:r>
    </w:p>
    <w:p w14:paraId="776C706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(12)甲方有权要求乙方提供甲方认为必要的合法合规票据及资料原件，或将经甲方核对与原件无异的复印件交甲方留存备案。</w:t>
      </w:r>
    </w:p>
    <w:p w14:paraId="492A7CF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2、乙方权利与义务</w:t>
      </w:r>
    </w:p>
    <w:p w14:paraId="08267AD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(1)在接到甲方进场通知后</w:t>
      </w:r>
      <w:r>
        <w:rPr>
          <w:rFonts w:hint="eastAsia" w:ascii="仿宋" w:hAnsi="仿宋" w:eastAsia="仿宋" w:cs="仿宋"/>
          <w:color w:val="auto"/>
          <w:sz w:val="25"/>
          <w:szCs w:val="25"/>
          <w:highlight w:val="none"/>
          <w:u w:val="single"/>
          <w:lang w:val="en-US" w:eastAsia="zh-CN"/>
        </w:rPr>
        <w:t xml:space="preserve">  7 </w:t>
      </w:r>
      <w:r>
        <w:rPr>
          <w:rFonts w:hint="eastAsia" w:ascii="仿宋" w:hAnsi="仿宋" w:eastAsia="仿宋" w:cs="仿宋"/>
          <w:color w:val="auto"/>
          <w:sz w:val="25"/>
          <w:szCs w:val="25"/>
          <w:highlight w:val="none"/>
          <w:lang w:val="en-US" w:eastAsia="zh-CN"/>
        </w:rPr>
        <w:t>日内，乙方应组织人员接受甲方的技术、质量、安全、环保等交底，乙方负责组织人员研究和熟悉施工图纸、按照施工总布置要求、做好各项施工准备工作。</w:t>
      </w:r>
    </w:p>
    <w:p w14:paraId="7AE381E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(2)乙方保证在合同签订后，按承诺组织人员和机械设备进场，组织人员接受甲方的技术、质量、安全、环保等交底，保证开工后立即形成一定的生产能力。如果延期投入乙方承诺：每延期一天按</w:t>
      </w:r>
      <w:r>
        <w:rPr>
          <w:rFonts w:hint="eastAsia" w:ascii="仿宋" w:hAnsi="仿宋" w:eastAsia="仿宋" w:cs="仿宋"/>
          <w:color w:val="auto"/>
          <w:sz w:val="25"/>
          <w:szCs w:val="25"/>
          <w:highlight w:val="none"/>
          <w:u w:val="single"/>
          <w:lang w:val="en-US" w:eastAsia="zh-CN"/>
        </w:rPr>
        <w:t xml:space="preserve"> 3000 </w:t>
      </w:r>
      <w:r>
        <w:rPr>
          <w:rFonts w:hint="eastAsia" w:ascii="仿宋" w:hAnsi="仿宋" w:eastAsia="仿宋" w:cs="仿宋"/>
          <w:color w:val="auto"/>
          <w:sz w:val="25"/>
          <w:szCs w:val="25"/>
          <w:highlight w:val="none"/>
          <w:lang w:val="en-US" w:eastAsia="zh-CN"/>
        </w:rPr>
        <w:t>元/天计算，作为对甲方的损失补偿。</w:t>
      </w:r>
    </w:p>
    <w:p w14:paraId="497E2A6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自行对进场人员进行安全、质量和相关的技能培训并接受甲方的监督检查。特种作业人员必须有作业资格证并持证上岗。必须严格按照《安全操作规程》进行施工，在合同履行过程中，发生一切安全、质量事故均由乙方承担。施工过程中乙方若造成任何人身、财产损失的，责任由乙方承担。</w:t>
      </w:r>
    </w:p>
    <w:p w14:paraId="216EA3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(4)乙方为满足自身施工要求而修建的施工便道和对甲方修建的施工便道进行的整修、维护等相关费用由乙方自行承担，费用含在单价中。</w:t>
      </w:r>
    </w:p>
    <w:p w14:paraId="207FA09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(5)承担因乙方原因造成的业主、监理及行政主管部门等对甲方的罚款以及合同约定乙方应向甲方支付的违约金。</w:t>
      </w:r>
    </w:p>
    <w:p w14:paraId="30FC795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(6)遵照甲方相关管理体系运行要求及规定，加强相应的质量、环境保护、职业健康安全管理措施。</w:t>
      </w:r>
    </w:p>
    <w:p w14:paraId="2501DFB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(7)乙方必须积极配合甲方做好业主等上级领导的各类检查工作。</w:t>
      </w:r>
    </w:p>
    <w:p w14:paraId="31B2781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乙方必须按甲方要求的进度计划组织施工，接受甲方对工程进度的检查、监督和管理。工程实际进度不满足计划进度要求时，乙方应向甲方提交整改措施和方案，经甲方批准后执行；但并不免除因乙方原因造成的工期延误和应由乙方承担的一切损失及责任。</w:t>
      </w:r>
    </w:p>
    <w:p w14:paraId="69AC4B6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(9)乙方必须服从甲方的施工调度及甲方转发的业主或监理工程师与承包工程有关的指令。乙方不得直接致函业主或监理工程师，不得直接从业主处收取工程款。</w:t>
      </w:r>
    </w:p>
    <w:p w14:paraId="0ABE102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乙方必须遵守国家及当地政府有关安全生产和环境保护等法律、法规和甲方相关规定及制度，乙方必须严格遵守甲方质量、职业健康、安全、环境保护等管理，并及时提供相关各种见证资料及记录，对所属员工及因其过错造成他人人身、财产损失等负责。</w:t>
      </w:r>
    </w:p>
    <w:p w14:paraId="09487EB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(11)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7747CD9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(12)乙方负责施工现场及其生活营地的看护、保卫及未完工程的安全工作；按时向甲方移交工程。保护期内发生损坏的，由乙方承担全部损失并自费修复。</w:t>
      </w:r>
    </w:p>
    <w:p w14:paraId="070E61E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(13)乙方应对在保修期内承包工程出现的缺陷进行保修。如乙方未在甲方通知的时间内进行修理或经修理仍不符合要求的，甲方则有权另行指定第三方修理并不承担任何法律责任，所发生的一切费用由甲方直接从乙方质保金或应得、可能得到的款项中扣除，不足部分由乙方另行支付。</w:t>
      </w:r>
    </w:p>
    <w:p w14:paraId="4CE16AC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(14)如分包合同工程跨年度，乙方应在其营业执照、资质证书、安全生产许可证、税务登记证等相应证书年检或到期更换新证书后7   日内将通过年检或更换的新证书复印件(需加盖乙方单位公章)送交甲方备案，否则承担管理部门检查为此进行的罚款等一切损失。</w:t>
      </w:r>
    </w:p>
    <w:p w14:paraId="6D210E4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(15)乙方确保其施工人员工资及时发放，并配合甲方对其施工人员工资发放情况的检查和监督工作。</w:t>
      </w:r>
    </w:p>
    <w:p w14:paraId="78E3602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(16)乙方负责其施工人员的培训、安全教育、持证上岗、职业病防治、工资发放、各种社会保险、伤亡事故处理、劳动争议等事宜，并负责因其施工人员、机械设备在合同履行期间给甲方及第三人造成的人身、财产损失赔偿。</w:t>
      </w:r>
    </w:p>
    <w:p w14:paraId="2875E66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(17)乙方必须为其施工及管理人员办理意外伤害(或雇主责任)保险，保险费用由乙方承担，为其施工设备办理相关保险。</w:t>
      </w:r>
    </w:p>
    <w:p w14:paraId="6CF274E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(18)乙方承担不按设计要求施工造成的甲方各项经济损失的所有费用。</w:t>
      </w:r>
    </w:p>
    <w:p w14:paraId="3C6F4D1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(19)业主或监理工程师的指令，乙方必须无条件服从，业主或监理工程师明确不予补偿或赔偿的事项，乙方不得向甲方提出补偿或赔偿要求。</w:t>
      </w:r>
    </w:p>
    <w:p w14:paraId="27243F1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(20)乙方在签订本协议时，已经充分了解到施工现场条件及自然地理环境的风险，并承担由该风险所带来的损失和责任。</w:t>
      </w:r>
    </w:p>
    <w:p w14:paraId="58127F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(21)乙方确认</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b/>
          <w:bCs/>
          <w:color w:val="auto"/>
          <w:sz w:val="25"/>
          <w:szCs w:val="25"/>
          <w:highlight w:val="none"/>
          <w:u w:val="single"/>
          <w:lang w:val="en-US" w:eastAsia="zh-CN"/>
        </w:rPr>
        <w:t>****</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为本合同工程劳务分包作业负责人(身份证号：</w:t>
      </w:r>
      <w:r>
        <w:rPr>
          <w:rFonts w:hint="eastAsia" w:ascii="仿宋" w:hAnsi="仿宋" w:eastAsia="仿宋" w:cs="仿宋"/>
          <w:b/>
          <w:bCs/>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 电 话：</w:t>
      </w:r>
      <w:r>
        <w:rPr>
          <w:rFonts w:hint="eastAsia" w:ascii="仿宋" w:hAnsi="仿宋" w:eastAsia="仿宋" w:cs="仿宋"/>
          <w:b/>
          <w:bCs/>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zh-CN"/>
        </w:rPr>
        <w:t>)。乙方依据本合同发出的请求及通知，必须由劳务分包作业负责人或授权代表签字，否则视为无效。在本合同履约期内不得兼任除本合同以外其他工程的项目经理或主要负责人，否则，乙方应向甲方支付违约金人民币</w:t>
      </w:r>
      <w:r>
        <w:rPr>
          <w:rFonts w:hint="eastAsia" w:ascii="仿宋" w:hAnsi="仿宋" w:eastAsia="仿宋" w:cs="仿宋"/>
          <w:b/>
          <w:bCs/>
          <w:color w:val="auto"/>
          <w:sz w:val="25"/>
          <w:szCs w:val="25"/>
          <w:highlight w:val="none"/>
          <w:u w:val="single"/>
          <w:lang w:val="en-US" w:eastAsia="zh-CN"/>
        </w:rPr>
        <w:t xml:space="preserve"> 10000 </w:t>
      </w:r>
      <w:r>
        <w:rPr>
          <w:rFonts w:hint="eastAsia" w:ascii="仿宋" w:hAnsi="仿宋" w:eastAsia="仿宋" w:cs="仿宋"/>
          <w:color w:val="auto"/>
          <w:sz w:val="25"/>
          <w:szCs w:val="25"/>
          <w:highlight w:val="none"/>
          <w:lang w:val="en-US" w:eastAsia="zh-CN"/>
        </w:rPr>
        <w:t>元；未经甲方同意更换分包负责人，乙方应向甲方缴纳违约金人民币</w:t>
      </w:r>
      <w:r>
        <w:rPr>
          <w:rFonts w:hint="eastAsia" w:ascii="仿宋" w:hAnsi="仿宋" w:eastAsia="仿宋" w:cs="仿宋"/>
          <w:b/>
          <w:bCs/>
          <w:color w:val="auto"/>
          <w:sz w:val="25"/>
          <w:szCs w:val="25"/>
          <w:highlight w:val="none"/>
          <w:u w:val="single"/>
          <w:lang w:val="en-US" w:eastAsia="zh-CN"/>
        </w:rPr>
        <w:t>5000</w:t>
      </w:r>
      <w:r>
        <w:rPr>
          <w:rFonts w:hint="eastAsia" w:ascii="仿宋" w:hAnsi="仿宋" w:eastAsia="仿宋" w:cs="仿宋"/>
          <w:color w:val="auto"/>
          <w:sz w:val="25"/>
          <w:szCs w:val="25"/>
          <w:highlight w:val="none"/>
          <w:lang w:val="en-US" w:eastAsia="zh-CN"/>
        </w:rPr>
        <w:t>元。</w:t>
      </w:r>
    </w:p>
    <w:p w14:paraId="0F59574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(22)乙方的分包负责人须常驻工地，全权负责乙方施工进度、质量、技术、安全、结算、民工管理等职责，负责人离开工地时，须以书面形式向甲方单位请假，经甲方项目经理或其授权代表书面同意后方可离开工地。负责人每月在工地时间不得低于</w:t>
      </w:r>
      <w:r>
        <w:rPr>
          <w:rFonts w:hint="eastAsia" w:ascii="仿宋" w:hAnsi="仿宋" w:eastAsia="仿宋" w:cs="仿宋"/>
          <w:b/>
          <w:bCs/>
          <w:color w:val="auto"/>
          <w:sz w:val="25"/>
          <w:szCs w:val="25"/>
          <w:highlight w:val="none"/>
          <w:u w:val="single"/>
          <w:lang w:val="en-US" w:eastAsia="zh-CN"/>
        </w:rPr>
        <w:t xml:space="preserve"> 25 </w:t>
      </w:r>
      <w:r>
        <w:rPr>
          <w:rFonts w:hint="eastAsia" w:ascii="仿宋" w:hAnsi="仿宋" w:eastAsia="仿宋" w:cs="仿宋"/>
          <w:color w:val="auto"/>
          <w:sz w:val="25"/>
          <w:szCs w:val="25"/>
          <w:highlight w:val="none"/>
          <w:lang w:val="en-US" w:eastAsia="zh-CN"/>
        </w:rPr>
        <w:t>日。工地现场建立考勤制度，每少1天应向甲方缴纳</w:t>
      </w:r>
      <w:r>
        <w:rPr>
          <w:rFonts w:hint="eastAsia" w:ascii="仿宋" w:hAnsi="仿宋" w:eastAsia="仿宋" w:cs="仿宋"/>
          <w:b/>
          <w:bCs/>
          <w:i w:val="0"/>
          <w:iCs w:val="0"/>
          <w:color w:val="auto"/>
          <w:sz w:val="25"/>
          <w:szCs w:val="25"/>
          <w:highlight w:val="none"/>
          <w:u w:val="single"/>
          <w:lang w:val="en-US" w:eastAsia="zh-CN"/>
        </w:rPr>
        <w:t>1000元/天</w:t>
      </w:r>
      <w:r>
        <w:rPr>
          <w:rFonts w:hint="eastAsia" w:ascii="仿宋" w:hAnsi="仿宋" w:eastAsia="仿宋" w:cs="仿宋"/>
          <w:color w:val="auto"/>
          <w:sz w:val="25"/>
          <w:szCs w:val="25"/>
          <w:highlight w:val="none"/>
          <w:lang w:val="en-US" w:eastAsia="zh-CN"/>
        </w:rPr>
        <w:t>的违约金。</w:t>
      </w:r>
    </w:p>
    <w:p w14:paraId="4EFB598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(23)乙方已全面了解并承诺遵守甲方各项管理制度，服从甲方对施工现场管理的各项管理规定及指令，乙方不得以甲方的名义从事其它任何活动。</w:t>
      </w:r>
    </w:p>
    <w:p w14:paraId="71AD832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(24)乙方不得将本合同中乙方的权利和义务转让给第三方(包括再次分包、事实上的转包等)。一经查出再次分包和事实上转包的，甲方有权要求乙方按合同总金额的</w:t>
      </w:r>
      <w:r>
        <w:rPr>
          <w:rFonts w:hint="eastAsia" w:ascii="仿宋" w:hAnsi="仿宋" w:eastAsia="仿宋" w:cs="仿宋"/>
          <w:b/>
          <w:bCs/>
          <w:color w:val="auto"/>
          <w:sz w:val="25"/>
          <w:szCs w:val="25"/>
          <w:highlight w:val="none"/>
          <w:u w:val="single"/>
          <w:lang w:val="en-US" w:eastAsia="zh-CN"/>
        </w:rPr>
        <w:t xml:space="preserve">10 </w:t>
      </w:r>
      <w:r>
        <w:rPr>
          <w:rFonts w:hint="eastAsia" w:ascii="仿宋" w:hAnsi="仿宋" w:eastAsia="仿宋" w:cs="仿宋"/>
          <w:b/>
          <w:bCs/>
          <w:color w:val="auto"/>
          <w:sz w:val="25"/>
          <w:szCs w:val="25"/>
          <w:highlight w:val="none"/>
          <w:lang w:val="en-US" w:eastAsia="zh-CN"/>
        </w:rPr>
        <w:t>%</w:t>
      </w:r>
      <w:r>
        <w:rPr>
          <w:rFonts w:hint="eastAsia" w:ascii="仿宋" w:hAnsi="仿宋" w:eastAsia="仿宋" w:cs="仿宋"/>
          <w:color w:val="auto"/>
          <w:sz w:val="25"/>
          <w:szCs w:val="25"/>
          <w:highlight w:val="none"/>
          <w:lang w:val="en-US" w:eastAsia="zh-CN"/>
        </w:rPr>
        <w:t>向甲方支付违约金，并有权单方面解除合同。乙方应当赔偿由此给甲方造成的一切损失，并就工程质量、安全、进度、文明施工、环境保护、水土保持等与其转包人承担连带责任。</w:t>
      </w:r>
      <w:bookmarkStart w:id="10" w:name="bookmark29"/>
      <w:bookmarkEnd w:id="10"/>
    </w:p>
    <w:p w14:paraId="3D853DF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(25)乙方须按照合同及甲方的管理要求，及时向甲方提供相关资料。如不能按时提供资料，甲方有权暂停给乙方的工程款结算和支付，且甲方不承担任何责任。</w:t>
      </w:r>
    </w:p>
    <w:p w14:paraId="2B60FA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(26)乙方从甲方领用的材料,乙方均负有看守、保护责任，一旦发生丢失、损毁，乙方均负有赔偿责任。</w:t>
      </w:r>
    </w:p>
    <w:p w14:paraId="4D4144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(27)</w:t>
      </w:r>
      <w:r>
        <w:rPr>
          <w:rFonts w:hint="eastAsia" w:ascii="仿宋" w:hAnsi="仿宋" w:eastAsia="仿宋" w:cs="仿宋"/>
          <w:color w:val="FF0000"/>
          <w:spacing w:val="-7"/>
          <w:sz w:val="25"/>
          <w:szCs w:val="25"/>
          <w:lang w:val="en-US" w:eastAsia="zh-CN"/>
        </w:rPr>
        <w:t>在甲方资金短缺期间，乙方应有一定的资金能力，必须保证工程施工按照合同约定正常进行</w:t>
      </w:r>
      <w:r>
        <w:rPr>
          <w:rFonts w:hint="eastAsia" w:ascii="仿宋" w:hAnsi="仿宋" w:eastAsia="仿宋" w:cs="仿宋"/>
          <w:color w:val="auto"/>
          <w:sz w:val="25"/>
          <w:szCs w:val="25"/>
          <w:highlight w:val="none"/>
          <w:lang w:val="en-US" w:eastAsia="zh-CN"/>
        </w:rPr>
        <w:t>。</w:t>
      </w:r>
    </w:p>
    <w:p w14:paraId="219D13A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1" w:name="_Toc8254"/>
      <w:r>
        <w:rPr>
          <w:rFonts w:hint="eastAsia" w:ascii="仿宋" w:hAnsi="仿宋" w:eastAsia="仿宋" w:cs="仿宋"/>
          <w:b/>
          <w:bCs/>
          <w:color w:val="auto"/>
          <w:sz w:val="25"/>
          <w:szCs w:val="25"/>
          <w:highlight w:val="none"/>
          <w:lang w:val="en-US" w:eastAsia="zh-CN"/>
        </w:rPr>
        <w:t>五、施工辅助设施</w:t>
      </w:r>
      <w:bookmarkEnd w:id="11"/>
    </w:p>
    <w:p w14:paraId="596D372C">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bookmarkStart w:id="12" w:name="bookmark7"/>
      <w:bookmarkEnd w:id="12"/>
      <w:r>
        <w:rPr>
          <w:rFonts w:hint="eastAsia" w:ascii="仿宋" w:hAnsi="仿宋" w:eastAsia="仿宋" w:cs="仿宋"/>
          <w:b/>
          <w:bCs/>
          <w:i w:val="0"/>
          <w:iCs w:val="0"/>
          <w:snapToGrid/>
          <w:color w:val="auto"/>
          <w:kern w:val="2"/>
          <w:sz w:val="24"/>
          <w:szCs w:val="24"/>
          <w:highlight w:val="none"/>
          <w:lang w:val="en-US" w:eastAsia="zh-CN"/>
        </w:rPr>
        <w:t>1、施工供水</w:t>
      </w:r>
    </w:p>
    <w:p w14:paraId="2815A9C4">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color w:val="auto"/>
          <w:sz w:val="25"/>
          <w:szCs w:val="25"/>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原则不提供施工用水，若甲方有现成临时用水接入点，乙方自行完成临水接入并完成从临水接入点往下至各个工作面的管路接入，场地内临水所需人工、材料、机械等费用均由乙方自行承担，甲方提供施工用水接入点的，施工用水费用由甲方承担。</w:t>
      </w:r>
    </w:p>
    <w:p w14:paraId="74A1C0FE">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2、施工供电</w:t>
      </w:r>
    </w:p>
    <w:p w14:paraId="5E48F2BA">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u w:val="single"/>
          <w:lang w:val="en-US" w:eastAsia="zh-CN"/>
        </w:rPr>
        <w:t>甲方原则不提供施工用电，若甲方有现成临时用电接入点，乙方自行接入使用。若甲方没有临电接入口，现场临时施工电源由乙方自行解决，包括发电机、配电箱、以及所有电源箱、电源线、灯具、开关、插座、设备、机械均由乙方提供，乙方应配备专业电工进行现场用电维护，电工应满足持证上岗要求，甲方提供施工用电接入点的，施工用电费用由甲方承担。</w:t>
      </w:r>
    </w:p>
    <w:p w14:paraId="59208F58">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3、施工排水</w:t>
      </w:r>
    </w:p>
    <w:p w14:paraId="5761168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甲方不提供临时排水接入点，如施工现场需要进行施工降水、排水的，相关措施由乙方按照设计要求实施并承担相应费用。</w:t>
      </w:r>
    </w:p>
    <w:p w14:paraId="10F0C015">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4、施工供风</w:t>
      </w:r>
    </w:p>
    <w:p w14:paraId="38A75AF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甲方不负责施工供风，如施工现场需要进行施工供风的，相关措施由乙方按照设计要求实施并承担相应费用。</w:t>
      </w:r>
    </w:p>
    <w:p w14:paraId="38758589">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5、现场施工道路</w:t>
      </w:r>
    </w:p>
    <w:p w14:paraId="652A790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甲方不提供施工道路，如施工现场需要使用临时施工道路的，相关措施由乙方按照设计及方案要求实施并承担相应费用。</w:t>
      </w:r>
    </w:p>
    <w:p w14:paraId="1AE2C8B9">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6、施工住房</w:t>
      </w:r>
    </w:p>
    <w:p w14:paraId="0136FE6C">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eastAsia="zh-CN"/>
        </w:rPr>
      </w:pPr>
      <w:r>
        <w:rPr>
          <w:rFonts w:hint="eastAsia" w:ascii="仿宋" w:hAnsi="仿宋" w:eastAsia="仿宋" w:cs="仿宋"/>
          <w:i w:val="0"/>
          <w:iCs w:val="0"/>
          <w:color w:val="auto"/>
          <w:sz w:val="24"/>
          <w:szCs w:val="24"/>
          <w:highlight w:val="none"/>
          <w:u w:val="single"/>
        </w:rPr>
        <w:t>乙方管理人员及施工人员住房由乙方自行解决，相关费用已包含在</w:t>
      </w:r>
      <w:r>
        <w:rPr>
          <w:rFonts w:hint="eastAsia" w:ascii="仿宋" w:hAnsi="仿宋" w:eastAsia="仿宋" w:cs="仿宋"/>
          <w:i w:val="0"/>
          <w:iCs w:val="0"/>
          <w:color w:val="auto"/>
          <w:sz w:val="24"/>
          <w:szCs w:val="24"/>
          <w:highlight w:val="none"/>
          <w:u w:val="single"/>
          <w:lang w:val="en-US" w:eastAsia="zh-CN"/>
        </w:rPr>
        <w:t>下浮报价中</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甲方不再单独支付</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lang w:val="en-US" w:eastAsia="zh-CN"/>
        </w:rPr>
        <w:t>且其</w:t>
      </w:r>
      <w:r>
        <w:rPr>
          <w:rFonts w:hint="eastAsia" w:ascii="仿宋" w:hAnsi="仿宋" w:eastAsia="仿宋" w:cs="仿宋"/>
          <w:i w:val="0"/>
          <w:iCs w:val="0"/>
          <w:color w:val="auto"/>
          <w:sz w:val="24"/>
          <w:szCs w:val="24"/>
          <w:highlight w:val="none"/>
          <w:u w:val="single"/>
        </w:rPr>
        <w:t>安全责任和文明</w:t>
      </w:r>
      <w:r>
        <w:rPr>
          <w:rFonts w:hint="eastAsia" w:ascii="仿宋" w:hAnsi="仿宋" w:eastAsia="仿宋" w:cs="仿宋"/>
          <w:i w:val="0"/>
          <w:iCs w:val="0"/>
          <w:color w:val="auto"/>
          <w:sz w:val="24"/>
          <w:szCs w:val="24"/>
          <w:highlight w:val="none"/>
          <w:u w:val="single"/>
          <w:lang w:val="en-US" w:eastAsia="zh-CN"/>
        </w:rPr>
        <w:t>管理</w:t>
      </w:r>
      <w:r>
        <w:rPr>
          <w:rFonts w:hint="eastAsia" w:ascii="仿宋" w:hAnsi="仿宋" w:eastAsia="仿宋" w:cs="仿宋"/>
          <w:i w:val="0"/>
          <w:iCs w:val="0"/>
          <w:color w:val="auto"/>
          <w:sz w:val="24"/>
          <w:szCs w:val="24"/>
          <w:highlight w:val="none"/>
          <w:u w:val="single"/>
        </w:rPr>
        <w:t>责任由乙方</w:t>
      </w:r>
      <w:r>
        <w:rPr>
          <w:rFonts w:hint="eastAsia" w:ascii="仿宋" w:hAnsi="仿宋" w:eastAsia="仿宋" w:cs="仿宋"/>
          <w:i w:val="0"/>
          <w:iCs w:val="0"/>
          <w:color w:val="auto"/>
          <w:sz w:val="24"/>
          <w:szCs w:val="24"/>
          <w:highlight w:val="none"/>
          <w:u w:val="single"/>
          <w:lang w:val="en-US" w:eastAsia="zh-CN"/>
        </w:rPr>
        <w:t>自行</w:t>
      </w:r>
      <w:r>
        <w:rPr>
          <w:rFonts w:hint="eastAsia" w:ascii="仿宋" w:hAnsi="仿宋" w:eastAsia="仿宋" w:cs="仿宋"/>
          <w:i w:val="0"/>
          <w:iCs w:val="0"/>
          <w:color w:val="auto"/>
          <w:sz w:val="24"/>
          <w:szCs w:val="24"/>
          <w:highlight w:val="none"/>
          <w:u w:val="single"/>
        </w:rPr>
        <w:t>负责</w:t>
      </w:r>
      <w:r>
        <w:rPr>
          <w:rFonts w:hint="eastAsia" w:ascii="仿宋" w:hAnsi="仿宋" w:eastAsia="仿宋" w:cs="仿宋"/>
          <w:i w:val="0"/>
          <w:iCs w:val="0"/>
          <w:color w:val="auto"/>
          <w:sz w:val="24"/>
          <w:szCs w:val="24"/>
          <w:highlight w:val="none"/>
          <w:u w:val="single"/>
          <w:lang w:eastAsia="zh-CN"/>
        </w:rPr>
        <w:t>。</w:t>
      </w:r>
    </w:p>
    <w:p w14:paraId="16CB7AC2">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7、季节性施工措施</w:t>
      </w:r>
    </w:p>
    <w:p w14:paraId="342F0406">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rPr>
      </w:pPr>
      <w:bookmarkStart w:id="13" w:name="_Toc26255"/>
      <w:r>
        <w:rPr>
          <w:rFonts w:hint="eastAsia" w:ascii="仿宋" w:hAnsi="仿宋" w:eastAsia="仿宋" w:cs="仿宋"/>
          <w:i w:val="0"/>
          <w:iCs w:val="0"/>
          <w:color w:val="auto"/>
          <w:sz w:val="24"/>
          <w:szCs w:val="24"/>
          <w:highlight w:val="none"/>
          <w:u w:val="single"/>
        </w:rPr>
        <w:t>冬雨季施工增加的人工费、材料费及其他发生的所有冬雨季施工措施费均由乙方承担，费用已包含在合同价中，甲方不再另行支付。</w:t>
      </w:r>
    </w:p>
    <w:p w14:paraId="4F9715D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六、材料供应</w:t>
      </w:r>
      <w:bookmarkEnd w:id="13"/>
    </w:p>
    <w:p w14:paraId="31069DF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(一)甲供材料</w:t>
      </w:r>
    </w:p>
    <w:p w14:paraId="6B0C4D8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本项目甲供材料：</w:t>
      </w:r>
      <w:r>
        <w:rPr>
          <w:rFonts w:hint="eastAsia" w:ascii="仿宋" w:hAnsi="仿宋" w:eastAsia="仿宋" w:cs="仿宋"/>
          <w:color w:val="FF0000"/>
          <w:sz w:val="25"/>
          <w:szCs w:val="25"/>
          <w:highlight w:val="none"/>
          <w:u w:val="single"/>
          <w:lang w:val="en-US" w:eastAsia="zh-CN"/>
        </w:rPr>
        <w:t>水泥、砂、商品混凝土、砌块、配砖、扁钢、空心砖、多孔砖、标砖、混凝土实心砖、钢卡件原材、泵管、钢</w:t>
      </w:r>
      <w:bookmarkStart w:id="49" w:name="_GoBack"/>
      <w:bookmarkEnd w:id="49"/>
      <w:r>
        <w:rPr>
          <w:rFonts w:hint="eastAsia" w:ascii="仿宋" w:hAnsi="仿宋" w:eastAsia="仿宋" w:cs="仿宋"/>
          <w:color w:val="FF0000"/>
          <w:sz w:val="25"/>
          <w:szCs w:val="25"/>
          <w:highlight w:val="none"/>
          <w:u w:val="single"/>
          <w:lang w:val="en-US" w:eastAsia="zh-CN"/>
        </w:rPr>
        <w:t>筋、套筒、钢板及预埋件</w:t>
      </w:r>
      <w:r>
        <w:rPr>
          <w:rFonts w:hint="eastAsia" w:eastAsia="宋体"/>
          <w:lang w:val="en-US" w:eastAsia="zh-CN"/>
        </w:rPr>
        <w:t>、</w:t>
      </w:r>
      <w:r>
        <w:rPr>
          <w:rFonts w:hint="eastAsia" w:ascii="仿宋" w:hAnsi="仿宋" w:eastAsia="仿宋" w:cs="仿宋"/>
          <w:color w:val="FF0000"/>
          <w:sz w:val="25"/>
          <w:szCs w:val="25"/>
          <w:highlight w:val="none"/>
          <w:u w:val="single"/>
          <w:lang w:val="en-US" w:eastAsia="zh-CN"/>
        </w:rPr>
        <w:t>止水钢+板或止水带、止水丝杆（不含相应配件）、网格布、防水粉、保温板、预埋管材、</w:t>
      </w:r>
      <w:r>
        <w:rPr>
          <w:rFonts w:hint="eastAsia" w:ascii="仿宋" w:hAnsi="仿宋" w:eastAsia="仿宋" w:cs="仿宋"/>
          <w:color w:val="FF0000"/>
          <w:spacing w:val="-12"/>
          <w:sz w:val="25"/>
          <w:szCs w:val="25"/>
          <w:highlight w:val="none"/>
          <w:u w:val="single" w:color="auto"/>
          <w:lang w:val="en-US" w:eastAsia="zh-CN"/>
        </w:rPr>
        <w:t>界面剂、给排水管及管件、PVC线管及管件、SC、JDG等管材及管件、电线电缆、配电箱、灯具、开关、插座、线鼻子、桥架、圆钢、角钢、扁铁、套管</w:t>
      </w:r>
      <w:r>
        <w:rPr>
          <w:rFonts w:hint="eastAsia" w:ascii="仿宋" w:hAnsi="仿宋" w:eastAsia="仿宋" w:cs="仿宋"/>
          <w:color w:val="auto"/>
          <w:sz w:val="25"/>
          <w:szCs w:val="25"/>
          <w:highlight w:val="none"/>
          <w:lang w:val="en-US" w:eastAsia="zh-CN"/>
        </w:rPr>
        <w:t>由甲方统一提供，除上述材料外的其他材料均由乙方自行采购，已包含在综合单价中。</w:t>
      </w:r>
    </w:p>
    <w:p w14:paraId="1D537C1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（针对每种甲供材料需求计划、物资管理、损耗等单独写）</w:t>
      </w:r>
    </w:p>
    <w:p w14:paraId="69DE0A5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(二)甲供材损耗控制</w:t>
      </w:r>
    </w:p>
    <w:p w14:paraId="7565F75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甲供材料的损耗实行限额控制，超过损耗率限额外的由乙方按甲方材料采购 合同价赔偿，损耗率约定如下：</w:t>
      </w:r>
    </w:p>
    <w:tbl>
      <w:tblPr>
        <w:tblStyle w:val="14"/>
        <w:tblW w:w="89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237A3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383" w:type="dxa"/>
            <w:vAlign w:val="top"/>
          </w:tcPr>
          <w:p w14:paraId="2FA956AB">
            <w:pPr>
              <w:kinsoku w:val="0"/>
              <w:autoSpaceDE w:val="0"/>
              <w:autoSpaceDN w:val="0"/>
              <w:adjustRightInd w:val="0"/>
              <w:snapToGrid w:val="0"/>
              <w:spacing w:before="141" w:line="219" w:lineRule="auto"/>
              <w:ind w:left="324"/>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材料名称</w:t>
            </w:r>
          </w:p>
        </w:tc>
        <w:tc>
          <w:tcPr>
            <w:tcW w:w="1019" w:type="dxa"/>
            <w:vAlign w:val="top"/>
          </w:tcPr>
          <w:p w14:paraId="3020BD49">
            <w:pPr>
              <w:kinsoku w:val="0"/>
              <w:autoSpaceDE w:val="0"/>
              <w:autoSpaceDN w:val="0"/>
              <w:adjustRightInd w:val="0"/>
              <w:snapToGrid w:val="0"/>
              <w:spacing w:before="142" w:line="219" w:lineRule="auto"/>
              <w:ind w:left="23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损耗率</w:t>
            </w:r>
          </w:p>
        </w:tc>
        <w:tc>
          <w:tcPr>
            <w:tcW w:w="1249" w:type="dxa"/>
            <w:vAlign w:val="top"/>
          </w:tcPr>
          <w:p w14:paraId="1E2DDED9">
            <w:pPr>
              <w:kinsoku w:val="0"/>
              <w:autoSpaceDE w:val="0"/>
              <w:autoSpaceDN w:val="0"/>
              <w:adjustRightInd w:val="0"/>
              <w:snapToGrid w:val="0"/>
              <w:spacing w:before="140" w:line="218" w:lineRule="auto"/>
              <w:ind w:left="342"/>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赔偿价</w:t>
            </w:r>
          </w:p>
        </w:tc>
        <w:tc>
          <w:tcPr>
            <w:tcW w:w="5289" w:type="dxa"/>
            <w:vAlign w:val="top"/>
          </w:tcPr>
          <w:p w14:paraId="23BF4511">
            <w:pPr>
              <w:kinsoku w:val="0"/>
              <w:autoSpaceDE w:val="0"/>
              <w:autoSpaceDN w:val="0"/>
              <w:adjustRightInd w:val="0"/>
              <w:snapToGrid w:val="0"/>
              <w:spacing w:before="142" w:line="219" w:lineRule="auto"/>
              <w:ind w:left="209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1"/>
                <w:kern w:val="0"/>
                <w:sz w:val="24"/>
                <w:szCs w:val="24"/>
                <w:lang w:val="en-US" w:eastAsia="en-US" w:bidi="ar-SA"/>
              </w:rPr>
              <w:t>损耗率的计算</w:t>
            </w:r>
          </w:p>
        </w:tc>
      </w:tr>
      <w:tr w14:paraId="6AFB4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75BB4735">
            <w:pPr>
              <w:kinsoku w:val="0"/>
              <w:autoSpaceDE w:val="0"/>
              <w:autoSpaceDN w:val="0"/>
              <w:adjustRightInd w:val="0"/>
              <w:snapToGrid w:val="0"/>
              <w:spacing w:before="149" w:line="221" w:lineRule="auto"/>
              <w:ind w:left="414"/>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3"/>
                <w:kern w:val="0"/>
                <w:sz w:val="24"/>
                <w:szCs w:val="24"/>
                <w:lang w:val="en-US" w:eastAsia="en-US" w:bidi="ar-SA"/>
              </w:rPr>
              <w:t>混凝土</w:t>
            </w:r>
          </w:p>
        </w:tc>
        <w:tc>
          <w:tcPr>
            <w:tcW w:w="1019" w:type="dxa"/>
            <w:vAlign w:val="top"/>
          </w:tcPr>
          <w:p w14:paraId="32E62C6A">
            <w:pPr>
              <w:kinsoku w:val="0"/>
              <w:autoSpaceDE w:val="0"/>
              <w:autoSpaceDN w:val="0"/>
              <w:adjustRightInd w:val="0"/>
              <w:snapToGrid w:val="0"/>
              <w:spacing w:before="194" w:line="183" w:lineRule="auto"/>
              <w:ind w:left="32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1"/>
                <w:kern w:val="0"/>
                <w:sz w:val="24"/>
                <w:szCs w:val="24"/>
                <w:lang w:val="en-US" w:eastAsia="zh-CN" w:bidi="ar-SA"/>
              </w:rPr>
              <w:t>3</w:t>
            </w:r>
            <w:r>
              <w:rPr>
                <w:rFonts w:hint="eastAsia" w:ascii="仿宋" w:hAnsi="仿宋" w:eastAsia="仿宋" w:cs="仿宋"/>
                <w:snapToGrid w:val="0"/>
                <w:color w:val="auto"/>
                <w:spacing w:val="-1"/>
                <w:kern w:val="0"/>
                <w:sz w:val="24"/>
                <w:szCs w:val="24"/>
                <w:lang w:val="en-US" w:eastAsia="en-US" w:bidi="ar-SA"/>
              </w:rPr>
              <w:t>%</w:t>
            </w:r>
          </w:p>
        </w:tc>
        <w:tc>
          <w:tcPr>
            <w:tcW w:w="1249" w:type="dxa"/>
            <w:vMerge w:val="restart"/>
            <w:vAlign w:val="top"/>
          </w:tcPr>
          <w:p w14:paraId="3FCD2142">
            <w:pPr>
              <w:spacing w:line="248" w:lineRule="auto"/>
              <w:rPr>
                <w:rFonts w:hint="eastAsia" w:ascii="仿宋" w:hAnsi="仿宋" w:eastAsia="仿宋" w:cs="仿宋"/>
                <w:color w:val="auto"/>
                <w:sz w:val="24"/>
                <w:szCs w:val="24"/>
              </w:rPr>
            </w:pPr>
          </w:p>
          <w:p w14:paraId="5713389D">
            <w:pPr>
              <w:spacing w:line="248" w:lineRule="auto"/>
              <w:rPr>
                <w:rFonts w:hint="eastAsia" w:ascii="仿宋" w:hAnsi="仿宋" w:eastAsia="仿宋" w:cs="仿宋"/>
                <w:color w:val="auto"/>
                <w:sz w:val="24"/>
                <w:szCs w:val="24"/>
              </w:rPr>
            </w:pPr>
          </w:p>
          <w:p w14:paraId="6AB054D5">
            <w:pPr>
              <w:spacing w:line="248" w:lineRule="auto"/>
              <w:rPr>
                <w:rFonts w:hint="eastAsia" w:ascii="仿宋" w:hAnsi="仿宋" w:eastAsia="仿宋" w:cs="仿宋"/>
                <w:color w:val="auto"/>
                <w:sz w:val="24"/>
                <w:szCs w:val="24"/>
              </w:rPr>
            </w:pPr>
          </w:p>
          <w:p w14:paraId="64A045B1">
            <w:pPr>
              <w:spacing w:line="248" w:lineRule="auto"/>
              <w:rPr>
                <w:rFonts w:hint="eastAsia" w:ascii="仿宋" w:hAnsi="仿宋" w:eastAsia="仿宋" w:cs="仿宋"/>
                <w:color w:val="auto"/>
                <w:sz w:val="24"/>
                <w:szCs w:val="24"/>
              </w:rPr>
            </w:pPr>
          </w:p>
          <w:p w14:paraId="07543CDA">
            <w:pPr>
              <w:spacing w:line="248" w:lineRule="auto"/>
              <w:rPr>
                <w:rFonts w:hint="eastAsia" w:ascii="仿宋" w:hAnsi="仿宋" w:eastAsia="仿宋" w:cs="仿宋"/>
                <w:color w:val="auto"/>
                <w:sz w:val="24"/>
                <w:szCs w:val="24"/>
              </w:rPr>
            </w:pPr>
          </w:p>
          <w:p w14:paraId="367F99F9">
            <w:pPr>
              <w:spacing w:line="248" w:lineRule="auto"/>
              <w:rPr>
                <w:rFonts w:hint="eastAsia" w:ascii="仿宋" w:hAnsi="仿宋" w:eastAsia="仿宋" w:cs="仿宋"/>
                <w:color w:val="auto"/>
                <w:sz w:val="24"/>
                <w:szCs w:val="24"/>
              </w:rPr>
            </w:pPr>
          </w:p>
          <w:p w14:paraId="64A47ECA">
            <w:pPr>
              <w:spacing w:line="249" w:lineRule="auto"/>
              <w:rPr>
                <w:rFonts w:hint="eastAsia" w:ascii="仿宋" w:hAnsi="仿宋" w:eastAsia="仿宋" w:cs="仿宋"/>
                <w:color w:val="auto"/>
                <w:sz w:val="24"/>
                <w:szCs w:val="24"/>
              </w:rPr>
            </w:pPr>
          </w:p>
          <w:p w14:paraId="1BC2E209">
            <w:pPr>
              <w:spacing w:line="249" w:lineRule="auto"/>
              <w:rPr>
                <w:rFonts w:hint="eastAsia" w:ascii="仿宋" w:hAnsi="仿宋" w:eastAsia="仿宋" w:cs="仿宋"/>
                <w:color w:val="auto"/>
                <w:sz w:val="24"/>
                <w:szCs w:val="24"/>
              </w:rPr>
            </w:pPr>
          </w:p>
          <w:p w14:paraId="4D5BA854">
            <w:pPr>
              <w:kinsoku w:val="0"/>
              <w:autoSpaceDE w:val="0"/>
              <w:autoSpaceDN w:val="0"/>
              <w:adjustRightInd w:val="0"/>
              <w:snapToGrid w:val="0"/>
              <w:spacing w:before="59" w:line="219" w:lineRule="auto"/>
              <w:ind w:left="162"/>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根据甲方材</w:t>
            </w:r>
          </w:p>
          <w:p w14:paraId="5035D882">
            <w:pPr>
              <w:kinsoku w:val="0"/>
              <w:autoSpaceDE w:val="0"/>
              <w:autoSpaceDN w:val="0"/>
              <w:adjustRightInd w:val="0"/>
              <w:snapToGrid w:val="0"/>
              <w:spacing w:before="265" w:line="218" w:lineRule="auto"/>
              <w:ind w:left="252"/>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料采购价</w:t>
            </w:r>
          </w:p>
        </w:tc>
        <w:tc>
          <w:tcPr>
            <w:tcW w:w="5289" w:type="dxa"/>
            <w:vAlign w:val="top"/>
          </w:tcPr>
          <w:p w14:paraId="0EB7CAB3">
            <w:pPr>
              <w:kinsoku w:val="0"/>
              <w:autoSpaceDE w:val="0"/>
              <w:autoSpaceDN w:val="0"/>
              <w:adjustRightInd w:val="0"/>
              <w:snapToGrid w:val="0"/>
              <w:spacing w:before="148"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7EF7F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858583D">
            <w:pPr>
              <w:kinsoku w:val="0"/>
              <w:autoSpaceDE w:val="0"/>
              <w:autoSpaceDN w:val="0"/>
              <w:adjustRightInd w:val="0"/>
              <w:snapToGrid w:val="0"/>
              <w:spacing w:before="149" w:line="219" w:lineRule="auto"/>
              <w:ind w:left="505"/>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钢筋</w:t>
            </w:r>
          </w:p>
        </w:tc>
        <w:tc>
          <w:tcPr>
            <w:tcW w:w="1019" w:type="dxa"/>
            <w:vAlign w:val="top"/>
          </w:tcPr>
          <w:p w14:paraId="782F25AF">
            <w:pPr>
              <w:kinsoku w:val="0"/>
              <w:autoSpaceDE w:val="0"/>
              <w:autoSpaceDN w:val="0"/>
              <w:adjustRightInd w:val="0"/>
              <w:snapToGrid w:val="0"/>
              <w:spacing w:before="195" w:line="183" w:lineRule="auto"/>
              <w:ind w:left="32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1"/>
                <w:kern w:val="0"/>
                <w:sz w:val="24"/>
                <w:szCs w:val="24"/>
                <w:lang w:val="en-US" w:eastAsia="zh-CN" w:bidi="ar-SA"/>
              </w:rPr>
              <w:t>3</w:t>
            </w:r>
            <w:r>
              <w:rPr>
                <w:rFonts w:hint="eastAsia" w:ascii="仿宋" w:hAnsi="仿宋" w:eastAsia="仿宋" w:cs="仿宋"/>
                <w:snapToGrid w:val="0"/>
                <w:color w:val="auto"/>
                <w:spacing w:val="-1"/>
                <w:kern w:val="0"/>
                <w:sz w:val="24"/>
                <w:szCs w:val="24"/>
                <w:lang w:val="en-US" w:eastAsia="en-US" w:bidi="ar-SA"/>
              </w:rPr>
              <w:t>%</w:t>
            </w:r>
          </w:p>
        </w:tc>
        <w:tc>
          <w:tcPr>
            <w:tcW w:w="1249" w:type="dxa"/>
            <w:vMerge w:val="continue"/>
            <w:vAlign w:val="top"/>
          </w:tcPr>
          <w:p w14:paraId="3DC9A113">
            <w:pPr>
              <w:rPr>
                <w:rFonts w:hint="eastAsia" w:ascii="仿宋" w:hAnsi="仿宋" w:eastAsia="仿宋" w:cs="仿宋"/>
                <w:color w:val="auto"/>
                <w:sz w:val="24"/>
                <w:szCs w:val="24"/>
              </w:rPr>
            </w:pPr>
          </w:p>
        </w:tc>
        <w:tc>
          <w:tcPr>
            <w:tcW w:w="5289" w:type="dxa"/>
            <w:vAlign w:val="top"/>
          </w:tcPr>
          <w:p w14:paraId="2D4E2B8D">
            <w:pPr>
              <w:kinsoku w:val="0"/>
              <w:autoSpaceDE w:val="0"/>
              <w:autoSpaceDN w:val="0"/>
              <w:adjustRightInd w:val="0"/>
              <w:snapToGrid w:val="0"/>
              <w:spacing w:before="149"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60497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E08D2D3">
            <w:pPr>
              <w:kinsoku w:val="0"/>
              <w:autoSpaceDE w:val="0"/>
              <w:autoSpaceDN w:val="0"/>
              <w:adjustRightInd w:val="0"/>
              <w:snapToGrid w:val="0"/>
              <w:spacing w:before="152" w:line="221" w:lineRule="auto"/>
              <w:ind w:firstLine="480" w:firstLineChars="200"/>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zh-CN" w:bidi="ar-SA"/>
              </w:rPr>
              <w:t>实心</w:t>
            </w:r>
            <w:r>
              <w:rPr>
                <w:rFonts w:hint="eastAsia" w:ascii="仿宋" w:hAnsi="仿宋" w:eastAsia="仿宋" w:cs="仿宋"/>
                <w:snapToGrid w:val="0"/>
                <w:color w:val="auto"/>
                <w:kern w:val="0"/>
                <w:sz w:val="24"/>
                <w:szCs w:val="24"/>
                <w:lang w:val="en-US" w:eastAsia="en-US" w:bidi="ar-SA"/>
              </w:rPr>
              <w:t>砖</w:t>
            </w:r>
          </w:p>
        </w:tc>
        <w:tc>
          <w:tcPr>
            <w:tcW w:w="1019" w:type="dxa"/>
            <w:vAlign w:val="top"/>
          </w:tcPr>
          <w:p w14:paraId="1B4A620A">
            <w:pPr>
              <w:kinsoku w:val="0"/>
              <w:autoSpaceDE w:val="0"/>
              <w:autoSpaceDN w:val="0"/>
              <w:adjustRightInd w:val="0"/>
              <w:snapToGrid w:val="0"/>
              <w:spacing w:before="195" w:line="184" w:lineRule="auto"/>
              <w:ind w:left="41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6"/>
                <w:kern w:val="0"/>
                <w:sz w:val="24"/>
                <w:szCs w:val="24"/>
                <w:lang w:val="en-US" w:eastAsia="zh-CN" w:bidi="ar-SA"/>
              </w:rPr>
              <w:t>3</w:t>
            </w:r>
            <w:r>
              <w:rPr>
                <w:rFonts w:hint="eastAsia" w:ascii="仿宋" w:hAnsi="仿宋" w:eastAsia="仿宋" w:cs="仿宋"/>
                <w:snapToGrid w:val="0"/>
                <w:color w:val="auto"/>
                <w:spacing w:val="-6"/>
                <w:kern w:val="0"/>
                <w:sz w:val="24"/>
                <w:szCs w:val="24"/>
                <w:lang w:val="en-US" w:eastAsia="en-US" w:bidi="ar-SA"/>
              </w:rPr>
              <w:t>%</w:t>
            </w:r>
          </w:p>
        </w:tc>
        <w:tc>
          <w:tcPr>
            <w:tcW w:w="1249" w:type="dxa"/>
            <w:vMerge w:val="continue"/>
            <w:vAlign w:val="top"/>
          </w:tcPr>
          <w:p w14:paraId="58773D6C">
            <w:pPr>
              <w:rPr>
                <w:rFonts w:hint="eastAsia" w:ascii="仿宋" w:hAnsi="仿宋" w:eastAsia="仿宋" w:cs="仿宋"/>
                <w:color w:val="auto"/>
                <w:sz w:val="24"/>
                <w:szCs w:val="24"/>
              </w:rPr>
            </w:pPr>
          </w:p>
        </w:tc>
        <w:tc>
          <w:tcPr>
            <w:tcW w:w="5289" w:type="dxa"/>
            <w:vAlign w:val="top"/>
          </w:tcPr>
          <w:p w14:paraId="15D83855">
            <w:pPr>
              <w:kinsoku w:val="0"/>
              <w:autoSpaceDE w:val="0"/>
              <w:autoSpaceDN w:val="0"/>
              <w:adjustRightInd w:val="0"/>
              <w:snapToGrid w:val="0"/>
              <w:spacing w:before="150"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41B70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388CC1EF">
            <w:pPr>
              <w:kinsoku w:val="0"/>
              <w:autoSpaceDE w:val="0"/>
              <w:autoSpaceDN w:val="0"/>
              <w:adjustRightInd w:val="0"/>
              <w:snapToGrid w:val="0"/>
              <w:spacing w:before="152" w:line="221" w:lineRule="auto"/>
              <w:jc w:val="left"/>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空心砖、加气块</w:t>
            </w:r>
          </w:p>
        </w:tc>
        <w:tc>
          <w:tcPr>
            <w:tcW w:w="1019" w:type="dxa"/>
            <w:vAlign w:val="top"/>
          </w:tcPr>
          <w:p w14:paraId="7457760B">
            <w:pPr>
              <w:kinsoku w:val="0"/>
              <w:autoSpaceDE w:val="0"/>
              <w:autoSpaceDN w:val="0"/>
              <w:adjustRightInd w:val="0"/>
              <w:snapToGrid w:val="0"/>
              <w:spacing w:before="195"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3%</w:t>
            </w:r>
          </w:p>
        </w:tc>
        <w:tc>
          <w:tcPr>
            <w:tcW w:w="1249" w:type="dxa"/>
            <w:vMerge w:val="continue"/>
            <w:vAlign w:val="top"/>
          </w:tcPr>
          <w:p w14:paraId="1431DE0F">
            <w:pPr>
              <w:rPr>
                <w:rFonts w:hint="eastAsia" w:ascii="仿宋" w:hAnsi="仿宋" w:eastAsia="仿宋" w:cs="仿宋"/>
                <w:color w:val="auto"/>
                <w:sz w:val="24"/>
                <w:szCs w:val="24"/>
              </w:rPr>
            </w:pPr>
          </w:p>
        </w:tc>
        <w:tc>
          <w:tcPr>
            <w:tcW w:w="5289" w:type="dxa"/>
            <w:vAlign w:val="top"/>
          </w:tcPr>
          <w:p w14:paraId="0542EE13">
            <w:pPr>
              <w:kinsoku w:val="0"/>
              <w:autoSpaceDE w:val="0"/>
              <w:autoSpaceDN w:val="0"/>
              <w:adjustRightInd w:val="0"/>
              <w:snapToGrid w:val="0"/>
              <w:spacing w:before="150"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61BD5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151E5FE7">
            <w:pPr>
              <w:kinsoku w:val="0"/>
              <w:autoSpaceDE w:val="0"/>
              <w:autoSpaceDN w:val="0"/>
              <w:adjustRightInd w:val="0"/>
              <w:snapToGrid w:val="0"/>
              <w:spacing w:before="151" w:line="219" w:lineRule="auto"/>
              <w:ind w:left="505"/>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6"/>
                <w:kern w:val="0"/>
                <w:sz w:val="24"/>
                <w:szCs w:val="24"/>
                <w:lang w:val="en-US" w:eastAsia="en-US" w:bidi="ar-SA"/>
              </w:rPr>
              <w:t>套简</w:t>
            </w:r>
          </w:p>
        </w:tc>
        <w:tc>
          <w:tcPr>
            <w:tcW w:w="1019" w:type="dxa"/>
            <w:vAlign w:val="top"/>
          </w:tcPr>
          <w:p w14:paraId="6DAE3918">
            <w:pPr>
              <w:kinsoku w:val="0"/>
              <w:autoSpaceDE w:val="0"/>
              <w:autoSpaceDN w:val="0"/>
              <w:adjustRightInd w:val="0"/>
              <w:snapToGrid w:val="0"/>
              <w:spacing w:before="157" w:line="224" w:lineRule="auto"/>
              <w:ind w:left="45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w:t>
            </w:r>
          </w:p>
        </w:tc>
        <w:tc>
          <w:tcPr>
            <w:tcW w:w="1249" w:type="dxa"/>
            <w:vMerge w:val="continue"/>
            <w:vAlign w:val="top"/>
          </w:tcPr>
          <w:p w14:paraId="67270443">
            <w:pPr>
              <w:rPr>
                <w:rFonts w:hint="eastAsia" w:ascii="仿宋" w:hAnsi="仿宋" w:eastAsia="仿宋" w:cs="仿宋"/>
                <w:color w:val="auto"/>
                <w:sz w:val="24"/>
                <w:szCs w:val="24"/>
              </w:rPr>
            </w:pPr>
          </w:p>
        </w:tc>
        <w:tc>
          <w:tcPr>
            <w:tcW w:w="5289" w:type="dxa"/>
            <w:vAlign w:val="top"/>
          </w:tcPr>
          <w:p w14:paraId="38D8A3AE">
            <w:pPr>
              <w:kinsoku w:val="0"/>
              <w:autoSpaceDE w:val="0"/>
              <w:autoSpaceDN w:val="0"/>
              <w:adjustRightInd w:val="0"/>
              <w:snapToGrid w:val="0"/>
              <w:spacing w:before="152"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759F1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0AEDF4ED">
            <w:pPr>
              <w:kinsoku w:val="0"/>
              <w:autoSpaceDE w:val="0"/>
              <w:autoSpaceDN w:val="0"/>
              <w:adjustRightInd w:val="0"/>
              <w:snapToGrid w:val="0"/>
              <w:spacing w:before="142" w:line="219" w:lineRule="auto"/>
              <w:ind w:left="414"/>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保温板</w:t>
            </w:r>
          </w:p>
        </w:tc>
        <w:tc>
          <w:tcPr>
            <w:tcW w:w="1019" w:type="dxa"/>
            <w:vAlign w:val="top"/>
          </w:tcPr>
          <w:p w14:paraId="266C5268">
            <w:pPr>
              <w:kinsoku w:val="0"/>
              <w:autoSpaceDE w:val="0"/>
              <w:autoSpaceDN w:val="0"/>
              <w:adjustRightInd w:val="0"/>
              <w:snapToGrid w:val="0"/>
              <w:spacing w:before="189" w:line="183" w:lineRule="auto"/>
              <w:ind w:left="32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1"/>
                <w:kern w:val="0"/>
                <w:sz w:val="24"/>
                <w:szCs w:val="24"/>
                <w:lang w:val="en-US" w:eastAsia="en-US" w:bidi="ar-SA"/>
              </w:rPr>
              <w:t>2.5%</w:t>
            </w:r>
          </w:p>
        </w:tc>
        <w:tc>
          <w:tcPr>
            <w:tcW w:w="1249" w:type="dxa"/>
            <w:vMerge w:val="continue"/>
            <w:vAlign w:val="top"/>
          </w:tcPr>
          <w:p w14:paraId="6F14240E">
            <w:pPr>
              <w:rPr>
                <w:rFonts w:hint="eastAsia" w:ascii="仿宋" w:hAnsi="仿宋" w:eastAsia="仿宋" w:cs="仿宋"/>
                <w:color w:val="auto"/>
                <w:sz w:val="24"/>
                <w:szCs w:val="24"/>
              </w:rPr>
            </w:pPr>
          </w:p>
        </w:tc>
        <w:tc>
          <w:tcPr>
            <w:tcW w:w="5289" w:type="dxa"/>
            <w:vAlign w:val="top"/>
          </w:tcPr>
          <w:p w14:paraId="361B2F24">
            <w:pPr>
              <w:kinsoku w:val="0"/>
              <w:autoSpaceDE w:val="0"/>
              <w:autoSpaceDN w:val="0"/>
              <w:adjustRightInd w:val="0"/>
              <w:snapToGrid w:val="0"/>
              <w:spacing w:before="143"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20D77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59C546C5">
            <w:pPr>
              <w:kinsoku w:val="0"/>
              <w:autoSpaceDE w:val="0"/>
              <w:autoSpaceDN w:val="0"/>
              <w:adjustRightInd w:val="0"/>
              <w:snapToGrid w:val="0"/>
              <w:spacing w:before="154" w:line="219" w:lineRule="auto"/>
              <w:ind w:left="505"/>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2"/>
                <w:kern w:val="0"/>
                <w:sz w:val="24"/>
                <w:szCs w:val="24"/>
                <w:lang w:val="en-US" w:eastAsia="en-US" w:bidi="ar-SA"/>
              </w:rPr>
              <w:t>砂</w:t>
            </w:r>
          </w:p>
        </w:tc>
        <w:tc>
          <w:tcPr>
            <w:tcW w:w="1019" w:type="dxa"/>
            <w:vAlign w:val="top"/>
          </w:tcPr>
          <w:p w14:paraId="2A406B79">
            <w:pPr>
              <w:kinsoku w:val="0"/>
              <w:autoSpaceDE w:val="0"/>
              <w:autoSpaceDN w:val="0"/>
              <w:adjustRightInd w:val="0"/>
              <w:snapToGrid w:val="0"/>
              <w:spacing w:before="200" w:line="183" w:lineRule="auto"/>
              <w:ind w:firstLine="456" w:firstLineChars="200"/>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6"/>
                <w:kern w:val="0"/>
                <w:sz w:val="24"/>
                <w:szCs w:val="24"/>
                <w:lang w:val="en-US" w:eastAsia="zh-CN" w:bidi="ar-SA"/>
              </w:rPr>
              <w:t>2</w:t>
            </w:r>
            <w:r>
              <w:rPr>
                <w:rFonts w:hint="eastAsia" w:ascii="仿宋" w:hAnsi="仿宋" w:eastAsia="仿宋" w:cs="仿宋"/>
                <w:snapToGrid w:val="0"/>
                <w:color w:val="auto"/>
                <w:spacing w:val="-6"/>
                <w:kern w:val="0"/>
                <w:sz w:val="24"/>
                <w:szCs w:val="24"/>
                <w:lang w:val="en-US" w:eastAsia="en-US" w:bidi="ar-SA"/>
              </w:rPr>
              <w:t>%</w:t>
            </w:r>
          </w:p>
        </w:tc>
        <w:tc>
          <w:tcPr>
            <w:tcW w:w="1249" w:type="dxa"/>
            <w:vMerge w:val="continue"/>
            <w:vAlign w:val="top"/>
          </w:tcPr>
          <w:p w14:paraId="728BC83D">
            <w:pPr>
              <w:rPr>
                <w:rFonts w:hint="eastAsia" w:ascii="仿宋" w:hAnsi="仿宋" w:eastAsia="仿宋" w:cs="仿宋"/>
                <w:color w:val="auto"/>
                <w:sz w:val="24"/>
                <w:szCs w:val="24"/>
              </w:rPr>
            </w:pPr>
          </w:p>
        </w:tc>
        <w:tc>
          <w:tcPr>
            <w:tcW w:w="5289" w:type="dxa"/>
            <w:vAlign w:val="top"/>
          </w:tcPr>
          <w:p w14:paraId="6C805A1A">
            <w:pPr>
              <w:kinsoku w:val="0"/>
              <w:autoSpaceDE w:val="0"/>
              <w:autoSpaceDN w:val="0"/>
              <w:adjustRightInd w:val="0"/>
              <w:snapToGrid w:val="0"/>
              <w:spacing w:before="154"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7A463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2D4B3159">
            <w:pPr>
              <w:kinsoku w:val="0"/>
              <w:autoSpaceDE w:val="0"/>
              <w:autoSpaceDN w:val="0"/>
              <w:adjustRightInd w:val="0"/>
              <w:snapToGrid w:val="0"/>
              <w:spacing w:before="155" w:line="219" w:lineRule="auto"/>
              <w:ind w:left="414"/>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3"/>
                <w:kern w:val="0"/>
                <w:sz w:val="24"/>
                <w:szCs w:val="24"/>
                <w:lang w:val="en-US" w:eastAsia="en-US" w:bidi="ar-SA"/>
              </w:rPr>
              <w:t>水泥</w:t>
            </w:r>
          </w:p>
        </w:tc>
        <w:tc>
          <w:tcPr>
            <w:tcW w:w="1019" w:type="dxa"/>
            <w:vAlign w:val="top"/>
          </w:tcPr>
          <w:p w14:paraId="4F0C4ED2">
            <w:pPr>
              <w:kinsoku w:val="0"/>
              <w:autoSpaceDE w:val="0"/>
              <w:autoSpaceDN w:val="0"/>
              <w:adjustRightInd w:val="0"/>
              <w:snapToGrid w:val="0"/>
              <w:spacing w:before="200" w:line="184" w:lineRule="auto"/>
              <w:ind w:left="41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6"/>
                <w:kern w:val="0"/>
                <w:sz w:val="24"/>
                <w:szCs w:val="24"/>
                <w:lang w:val="en-US" w:eastAsia="zh-CN" w:bidi="ar-SA"/>
              </w:rPr>
              <w:t>3</w:t>
            </w:r>
            <w:r>
              <w:rPr>
                <w:rFonts w:hint="eastAsia" w:ascii="仿宋" w:hAnsi="仿宋" w:eastAsia="仿宋" w:cs="仿宋"/>
                <w:snapToGrid w:val="0"/>
                <w:color w:val="auto"/>
                <w:spacing w:val="-6"/>
                <w:kern w:val="0"/>
                <w:sz w:val="24"/>
                <w:szCs w:val="24"/>
                <w:lang w:val="en-US" w:eastAsia="en-US" w:bidi="ar-SA"/>
              </w:rPr>
              <w:t>%</w:t>
            </w:r>
          </w:p>
        </w:tc>
        <w:tc>
          <w:tcPr>
            <w:tcW w:w="1249" w:type="dxa"/>
            <w:vMerge w:val="continue"/>
            <w:vAlign w:val="top"/>
          </w:tcPr>
          <w:p w14:paraId="19DD5CE0">
            <w:pPr>
              <w:rPr>
                <w:rFonts w:hint="eastAsia" w:ascii="仿宋" w:hAnsi="仿宋" w:eastAsia="仿宋" w:cs="仿宋"/>
                <w:color w:val="auto"/>
                <w:sz w:val="24"/>
                <w:szCs w:val="24"/>
              </w:rPr>
            </w:pPr>
          </w:p>
        </w:tc>
        <w:tc>
          <w:tcPr>
            <w:tcW w:w="5289" w:type="dxa"/>
            <w:vAlign w:val="top"/>
          </w:tcPr>
          <w:p w14:paraId="335093DA">
            <w:pPr>
              <w:kinsoku w:val="0"/>
              <w:autoSpaceDE w:val="0"/>
              <w:autoSpaceDN w:val="0"/>
              <w:adjustRightInd w:val="0"/>
              <w:snapToGrid w:val="0"/>
              <w:spacing w:before="155"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75B7A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56BC4409">
            <w:pPr>
              <w:kinsoku w:val="0"/>
              <w:autoSpaceDE w:val="0"/>
              <w:autoSpaceDN w:val="0"/>
              <w:adjustRightInd w:val="0"/>
              <w:snapToGrid w:val="0"/>
              <w:spacing w:before="146" w:line="219" w:lineRule="auto"/>
              <w:ind w:firstLine="240" w:firstLineChars="100"/>
              <w:jc w:val="left"/>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止水钢板</w:t>
            </w:r>
          </w:p>
        </w:tc>
        <w:tc>
          <w:tcPr>
            <w:tcW w:w="1019" w:type="dxa"/>
            <w:vAlign w:val="top"/>
          </w:tcPr>
          <w:p w14:paraId="3E04A258">
            <w:pPr>
              <w:kinsoku w:val="0"/>
              <w:autoSpaceDE w:val="0"/>
              <w:autoSpaceDN w:val="0"/>
              <w:adjustRightInd w:val="0"/>
              <w:snapToGrid w:val="0"/>
              <w:spacing w:before="191" w:line="184" w:lineRule="auto"/>
              <w:ind w:left="41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6"/>
                <w:kern w:val="0"/>
                <w:sz w:val="24"/>
                <w:szCs w:val="24"/>
                <w:lang w:val="en-US" w:eastAsia="en-US" w:bidi="ar-SA"/>
              </w:rPr>
              <w:t>1%</w:t>
            </w:r>
          </w:p>
        </w:tc>
        <w:tc>
          <w:tcPr>
            <w:tcW w:w="1249" w:type="dxa"/>
            <w:vMerge w:val="continue"/>
            <w:vAlign w:val="top"/>
          </w:tcPr>
          <w:p w14:paraId="1C61F5C2">
            <w:pPr>
              <w:rPr>
                <w:rFonts w:hint="eastAsia" w:ascii="仿宋" w:hAnsi="仿宋" w:eastAsia="仿宋" w:cs="仿宋"/>
                <w:color w:val="auto"/>
                <w:sz w:val="24"/>
                <w:szCs w:val="24"/>
              </w:rPr>
            </w:pPr>
          </w:p>
        </w:tc>
        <w:tc>
          <w:tcPr>
            <w:tcW w:w="5289" w:type="dxa"/>
            <w:vAlign w:val="top"/>
          </w:tcPr>
          <w:p w14:paraId="28F15E06">
            <w:pPr>
              <w:kinsoku w:val="0"/>
              <w:autoSpaceDE w:val="0"/>
              <w:autoSpaceDN w:val="0"/>
              <w:adjustRightInd w:val="0"/>
              <w:snapToGrid w:val="0"/>
              <w:spacing w:before="146"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33D67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863F17C">
            <w:pPr>
              <w:kinsoku w:val="0"/>
              <w:autoSpaceDE w:val="0"/>
              <w:autoSpaceDN w:val="0"/>
              <w:adjustRightInd w:val="0"/>
              <w:snapToGrid w:val="0"/>
              <w:spacing w:before="146" w:line="219" w:lineRule="auto"/>
              <w:ind w:firstLine="240" w:firstLineChars="100"/>
              <w:jc w:val="left"/>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止水丝杆</w:t>
            </w:r>
          </w:p>
        </w:tc>
        <w:tc>
          <w:tcPr>
            <w:tcW w:w="1019" w:type="dxa"/>
            <w:vAlign w:val="top"/>
          </w:tcPr>
          <w:p w14:paraId="2800A61C">
            <w:pPr>
              <w:kinsoku w:val="0"/>
              <w:autoSpaceDE w:val="0"/>
              <w:autoSpaceDN w:val="0"/>
              <w:adjustRightInd w:val="0"/>
              <w:snapToGrid w:val="0"/>
              <w:spacing w:before="191" w:line="184" w:lineRule="auto"/>
              <w:ind w:left="411"/>
              <w:jc w:val="left"/>
              <w:textAlignment w:val="baseline"/>
              <w:rPr>
                <w:rFonts w:hint="eastAsia" w:ascii="仿宋" w:hAnsi="仿宋" w:eastAsia="仿宋" w:cs="仿宋"/>
                <w:snapToGrid w:val="0"/>
                <w:color w:val="auto"/>
                <w:spacing w:val="-6"/>
                <w:kern w:val="0"/>
                <w:sz w:val="24"/>
                <w:szCs w:val="24"/>
                <w:lang w:val="en-US" w:eastAsia="en-US" w:bidi="ar-SA"/>
              </w:rPr>
            </w:pPr>
            <w:r>
              <w:rPr>
                <w:rFonts w:hint="eastAsia" w:ascii="仿宋" w:hAnsi="仿宋" w:eastAsia="仿宋" w:cs="仿宋"/>
                <w:snapToGrid w:val="0"/>
                <w:color w:val="auto"/>
                <w:spacing w:val="-6"/>
                <w:kern w:val="0"/>
                <w:sz w:val="24"/>
                <w:szCs w:val="24"/>
                <w:lang w:val="en-US" w:eastAsia="en-US" w:bidi="ar-SA"/>
              </w:rPr>
              <w:t>1%</w:t>
            </w:r>
          </w:p>
        </w:tc>
        <w:tc>
          <w:tcPr>
            <w:tcW w:w="1249" w:type="dxa"/>
            <w:vMerge w:val="continue"/>
            <w:vAlign w:val="top"/>
          </w:tcPr>
          <w:p w14:paraId="56649C8F">
            <w:pPr>
              <w:rPr>
                <w:rFonts w:hint="eastAsia" w:ascii="仿宋" w:hAnsi="仿宋" w:eastAsia="仿宋" w:cs="仿宋"/>
                <w:color w:val="auto"/>
                <w:sz w:val="24"/>
                <w:szCs w:val="24"/>
              </w:rPr>
            </w:pPr>
          </w:p>
        </w:tc>
        <w:tc>
          <w:tcPr>
            <w:tcW w:w="5289" w:type="dxa"/>
            <w:vAlign w:val="top"/>
          </w:tcPr>
          <w:p w14:paraId="147B13BA">
            <w:pPr>
              <w:kinsoku w:val="0"/>
              <w:autoSpaceDE w:val="0"/>
              <w:autoSpaceDN w:val="0"/>
              <w:adjustRightInd w:val="0"/>
              <w:snapToGrid w:val="0"/>
              <w:spacing w:before="146" w:line="219" w:lineRule="auto"/>
              <w:ind w:left="383"/>
              <w:jc w:val="left"/>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en-US" w:bidi="ar-SA"/>
              </w:rPr>
              <w:t>(领用量-甲方审核确定的</w:t>
            </w:r>
            <w:r>
              <w:rPr>
                <w:rFonts w:hint="eastAsia" w:ascii="仿宋" w:hAnsi="仿宋" w:eastAsia="仿宋" w:cs="仿宋"/>
                <w:snapToGrid w:val="0"/>
                <w:color w:val="auto"/>
                <w:kern w:val="0"/>
                <w:sz w:val="24"/>
                <w:szCs w:val="24"/>
                <w:lang w:val="en-US" w:eastAsia="zh-CN" w:bidi="ar-SA"/>
              </w:rPr>
              <w:t>施工方案用量</w:t>
            </w:r>
            <w:r>
              <w:rPr>
                <w:rFonts w:hint="eastAsia" w:ascii="仿宋" w:hAnsi="仿宋" w:eastAsia="仿宋" w:cs="仿宋"/>
                <w:snapToGrid w:val="0"/>
                <w:color w:val="auto"/>
                <w:kern w:val="0"/>
                <w:sz w:val="24"/>
                <w:szCs w:val="24"/>
                <w:lang w:val="en-US" w:eastAsia="en-US" w:bidi="ar-SA"/>
              </w:rPr>
              <w:t>)/甲方审核确定的</w:t>
            </w:r>
            <w:r>
              <w:rPr>
                <w:rFonts w:hint="eastAsia" w:ascii="仿宋" w:hAnsi="仿宋" w:eastAsia="仿宋" w:cs="仿宋"/>
                <w:snapToGrid w:val="0"/>
                <w:color w:val="auto"/>
                <w:kern w:val="0"/>
                <w:sz w:val="24"/>
                <w:szCs w:val="24"/>
                <w:lang w:val="en-US" w:eastAsia="zh-CN" w:bidi="ar-SA"/>
              </w:rPr>
              <w:t>施工方案用量</w:t>
            </w:r>
          </w:p>
        </w:tc>
      </w:tr>
      <w:tr w14:paraId="29DAF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7CEAF1F">
            <w:pPr>
              <w:kinsoku w:val="0"/>
              <w:autoSpaceDE w:val="0"/>
              <w:autoSpaceDN w:val="0"/>
              <w:adjustRightInd w:val="0"/>
              <w:snapToGrid w:val="0"/>
              <w:spacing w:before="146" w:line="219" w:lineRule="auto"/>
              <w:ind w:firstLine="240" w:firstLineChars="100"/>
              <w:jc w:val="left"/>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滑动支座钢板</w:t>
            </w:r>
          </w:p>
        </w:tc>
        <w:tc>
          <w:tcPr>
            <w:tcW w:w="1019" w:type="dxa"/>
            <w:vAlign w:val="top"/>
          </w:tcPr>
          <w:p w14:paraId="789220A1">
            <w:pPr>
              <w:kinsoku w:val="0"/>
              <w:autoSpaceDE w:val="0"/>
              <w:autoSpaceDN w:val="0"/>
              <w:adjustRightInd w:val="0"/>
              <w:snapToGrid w:val="0"/>
              <w:spacing w:before="191"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w:t>
            </w:r>
          </w:p>
        </w:tc>
        <w:tc>
          <w:tcPr>
            <w:tcW w:w="1249" w:type="dxa"/>
            <w:vMerge w:val="continue"/>
            <w:vAlign w:val="top"/>
          </w:tcPr>
          <w:p w14:paraId="615284AD">
            <w:pPr>
              <w:rPr>
                <w:rFonts w:hint="eastAsia" w:ascii="仿宋" w:hAnsi="仿宋" w:eastAsia="仿宋" w:cs="仿宋"/>
                <w:color w:val="auto"/>
                <w:sz w:val="24"/>
                <w:szCs w:val="24"/>
              </w:rPr>
            </w:pPr>
          </w:p>
        </w:tc>
        <w:tc>
          <w:tcPr>
            <w:tcW w:w="5289" w:type="dxa"/>
            <w:vAlign w:val="top"/>
          </w:tcPr>
          <w:p w14:paraId="3D38A8CC">
            <w:pPr>
              <w:kinsoku w:val="0"/>
              <w:autoSpaceDE w:val="0"/>
              <w:autoSpaceDN w:val="0"/>
              <w:adjustRightInd w:val="0"/>
              <w:snapToGrid w:val="0"/>
              <w:spacing w:before="146"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12B39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135E1CF5">
            <w:pPr>
              <w:kinsoku w:val="0"/>
              <w:autoSpaceDE w:val="0"/>
              <w:autoSpaceDN w:val="0"/>
              <w:adjustRightInd w:val="0"/>
              <w:snapToGrid w:val="0"/>
              <w:spacing w:before="157" w:line="219" w:lineRule="auto"/>
              <w:jc w:val="left"/>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玻纤网、钢丝网</w:t>
            </w:r>
          </w:p>
        </w:tc>
        <w:tc>
          <w:tcPr>
            <w:tcW w:w="1019" w:type="dxa"/>
            <w:vAlign w:val="top"/>
          </w:tcPr>
          <w:p w14:paraId="188ED684">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spacing w:val="-6"/>
                <w:kern w:val="0"/>
                <w:sz w:val="24"/>
                <w:szCs w:val="24"/>
                <w:lang w:val="en-US" w:eastAsia="en-US" w:bidi="ar-SA"/>
              </w:rPr>
              <w:t>1%</w:t>
            </w:r>
          </w:p>
        </w:tc>
        <w:tc>
          <w:tcPr>
            <w:tcW w:w="1249" w:type="dxa"/>
            <w:vMerge w:val="continue"/>
            <w:vAlign w:val="top"/>
          </w:tcPr>
          <w:p w14:paraId="03DC9A63">
            <w:pPr>
              <w:rPr>
                <w:rFonts w:hint="eastAsia" w:ascii="仿宋" w:hAnsi="仿宋" w:eastAsia="仿宋" w:cs="仿宋"/>
                <w:color w:val="auto"/>
                <w:sz w:val="24"/>
                <w:szCs w:val="24"/>
              </w:rPr>
            </w:pPr>
          </w:p>
        </w:tc>
        <w:tc>
          <w:tcPr>
            <w:tcW w:w="5289" w:type="dxa"/>
            <w:vAlign w:val="top"/>
          </w:tcPr>
          <w:p w14:paraId="07892BBE">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435C3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CCFA3FD">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给排水管及管件</w:t>
            </w:r>
          </w:p>
        </w:tc>
        <w:tc>
          <w:tcPr>
            <w:tcW w:w="1019" w:type="dxa"/>
            <w:vAlign w:val="top"/>
          </w:tcPr>
          <w:p w14:paraId="42E179F9">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1.6%</w:t>
            </w:r>
          </w:p>
        </w:tc>
        <w:tc>
          <w:tcPr>
            <w:tcW w:w="1249" w:type="dxa"/>
            <w:vMerge w:val="continue"/>
            <w:vAlign w:val="top"/>
          </w:tcPr>
          <w:p w14:paraId="66596CCE">
            <w:pPr>
              <w:rPr>
                <w:rFonts w:hint="eastAsia" w:ascii="仿宋" w:hAnsi="仿宋" w:eastAsia="仿宋" w:cs="仿宋"/>
                <w:color w:val="auto"/>
                <w:sz w:val="24"/>
                <w:szCs w:val="24"/>
              </w:rPr>
            </w:pPr>
          </w:p>
        </w:tc>
        <w:tc>
          <w:tcPr>
            <w:tcW w:w="5289" w:type="dxa"/>
            <w:vAlign w:val="top"/>
          </w:tcPr>
          <w:p w14:paraId="3315DA1C">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09474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0D6579E">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PVC线管及管件</w:t>
            </w:r>
          </w:p>
        </w:tc>
        <w:tc>
          <w:tcPr>
            <w:tcW w:w="1019" w:type="dxa"/>
            <w:vAlign w:val="top"/>
          </w:tcPr>
          <w:p w14:paraId="1F4B6720">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en-US" w:bidi="ar-SA"/>
              </w:rPr>
            </w:pPr>
            <w:r>
              <w:rPr>
                <w:rFonts w:hint="eastAsia" w:ascii="仿宋" w:hAnsi="仿宋" w:eastAsia="仿宋" w:cs="仿宋"/>
                <w:snapToGrid w:val="0"/>
                <w:color w:val="auto"/>
                <w:spacing w:val="-6"/>
                <w:kern w:val="0"/>
                <w:sz w:val="24"/>
                <w:szCs w:val="24"/>
                <w:lang w:val="en-US" w:eastAsia="zh-CN" w:bidi="ar-SA"/>
              </w:rPr>
              <w:t>3</w:t>
            </w:r>
            <w:r>
              <w:rPr>
                <w:rFonts w:hint="eastAsia" w:ascii="仿宋" w:hAnsi="仿宋" w:eastAsia="仿宋" w:cs="仿宋"/>
                <w:snapToGrid w:val="0"/>
                <w:color w:val="auto"/>
                <w:spacing w:val="-6"/>
                <w:kern w:val="0"/>
                <w:sz w:val="24"/>
                <w:szCs w:val="24"/>
                <w:lang w:val="en-US" w:eastAsia="en-US" w:bidi="ar-SA"/>
              </w:rPr>
              <w:t>%</w:t>
            </w:r>
          </w:p>
        </w:tc>
        <w:tc>
          <w:tcPr>
            <w:tcW w:w="1249" w:type="dxa"/>
            <w:vMerge w:val="continue"/>
            <w:vAlign w:val="top"/>
          </w:tcPr>
          <w:p w14:paraId="29949248">
            <w:pPr>
              <w:rPr>
                <w:rFonts w:hint="eastAsia" w:ascii="仿宋" w:hAnsi="仿宋" w:eastAsia="仿宋" w:cs="仿宋"/>
                <w:color w:val="auto"/>
                <w:sz w:val="24"/>
                <w:szCs w:val="24"/>
              </w:rPr>
            </w:pPr>
          </w:p>
        </w:tc>
        <w:tc>
          <w:tcPr>
            <w:tcW w:w="5289" w:type="dxa"/>
            <w:vAlign w:val="top"/>
          </w:tcPr>
          <w:p w14:paraId="0B73726C">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0D039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41EFBFB">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SC、JDG等管材及管件</w:t>
            </w:r>
          </w:p>
        </w:tc>
        <w:tc>
          <w:tcPr>
            <w:tcW w:w="1019" w:type="dxa"/>
            <w:vAlign w:val="top"/>
          </w:tcPr>
          <w:p w14:paraId="6F813C25">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3%</w:t>
            </w:r>
          </w:p>
        </w:tc>
        <w:tc>
          <w:tcPr>
            <w:tcW w:w="1249" w:type="dxa"/>
            <w:vMerge w:val="continue"/>
            <w:vAlign w:val="top"/>
          </w:tcPr>
          <w:p w14:paraId="5C48FAB3">
            <w:pPr>
              <w:rPr>
                <w:rFonts w:hint="eastAsia" w:ascii="仿宋" w:hAnsi="仿宋" w:eastAsia="仿宋" w:cs="仿宋"/>
                <w:color w:val="auto"/>
                <w:sz w:val="24"/>
                <w:szCs w:val="24"/>
              </w:rPr>
            </w:pPr>
          </w:p>
        </w:tc>
        <w:tc>
          <w:tcPr>
            <w:tcW w:w="5289" w:type="dxa"/>
            <w:vAlign w:val="top"/>
          </w:tcPr>
          <w:p w14:paraId="32115CFF">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5D6D9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26C4E89">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电线</w:t>
            </w:r>
          </w:p>
        </w:tc>
        <w:tc>
          <w:tcPr>
            <w:tcW w:w="1019" w:type="dxa"/>
            <w:vAlign w:val="top"/>
          </w:tcPr>
          <w:p w14:paraId="29020F90">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5%</w:t>
            </w:r>
          </w:p>
        </w:tc>
        <w:tc>
          <w:tcPr>
            <w:tcW w:w="1249" w:type="dxa"/>
            <w:vMerge w:val="continue"/>
            <w:vAlign w:val="top"/>
          </w:tcPr>
          <w:p w14:paraId="2B2D732F">
            <w:pPr>
              <w:rPr>
                <w:rFonts w:hint="eastAsia" w:ascii="仿宋" w:hAnsi="仿宋" w:eastAsia="仿宋" w:cs="仿宋"/>
                <w:color w:val="auto"/>
                <w:sz w:val="24"/>
                <w:szCs w:val="24"/>
              </w:rPr>
            </w:pPr>
          </w:p>
        </w:tc>
        <w:tc>
          <w:tcPr>
            <w:tcW w:w="5289" w:type="dxa"/>
            <w:vAlign w:val="top"/>
          </w:tcPr>
          <w:p w14:paraId="1A4588A3">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1CD78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7ED651B">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电缆</w:t>
            </w:r>
          </w:p>
        </w:tc>
        <w:tc>
          <w:tcPr>
            <w:tcW w:w="1019" w:type="dxa"/>
            <w:vAlign w:val="top"/>
          </w:tcPr>
          <w:p w14:paraId="1654FDC3">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1%</w:t>
            </w:r>
          </w:p>
        </w:tc>
        <w:tc>
          <w:tcPr>
            <w:tcW w:w="1249" w:type="dxa"/>
            <w:vMerge w:val="continue"/>
            <w:vAlign w:val="top"/>
          </w:tcPr>
          <w:p w14:paraId="12175B20">
            <w:pPr>
              <w:rPr>
                <w:rFonts w:hint="eastAsia" w:ascii="仿宋" w:hAnsi="仿宋" w:eastAsia="仿宋" w:cs="仿宋"/>
                <w:color w:val="auto"/>
                <w:sz w:val="24"/>
                <w:szCs w:val="24"/>
              </w:rPr>
            </w:pPr>
          </w:p>
        </w:tc>
        <w:tc>
          <w:tcPr>
            <w:tcW w:w="5289" w:type="dxa"/>
            <w:vAlign w:val="top"/>
          </w:tcPr>
          <w:p w14:paraId="7FDFFFAA">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5D6A1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1057DA8">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配电箱</w:t>
            </w:r>
          </w:p>
        </w:tc>
        <w:tc>
          <w:tcPr>
            <w:tcW w:w="1019" w:type="dxa"/>
            <w:vAlign w:val="top"/>
          </w:tcPr>
          <w:p w14:paraId="4FCFE46C">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0.1%</w:t>
            </w:r>
          </w:p>
        </w:tc>
        <w:tc>
          <w:tcPr>
            <w:tcW w:w="1249" w:type="dxa"/>
            <w:vMerge w:val="continue"/>
            <w:vAlign w:val="top"/>
          </w:tcPr>
          <w:p w14:paraId="0B71479C">
            <w:pPr>
              <w:rPr>
                <w:rFonts w:hint="eastAsia" w:ascii="仿宋" w:hAnsi="仿宋" w:eastAsia="仿宋" w:cs="仿宋"/>
                <w:color w:val="auto"/>
                <w:sz w:val="24"/>
                <w:szCs w:val="24"/>
              </w:rPr>
            </w:pPr>
          </w:p>
        </w:tc>
        <w:tc>
          <w:tcPr>
            <w:tcW w:w="5289" w:type="dxa"/>
            <w:vAlign w:val="top"/>
          </w:tcPr>
          <w:p w14:paraId="2963A89D">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5E999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2DCEDBC">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桥架</w:t>
            </w:r>
          </w:p>
        </w:tc>
        <w:tc>
          <w:tcPr>
            <w:tcW w:w="1019" w:type="dxa"/>
            <w:vAlign w:val="top"/>
          </w:tcPr>
          <w:p w14:paraId="077A6F30">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1%</w:t>
            </w:r>
          </w:p>
        </w:tc>
        <w:tc>
          <w:tcPr>
            <w:tcW w:w="1249" w:type="dxa"/>
            <w:vMerge w:val="continue"/>
            <w:vAlign w:val="top"/>
          </w:tcPr>
          <w:p w14:paraId="3326429E">
            <w:pPr>
              <w:rPr>
                <w:rFonts w:hint="eastAsia" w:ascii="仿宋" w:hAnsi="仿宋" w:eastAsia="仿宋" w:cs="仿宋"/>
                <w:color w:val="auto"/>
                <w:sz w:val="24"/>
                <w:szCs w:val="24"/>
              </w:rPr>
            </w:pPr>
          </w:p>
        </w:tc>
        <w:tc>
          <w:tcPr>
            <w:tcW w:w="5289" w:type="dxa"/>
            <w:vAlign w:val="top"/>
          </w:tcPr>
          <w:p w14:paraId="58451A38">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472C8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C7BF600">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灯具、开关、插座</w:t>
            </w:r>
          </w:p>
        </w:tc>
        <w:tc>
          <w:tcPr>
            <w:tcW w:w="1019" w:type="dxa"/>
            <w:vAlign w:val="top"/>
          </w:tcPr>
          <w:p w14:paraId="2A1576B6">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1%</w:t>
            </w:r>
          </w:p>
        </w:tc>
        <w:tc>
          <w:tcPr>
            <w:tcW w:w="1249" w:type="dxa"/>
            <w:vMerge w:val="continue"/>
            <w:vAlign w:val="top"/>
          </w:tcPr>
          <w:p w14:paraId="77D66918">
            <w:pPr>
              <w:rPr>
                <w:rFonts w:hint="eastAsia" w:ascii="仿宋" w:hAnsi="仿宋" w:eastAsia="仿宋" w:cs="仿宋"/>
                <w:color w:val="auto"/>
                <w:sz w:val="24"/>
                <w:szCs w:val="24"/>
              </w:rPr>
            </w:pPr>
          </w:p>
        </w:tc>
        <w:tc>
          <w:tcPr>
            <w:tcW w:w="5289" w:type="dxa"/>
            <w:vAlign w:val="top"/>
          </w:tcPr>
          <w:p w14:paraId="35469FB3">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2D08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43AD316D">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圆钢、角钢、扁铁、</w:t>
            </w:r>
          </w:p>
        </w:tc>
        <w:tc>
          <w:tcPr>
            <w:tcW w:w="1019" w:type="dxa"/>
            <w:vAlign w:val="top"/>
          </w:tcPr>
          <w:p w14:paraId="4D0FEBE0">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5%</w:t>
            </w:r>
          </w:p>
        </w:tc>
        <w:tc>
          <w:tcPr>
            <w:tcW w:w="1249" w:type="dxa"/>
            <w:vMerge w:val="continue"/>
            <w:vAlign w:val="top"/>
          </w:tcPr>
          <w:p w14:paraId="7792CED6">
            <w:pPr>
              <w:rPr>
                <w:rFonts w:hint="eastAsia" w:ascii="仿宋" w:hAnsi="仿宋" w:eastAsia="仿宋" w:cs="仿宋"/>
                <w:color w:val="auto"/>
                <w:sz w:val="24"/>
                <w:szCs w:val="24"/>
              </w:rPr>
            </w:pPr>
          </w:p>
        </w:tc>
        <w:tc>
          <w:tcPr>
            <w:tcW w:w="5289" w:type="dxa"/>
            <w:vAlign w:val="top"/>
          </w:tcPr>
          <w:p w14:paraId="23A5CDC8">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r w14:paraId="3A041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3909FCB0">
            <w:pPr>
              <w:kinsoku w:val="0"/>
              <w:autoSpaceDE w:val="0"/>
              <w:autoSpaceDN w:val="0"/>
              <w:adjustRightInd w:val="0"/>
              <w:snapToGrid w:val="0"/>
              <w:spacing w:before="157" w:line="219" w:lineRule="auto"/>
              <w:jc w:val="center"/>
              <w:textAlignment w:val="baseline"/>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套管</w:t>
            </w:r>
          </w:p>
        </w:tc>
        <w:tc>
          <w:tcPr>
            <w:tcW w:w="1019" w:type="dxa"/>
            <w:vAlign w:val="top"/>
          </w:tcPr>
          <w:p w14:paraId="5463A713">
            <w:pPr>
              <w:kinsoku w:val="0"/>
              <w:autoSpaceDE w:val="0"/>
              <w:autoSpaceDN w:val="0"/>
              <w:adjustRightInd w:val="0"/>
              <w:snapToGrid w:val="0"/>
              <w:spacing w:before="202" w:line="184" w:lineRule="auto"/>
              <w:ind w:left="411"/>
              <w:jc w:val="left"/>
              <w:textAlignment w:val="baseline"/>
              <w:rPr>
                <w:rFonts w:hint="eastAsia" w:ascii="仿宋" w:hAnsi="仿宋" w:eastAsia="仿宋" w:cs="仿宋"/>
                <w:snapToGrid w:val="0"/>
                <w:color w:val="auto"/>
                <w:spacing w:val="-6"/>
                <w:kern w:val="0"/>
                <w:sz w:val="24"/>
                <w:szCs w:val="24"/>
                <w:lang w:val="en-US" w:eastAsia="zh-CN" w:bidi="ar-SA"/>
              </w:rPr>
            </w:pPr>
            <w:r>
              <w:rPr>
                <w:rFonts w:hint="eastAsia" w:ascii="仿宋" w:hAnsi="仿宋" w:eastAsia="仿宋" w:cs="仿宋"/>
                <w:snapToGrid w:val="0"/>
                <w:color w:val="auto"/>
                <w:spacing w:val="-6"/>
                <w:kern w:val="0"/>
                <w:sz w:val="24"/>
                <w:szCs w:val="24"/>
                <w:lang w:val="en-US" w:eastAsia="zh-CN" w:bidi="ar-SA"/>
              </w:rPr>
              <w:t>1%</w:t>
            </w:r>
          </w:p>
        </w:tc>
        <w:tc>
          <w:tcPr>
            <w:tcW w:w="1249" w:type="dxa"/>
            <w:vMerge w:val="continue"/>
            <w:vAlign w:val="top"/>
          </w:tcPr>
          <w:p w14:paraId="2DDEEF64">
            <w:pPr>
              <w:rPr>
                <w:rFonts w:hint="eastAsia" w:ascii="仿宋" w:hAnsi="仿宋" w:eastAsia="仿宋" w:cs="仿宋"/>
                <w:color w:val="auto"/>
                <w:sz w:val="24"/>
                <w:szCs w:val="24"/>
              </w:rPr>
            </w:pPr>
          </w:p>
        </w:tc>
        <w:tc>
          <w:tcPr>
            <w:tcW w:w="5289" w:type="dxa"/>
            <w:vAlign w:val="top"/>
          </w:tcPr>
          <w:p w14:paraId="03A2E13D">
            <w:pPr>
              <w:kinsoku w:val="0"/>
              <w:autoSpaceDE w:val="0"/>
              <w:autoSpaceDN w:val="0"/>
              <w:adjustRightInd w:val="0"/>
              <w:snapToGrid w:val="0"/>
              <w:spacing w:before="157" w:line="219" w:lineRule="auto"/>
              <w:ind w:left="383"/>
              <w:jc w:val="left"/>
              <w:textAlignment w:val="baseline"/>
              <w:rPr>
                <w:rFonts w:hint="eastAsia" w:ascii="仿宋" w:hAnsi="仿宋" w:eastAsia="仿宋" w:cs="仿宋"/>
                <w:snapToGrid w:val="0"/>
                <w:color w:val="auto"/>
                <w:kern w:val="0"/>
                <w:sz w:val="24"/>
                <w:szCs w:val="24"/>
                <w:lang w:val="en-US" w:eastAsia="en-US" w:bidi="ar-SA"/>
              </w:rPr>
            </w:pPr>
            <w:r>
              <w:rPr>
                <w:rFonts w:hint="eastAsia" w:ascii="仿宋" w:hAnsi="仿宋" w:eastAsia="仿宋" w:cs="仿宋"/>
                <w:snapToGrid w:val="0"/>
                <w:color w:val="auto"/>
                <w:kern w:val="0"/>
                <w:sz w:val="24"/>
                <w:szCs w:val="24"/>
                <w:lang w:val="en-US" w:eastAsia="en-US" w:bidi="ar-SA"/>
              </w:rPr>
              <w:t>(领用量-甲方审核确定的图算量)/甲方审核确定的图算量</w:t>
            </w:r>
          </w:p>
        </w:tc>
      </w:tr>
    </w:tbl>
    <w:p w14:paraId="3B7382D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p>
    <w:p w14:paraId="75A191F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5"/>
          <w:szCs w:val="25"/>
          <w:highlight w:val="none"/>
          <w:lang w:val="en-US" w:eastAsia="zh-CN"/>
        </w:rPr>
      </w:pPr>
    </w:p>
    <w:p w14:paraId="5AA6CB1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(三)甲供材管理</w:t>
      </w:r>
    </w:p>
    <w:p w14:paraId="010A17D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乙方授权</w:t>
      </w:r>
      <w:r>
        <w:rPr>
          <w:rFonts w:hint="eastAsia" w:ascii="仿宋" w:hAnsi="仿宋" w:eastAsia="仿宋" w:cs="仿宋"/>
          <w:b/>
          <w:bCs/>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zh-CN"/>
        </w:rPr>
        <w:t>(身份证号码</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、联系方式</w:t>
      </w:r>
      <w:r>
        <w:rPr>
          <w:rFonts w:hint="eastAsia" w:ascii="仿宋" w:hAnsi="仿宋" w:eastAsia="仿宋" w:cs="仿宋"/>
          <w:color w:val="auto"/>
          <w:sz w:val="25"/>
          <w:szCs w:val="25"/>
          <w:highlight w:val="none"/>
          <w:u w:val="none"/>
          <w:lang w:val="en-US" w:eastAsia="zh-CN"/>
        </w:rPr>
        <w:t>：</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)为材料联络人员，负责对甲方项目部组织进场的材料进行质量检查、点验数量并签字确认。乙方应对相应授权人员出具授权委托书，明确授权人和被授权人信息、授权时间、授权范围等信息。</w:t>
      </w:r>
    </w:p>
    <w:p w14:paraId="6890A2B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施工人员须佩戴统一的安全帽、穿着统一的反光背心，安全帽及反光背心由甲方根据乙方进场施工人员数量进行提供，施工过程中由乙方负责使用及保管，完工后按照发放数量统一交回甲方，不足部分甲方按照采购价在乙方计量款中扣除。</w:t>
      </w:r>
    </w:p>
    <w:p w14:paraId="7C63F4B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(四)周转性材料的管理</w:t>
      </w:r>
    </w:p>
    <w:p w14:paraId="25B60B6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自备周转性材料必须在进场前报甲方物资、安全、工程等部门共同验收并备案，退场时由甲方物资部门对其周转性材料进行核实，办理周转性材料退场的相关手续，乙方使用甲方周转性材料另行签订租赁协议。</w:t>
      </w:r>
    </w:p>
    <w:p w14:paraId="4FDE677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4" w:name="bookmark31"/>
      <w:bookmarkEnd w:id="14"/>
      <w:bookmarkStart w:id="15" w:name="_Toc6244"/>
      <w:r>
        <w:rPr>
          <w:rFonts w:hint="eastAsia" w:ascii="仿宋" w:hAnsi="仿宋" w:eastAsia="仿宋" w:cs="仿宋"/>
          <w:b/>
          <w:bCs/>
          <w:color w:val="auto"/>
          <w:sz w:val="25"/>
          <w:szCs w:val="25"/>
          <w:highlight w:val="none"/>
          <w:lang w:val="en-US" w:eastAsia="zh-CN"/>
        </w:rPr>
        <w:t>七、施工设备</w:t>
      </w:r>
      <w:bookmarkEnd w:id="15"/>
    </w:p>
    <w:p w14:paraId="1D1E52A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 xml:space="preserve">1、除塔吊、施工电梯、吊车甲供外，其余设备乙方根据项目要求自行考虑。 </w:t>
      </w:r>
    </w:p>
    <w:p w14:paraId="4E16047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2、乙方所投入设备的型号与数量，必须满足甲方对机械设备的要求，必须提供设备的相关证件等，并保证所有相关证照持续有效。如果乙方不能保证证件的持续有效，甲方有权要求更换，直至终止协议。</w:t>
      </w:r>
    </w:p>
    <w:p w14:paraId="4179570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安全部备案，物资部、安全部进行登记核实。</w:t>
      </w:r>
    </w:p>
    <w:p w14:paraId="2F6E034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4、乙方设备停放与管理要服从甲方现场总体要求，不得随意进出特定区域和乱停乱放。否则甲方有权自行移动相关设备并不承担任何责任，由此产生的一切费用由乙方承担。</w:t>
      </w:r>
    </w:p>
    <w:p w14:paraId="0E83774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5、乙方使用甲方设备，必须书面申请，由甲方统一安排，零星使用甲方设备由甲乙双方协商确认计量方式及台时费标准，费用在工程款结算时扣除，使用甲方施工设备造成损坏的，应负相应的赔偿责任。</w:t>
      </w:r>
    </w:p>
    <w:p w14:paraId="270017F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6、乙方每月应将自有主要设备的完好、使用、维修等情况上报甲方设备物资部门，供甲方对施工资源、生产进度及设备安全性能进行及时分析和掌握。</w:t>
      </w:r>
    </w:p>
    <w:p w14:paraId="743847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7、乙方施工设备应安全装置齐全、性能可靠，其施工设备的安全责任由乙方负责。</w:t>
      </w:r>
    </w:p>
    <w:p w14:paraId="7F95E06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8、乙方进场的机械设备应自行办理相关设备险。</w:t>
      </w:r>
    </w:p>
    <w:p w14:paraId="69A0619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9、乙方履约完成、退场(含履约完毕退场及中途退场)或乙方违约被清退时，乙方投入本工程的所有设备由乙方自行妥善处理，不得以任何理由要求由甲方收购该设备或要求甲方以任何形式承担任何费用及责任。</w:t>
      </w:r>
    </w:p>
    <w:p w14:paraId="5CB201B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6" w:name="_Toc21308"/>
      <w:r>
        <w:rPr>
          <w:rFonts w:hint="eastAsia" w:ascii="仿宋" w:hAnsi="仿宋" w:eastAsia="仿宋" w:cs="仿宋"/>
          <w:b/>
          <w:bCs/>
          <w:color w:val="auto"/>
          <w:sz w:val="25"/>
          <w:szCs w:val="25"/>
          <w:highlight w:val="none"/>
          <w:lang w:val="en-US" w:eastAsia="zh-CN"/>
        </w:rPr>
        <w:t>八、质量要求</w:t>
      </w:r>
      <w:bookmarkEnd w:id="16"/>
    </w:p>
    <w:p w14:paraId="791778B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1、质量目标与要求</w:t>
      </w:r>
    </w:p>
    <w:p w14:paraId="4EEBE45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本项目质量要求为</w:t>
      </w:r>
      <w:r>
        <w:rPr>
          <w:rFonts w:hint="eastAsia" w:ascii="仿宋" w:hAnsi="仿宋" w:eastAsia="仿宋" w:cs="仿宋"/>
          <w:color w:val="auto"/>
          <w:sz w:val="25"/>
          <w:szCs w:val="25"/>
          <w:highlight w:val="none"/>
          <w:u w:val="single"/>
          <w:lang w:val="en-US" w:eastAsia="zh-CN"/>
        </w:rPr>
        <w:t>合格</w:t>
      </w:r>
      <w:r>
        <w:rPr>
          <w:rFonts w:hint="eastAsia" w:ascii="仿宋" w:hAnsi="仿宋" w:eastAsia="仿宋" w:cs="仿宋"/>
          <w:color w:val="auto"/>
          <w:sz w:val="25"/>
          <w:szCs w:val="25"/>
          <w:highlight w:val="none"/>
          <w:lang w:val="en-US" w:eastAsia="zh-CN"/>
        </w:rPr>
        <w:t>，需达到国家施工及验收规范规定合格标准、工序验收标准及四川省相关规定标准和甲方质量目标要求。乙方不能按本合同工期竣工或工程质量达不到约定的质量标准或发生合同列举的健康、环境、安全等事故或不按合同约定履行其他义务、责任的，将按主合同中业主及行政主管部门对甲方规定的标准和业主的处罚方式进行处理。</w:t>
      </w:r>
    </w:p>
    <w:p w14:paraId="11D488F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7" w:name="bookmark32"/>
      <w:bookmarkEnd w:id="17"/>
      <w:r>
        <w:rPr>
          <w:rFonts w:hint="eastAsia" w:ascii="仿宋" w:hAnsi="仿宋" w:eastAsia="仿宋" w:cs="仿宋"/>
          <w:b/>
          <w:bCs/>
          <w:color w:val="auto"/>
          <w:sz w:val="25"/>
          <w:szCs w:val="25"/>
          <w:highlight w:val="none"/>
          <w:lang w:val="en-US" w:eastAsia="zh-CN"/>
        </w:rPr>
        <w:t>2、质量检查与验收</w:t>
      </w:r>
    </w:p>
    <w:p w14:paraId="0520C35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(1)乙方必须按设计文件、现行国家的标准技术规范规定的验收标准及四川省相关规定、甲方质量要求进行施工，并接受甲方、监理、业主质检人员的监督、管理。</w:t>
      </w:r>
    </w:p>
    <w:p w14:paraId="18AF357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(2)如乙方在施工过程中发现</w:t>
      </w:r>
      <w:r>
        <w:rPr>
          <w:rFonts w:hint="eastAsia" w:ascii="仿宋" w:hAnsi="仿宋" w:eastAsia="仿宋" w:cs="仿宋"/>
          <w:color w:val="auto"/>
          <w:sz w:val="25"/>
          <w:szCs w:val="25"/>
          <w:highlight w:val="none"/>
          <w:u w:val="single"/>
          <w:lang w:val="en-US" w:eastAsia="zh-CN"/>
        </w:rPr>
        <w:t>甲供材</w:t>
      </w:r>
      <w:r>
        <w:rPr>
          <w:rFonts w:hint="eastAsia" w:ascii="仿宋" w:hAnsi="仿宋" w:eastAsia="仿宋" w:cs="仿宋"/>
          <w:color w:val="auto"/>
          <w:sz w:val="25"/>
          <w:szCs w:val="25"/>
          <w:highlight w:val="none"/>
          <w:lang w:val="en-US" w:eastAsia="zh-CN"/>
        </w:rPr>
        <w:t>质量问题，应立即通知甲方技术员及生产经理，在甲方提出处理意见以前，乙方应及时采取有效措施使损失降至最小。经确认确实为</w:t>
      </w:r>
      <w:r>
        <w:rPr>
          <w:rFonts w:hint="eastAsia" w:ascii="仿宋" w:hAnsi="仿宋" w:eastAsia="仿宋" w:cs="仿宋"/>
          <w:color w:val="auto"/>
          <w:sz w:val="25"/>
          <w:szCs w:val="25"/>
          <w:highlight w:val="none"/>
          <w:u w:val="single"/>
          <w:lang w:val="en-US" w:eastAsia="zh-CN"/>
        </w:rPr>
        <w:t>甲供材</w:t>
      </w:r>
      <w:r>
        <w:rPr>
          <w:rFonts w:hint="eastAsia" w:ascii="仿宋" w:hAnsi="仿宋" w:eastAsia="仿宋" w:cs="仿宋"/>
          <w:color w:val="auto"/>
          <w:sz w:val="25"/>
          <w:szCs w:val="25"/>
          <w:highlight w:val="none"/>
          <w:lang w:val="en-US" w:eastAsia="zh-CN"/>
        </w:rPr>
        <w:t>质量问题导致的损失，甲方可就损失情况经协商后进行补偿。</w:t>
      </w:r>
    </w:p>
    <w:p w14:paraId="0CFA4CD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en-US"/>
        </w:rPr>
      </w:pPr>
      <w:r>
        <w:rPr>
          <w:rFonts w:hint="eastAsia" w:ascii="仿宋" w:hAnsi="仿宋" w:eastAsia="仿宋" w:cs="仿宋"/>
          <w:color w:val="auto"/>
          <w:sz w:val="25"/>
          <w:szCs w:val="25"/>
          <w:highlight w:val="none"/>
          <w:lang w:val="en-US" w:eastAsia="zh-CN"/>
        </w:rPr>
        <w:t>(3)因乙方</w:t>
      </w:r>
      <w:r>
        <w:rPr>
          <w:rFonts w:hint="eastAsia" w:ascii="仿宋" w:hAnsi="仿宋" w:eastAsia="仿宋" w:cs="仿宋"/>
          <w:color w:val="auto"/>
          <w:sz w:val="25"/>
          <w:szCs w:val="25"/>
          <w:highlight w:val="none"/>
          <w:lang w:val="en-US" w:eastAsia="en-US"/>
        </w:rPr>
        <w:t>原因导致的</w:t>
      </w:r>
      <w:r>
        <w:rPr>
          <w:rFonts w:hint="eastAsia" w:ascii="仿宋" w:hAnsi="仿宋" w:eastAsia="仿宋" w:cs="仿宋"/>
          <w:color w:val="auto"/>
          <w:sz w:val="25"/>
          <w:szCs w:val="25"/>
          <w:highlight w:val="none"/>
          <w:lang w:val="en-US" w:eastAsia="zh-CN"/>
        </w:rPr>
        <w:t>施工质量问题</w:t>
      </w:r>
      <w:r>
        <w:rPr>
          <w:rFonts w:hint="eastAsia" w:ascii="仿宋" w:hAnsi="仿宋" w:eastAsia="仿宋" w:cs="仿宋"/>
          <w:color w:val="auto"/>
          <w:sz w:val="25"/>
          <w:szCs w:val="25"/>
          <w:highlight w:val="none"/>
          <w:lang w:val="en-US" w:eastAsia="en-US"/>
        </w:rPr>
        <w:t>均属于乙方责任，乙方</w:t>
      </w:r>
      <w:r>
        <w:rPr>
          <w:rFonts w:hint="eastAsia" w:ascii="仿宋" w:hAnsi="仿宋" w:eastAsia="仿宋" w:cs="仿宋"/>
          <w:color w:val="auto"/>
          <w:sz w:val="25"/>
          <w:szCs w:val="25"/>
          <w:highlight w:val="none"/>
          <w:lang w:val="en-US" w:eastAsia="zh-CN"/>
        </w:rPr>
        <w:t>除需对问题部位进行返工或修理</w:t>
      </w:r>
      <w:r>
        <w:rPr>
          <w:rFonts w:hint="eastAsia" w:ascii="仿宋" w:hAnsi="仿宋" w:eastAsia="仿宋" w:cs="仿宋"/>
          <w:color w:val="auto"/>
          <w:sz w:val="25"/>
          <w:szCs w:val="25"/>
          <w:highlight w:val="none"/>
          <w:lang w:val="en-US" w:eastAsia="en-US"/>
        </w:rPr>
        <w:t>外，还应补偿甲方损失，如乙方拒绝，甲方有权委托第三方处理并从乙方结算款中扣除相关费用。</w:t>
      </w:r>
    </w:p>
    <w:p w14:paraId="13BBD19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6CF5470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(5)乙方须按照合同及甲方的管理要求，及时向甲方提供施工技术措施、施工报表、施工原始资料等应由乙方提供的相关资料。如不能按时提供资料，甲方有权暂停给乙方的工程款结算和支付。</w:t>
      </w:r>
    </w:p>
    <w:p w14:paraId="5750782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(6)工程经甲方验收后，仍需业主、监理、国家或地方质检部门验收合格后方视为正式验收。</w:t>
      </w:r>
    </w:p>
    <w:p w14:paraId="014877E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(7)乙方必须服从甲方对本工程质量管理的规章制度。</w:t>
      </w:r>
    </w:p>
    <w:p w14:paraId="175751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(8)本合同提前解除的，不免除乙方应承担的工程质量责任。</w:t>
      </w:r>
    </w:p>
    <w:p w14:paraId="57B9E52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验收不合格的，相关费用由乙方承担，验收合格的相关费用由甲方承担。</w:t>
      </w:r>
    </w:p>
    <w:p w14:paraId="5A8FA0F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(10)工程照管与成品、半成品保护</w:t>
      </w:r>
      <w:bookmarkStart w:id="18" w:name="bookmark33"/>
      <w:bookmarkEnd w:id="18"/>
    </w:p>
    <w:p w14:paraId="4861D88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1)自甲方向乙方移交施工工作面之日起，乙方应负责照管工程及工程相关的材料、工程设备，直到相应工程经建设单位验收合格之日止。</w:t>
      </w:r>
    </w:p>
    <w:p w14:paraId="67938F8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2)在乙方负责照管期间，因乙方原因造成工程、材料、工程设备损坏的，由乙方负责修复或更换，并承担由此增加的费用和(或)延误的工期。</w:t>
      </w:r>
    </w:p>
    <w:p w14:paraId="0BDD171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3)对合同内分期完成的成品和半成品，在相应工程经业主单位验收合格前， 由乙方承担保护责任。因乙方原因造成成品或半成品损坏的，由乙方负责修复或 更换，并承担由此增加的费用和(或)延误的工期。</w:t>
      </w:r>
    </w:p>
    <w:p w14:paraId="3DB47FD3">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9" w:name="_Toc21915"/>
      <w:r>
        <w:rPr>
          <w:rFonts w:hint="eastAsia" w:ascii="仿宋" w:hAnsi="仿宋" w:eastAsia="仿宋" w:cs="仿宋"/>
          <w:b/>
          <w:bCs/>
          <w:color w:val="auto"/>
          <w:sz w:val="25"/>
          <w:szCs w:val="25"/>
          <w:highlight w:val="none"/>
          <w:lang w:val="en-US" w:eastAsia="zh-CN"/>
        </w:rPr>
        <w:t>九、安全生产与文明施工</w:t>
      </w:r>
      <w:bookmarkEnd w:id="19"/>
    </w:p>
    <w:p w14:paraId="7BE87B6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1、乙方应严格遵守国家安全生产的法律法规、规程规范、标准，遵守甲方的安全规章制度和现场防护要求，签订《环境与职业健康安全管理责任书》及项目总分包安全管理协议，以确保施工安全。</w:t>
      </w:r>
    </w:p>
    <w:p w14:paraId="663AFAE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2、乙方必须对本单位全体施工人员的安全负责，开工前必须进行岗前培训和安全 教育，特殊工种必须按国家法律、法规要求持证上岗。乙方必须将岗前培训、安全教育记录以及特殊工种操作证复印件报甲方备案；由于乙方违章作业或安全措施不力等原因造成伤亡事故的责任和因此而发生的费用(包括给第三人造成的人身、财产损失赔偿),由乙方承担。</w:t>
      </w:r>
    </w:p>
    <w:p w14:paraId="126A200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3、乙方必须严格按照国家有关安全规定及操作规程组织施工，教育、督促全体施工人员认真落实各项安全制度、措施和要求，特别是要遵守针对本工程施工特点的施工安全规定。</w:t>
      </w:r>
    </w:p>
    <w:p w14:paraId="625CCAC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在施工过程中，必须制定出严密的安全防范措施及应急预案，配置齐全安全防护用品，对危险源和重大事故隐患进行排查，加强对人员驻地、施工现场的安全管理及各项措施和设施落实，消除事故隐患，杜绝各种事故，确保人员、设备、物资、工程的安全。乙方应承担因管理不善、违章操作等原因造成进现场的施工人员、非施工人员伤亡事故责任及费用。</w:t>
      </w:r>
    </w:p>
    <w:p w14:paraId="31C883A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0" w:name="bookmark34"/>
      <w:bookmarkEnd w:id="20"/>
      <w:r>
        <w:rPr>
          <w:rFonts w:hint="eastAsia" w:ascii="仿宋" w:hAnsi="仿宋" w:eastAsia="仿宋" w:cs="仿宋"/>
          <w:color w:val="auto"/>
          <w:sz w:val="25"/>
          <w:szCs w:val="25"/>
          <w:highlight w:val="none"/>
          <w:lang w:val="en-US" w:eastAsia="zh-CN"/>
        </w:rPr>
        <w:t>生态破坏、机械设备及其他事故均由乙方自行负责处理并承担费用。</w:t>
      </w:r>
    </w:p>
    <w:p w14:paraId="322AA6E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6、职业病防治：乙方应按照国家、省地有关规定承担对从业人员进行职业健康预防和检查，承担因从事本工程而引发职业病人员的治疗和康复，由此而产生的一切费用由乙方承担。</w:t>
      </w:r>
    </w:p>
    <w:p w14:paraId="28E8D83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7、乙方负责管理本合同工程的施工作业安全以及消防、防汛和抗灾等工作。</w:t>
      </w:r>
      <w:r>
        <w:rPr>
          <w:rFonts w:hint="eastAsia" w:ascii="仿宋" w:hAnsi="仿宋" w:eastAsia="仿宋" w:cs="仿宋"/>
          <w:color w:val="auto"/>
          <w:sz w:val="25"/>
          <w:szCs w:val="25"/>
          <w:highlight w:val="none"/>
          <w:u w:val="single"/>
          <w:lang w:val="en-US" w:eastAsia="zh-CN"/>
        </w:rPr>
        <w:t>乙方必须配备1名</w:t>
      </w:r>
      <w:r>
        <w:rPr>
          <w:rFonts w:hint="eastAsia" w:ascii="仿宋" w:hAnsi="仿宋" w:eastAsia="仿宋" w:cs="仿宋"/>
          <w:color w:val="auto"/>
          <w:sz w:val="25"/>
          <w:szCs w:val="25"/>
          <w:highlight w:val="none"/>
          <w:lang w:val="en-US" w:eastAsia="zh-CN"/>
        </w:rPr>
        <w:t>（按工程实际体量调整人员配备数量）专职安全员</w:t>
      </w:r>
      <w:r>
        <w:rPr>
          <w:rFonts w:hint="eastAsia" w:ascii="仿宋" w:hAnsi="仿宋" w:eastAsia="仿宋" w:cs="仿宋"/>
          <w:b/>
          <w:bCs/>
          <w:color w:val="auto"/>
          <w:sz w:val="25"/>
          <w:szCs w:val="25"/>
          <w:highlight w:val="none"/>
          <w:lang w:val="en-US" w:eastAsia="zh-CN"/>
        </w:rPr>
        <w:t>(必须持有建筑施工企业三类人员C证)</w:t>
      </w:r>
      <w:r>
        <w:rPr>
          <w:rFonts w:hint="eastAsia" w:ascii="仿宋" w:hAnsi="仿宋" w:eastAsia="仿宋" w:cs="仿宋"/>
          <w:color w:val="auto"/>
          <w:sz w:val="25"/>
          <w:szCs w:val="25"/>
          <w:highlight w:val="none"/>
          <w:lang w:val="en-US" w:eastAsia="zh-CN"/>
        </w:rPr>
        <w:t xml:space="preserve"> , 报甲方备案；加强施工作业的安全管理，并应服从甲方安全工程师指挥安排。</w:t>
      </w:r>
    </w:p>
    <w:p w14:paraId="01035A8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8、甲方安全管理人员有权对乙方人员进行安全培训及安全生产作出指导，并对其安全生产管理进行监督、检查以及按甲方有关规定进行处理。</w:t>
      </w:r>
    </w:p>
    <w:p w14:paraId="069F1AF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9、乙方有权拒绝甲方的违章指挥。若甲方原因导致的安全事故，由甲方承担相应责任及发生的费用。</w:t>
      </w:r>
    </w:p>
    <w:p w14:paraId="3877821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乙方在施工现场内必须配置和使用合格的安全保护用品，费用已包含在合同价格中。进入施工现场的所有与施工有关的人员必须正确佩戴安全帽，高空作业人员必须正确佩戴安全绳，电工必须正确佩戴穿戴绝缘鞋、绝缘手套等绝缘防护用品，禁止穿拖鞋进入施工场地，一经发现，处以违约金</w:t>
      </w:r>
      <w:r>
        <w:rPr>
          <w:rFonts w:hint="eastAsia" w:ascii="仿宋" w:hAnsi="仿宋" w:eastAsia="仿宋" w:cs="仿宋"/>
          <w:b/>
          <w:bCs/>
          <w:color w:val="auto"/>
          <w:sz w:val="25"/>
          <w:szCs w:val="25"/>
          <w:highlight w:val="none"/>
          <w:u w:val="single"/>
          <w:lang w:val="en-US" w:eastAsia="zh-CN"/>
        </w:rPr>
        <w:t>500</w:t>
      </w:r>
      <w:r>
        <w:rPr>
          <w:rFonts w:hint="eastAsia" w:ascii="仿宋" w:hAnsi="仿宋" w:eastAsia="仿宋" w:cs="仿宋"/>
          <w:color w:val="auto"/>
          <w:sz w:val="25"/>
          <w:szCs w:val="25"/>
          <w:highlight w:val="none"/>
          <w:lang w:val="en-US" w:eastAsia="zh-CN"/>
        </w:rPr>
        <w:t>元/人.次，同一人两次以上被安全员处以违约金的，乙方必须将该工人清出现场。</w:t>
      </w:r>
    </w:p>
    <w:p w14:paraId="77622B7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11、发生重大伤亡及其他安全事故时，乙方应采取必要的措施，及时抢救伤员，并防止事态进一步扩大、减少损失，同时须立即报告甲方。对因乙方延报、漏报或采取的措施不当而引起的损失扩大部分的责任由乙方自行承担。</w:t>
      </w:r>
    </w:p>
    <w:p w14:paraId="5E8A5FD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12、乙方应教育其施工及管理人员遵纪守法，服从工地各种管理规定，严禁打架斗殴、酒后上岗、偷盗等行为，共同维护工地的社会治安，协助现场管理人员做好施工工地和生活区的治安保卫工作。</w:t>
      </w:r>
    </w:p>
    <w:p w14:paraId="4A6F859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13、乙方必须遵守甲方有关文明施工的管理制度。乙方应保持自己生活区及施工区内的环境卫生，并做好环境保护工作。本合同工程施工过程中及完工退场时，要清理施工场地和生活驻地的垃圾，确保环境卫生干净、整洁。</w:t>
      </w:r>
    </w:p>
    <w:p w14:paraId="24FCED5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14、非甲方原因，乙方遭受到财产和人员(包括乙方雇员、乙方施工范围内其他人员)生命、健康损失由乙方自行承担。如果因此给甲方或第三方造成损失，由乙方负责赔偿。由第三者造成乙方的生命财产损失的由第三者负责，由不可抗</w:t>
      </w:r>
      <w:bookmarkStart w:id="21" w:name="bookmark35"/>
      <w:bookmarkEnd w:id="21"/>
      <w:r>
        <w:rPr>
          <w:rFonts w:hint="eastAsia" w:ascii="仿宋" w:hAnsi="仿宋" w:eastAsia="仿宋" w:cs="仿宋"/>
          <w:color w:val="auto"/>
          <w:sz w:val="25"/>
          <w:szCs w:val="25"/>
          <w:highlight w:val="none"/>
          <w:lang w:val="en-US" w:eastAsia="zh-CN"/>
        </w:rPr>
        <w:t>力造成乙方的生命财产损失的由乙方从保险公司的赔偿中补偿，保险不能补偿的由乙方自行承担。</w:t>
      </w:r>
    </w:p>
    <w:p w14:paraId="2901B9F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15、安全文明施工费已包含在单价中，乙方必须按照所有相关安全文明标准化要求进行施工，采取的安全文明标准化各项措施费用均包含单价中，甲方不再另行支付相关费用。施工过程中，乙方不以任何理由向甲方索赔任何增加的标准化费用。</w:t>
      </w:r>
    </w:p>
    <w:p w14:paraId="65AE467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2" w:name="_Toc2552"/>
      <w:r>
        <w:rPr>
          <w:rFonts w:hint="eastAsia" w:ascii="仿宋" w:hAnsi="仿宋" w:eastAsia="仿宋" w:cs="仿宋"/>
          <w:b/>
          <w:bCs/>
          <w:color w:val="auto"/>
          <w:sz w:val="25"/>
          <w:szCs w:val="25"/>
          <w:highlight w:val="none"/>
          <w:lang w:val="en-US" w:eastAsia="zh-CN"/>
        </w:rPr>
        <w:t>十、职业健康与环境保护</w:t>
      </w:r>
      <w:bookmarkEnd w:id="22"/>
    </w:p>
    <w:p w14:paraId="6B59CFD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(一)职业健康</w:t>
      </w:r>
    </w:p>
    <w:p w14:paraId="21C8ED8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1、乙方在签订本合同时须与甲方签订《环境与职业健康安全管理责任书》, 作为本合同的组成部分。</w:t>
      </w:r>
    </w:p>
    <w:p w14:paraId="67033B5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2、乙方应为自己雇用人员配置劳动防护用品，如安全带、安全网、防尘面罩、雨衣、雨鞋等劳动防护用品。其费用已包含在合同价格中，甲方不再另行支付。</w:t>
      </w:r>
    </w:p>
    <w:p w14:paraId="2540894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709E0AD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(二)环境保护</w:t>
      </w:r>
    </w:p>
    <w:p w14:paraId="19F8C94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1、在施工场地涉及危险区域或有害因素等环境问题需要安全防护、环境保护措施实施时，乙方应提出安全、环境防护措施方案，经甲方批准后实施，发生的相应费用由乙方承担。</w:t>
      </w:r>
    </w:p>
    <w:p w14:paraId="287283A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2、乙方对固体废弃物进行控制，工业垃圾按照指定要求进行堆放，弃渣、生产生活产生的废弃物分类收集，统一处理，减少对环境的影响，危险废弃物/不可回收的废物/可回收废物分类收集、按规定统一处理。</w:t>
      </w:r>
    </w:p>
    <w:p w14:paraId="34157C5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3、乙方对危险化学品、放射源实行有效管理、专人负责，放射源实行有效存放，专人负责，有效控制。</w:t>
      </w:r>
    </w:p>
    <w:p w14:paraId="02CC8FD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4、乙方对生产生活废水做到规划管理，污水排放符合国家排放标准和满足当地环保部门的要求，不污染河域环境，生产生活废水必须经沉淀池、化粪池、隔油池处理。</w:t>
      </w:r>
    </w:p>
    <w:p w14:paraId="65888EA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5、乙方在工程项目设计要求范围内进行施工，不发生施工设计规划以外的破</w:t>
      </w:r>
      <w:bookmarkStart w:id="23" w:name="bookmark36"/>
      <w:bookmarkEnd w:id="23"/>
      <w:r>
        <w:rPr>
          <w:rFonts w:hint="eastAsia" w:ascii="仿宋" w:hAnsi="仿宋" w:eastAsia="仿宋" w:cs="仿宋"/>
          <w:color w:val="auto"/>
          <w:sz w:val="25"/>
          <w:szCs w:val="25"/>
          <w:highlight w:val="none"/>
          <w:lang w:val="en-US" w:eastAsia="zh-CN"/>
        </w:rPr>
        <w:t>坏环境保护性质的施工行为。</w:t>
      </w:r>
    </w:p>
    <w:p w14:paraId="78BF5FE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6、乙方对工作生活场所大气污染环境因素(源)进行控制管理，大气污染物排放符合国家排放标准。</w:t>
      </w:r>
    </w:p>
    <w:p w14:paraId="316075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7、乙方生产、施工场界噪声控制指标应符合《建筑施工场界噪声限值》 GB12523-90标准。</w:t>
      </w:r>
    </w:p>
    <w:p w14:paraId="6855607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8、乙方应加强节能降耗，控制高能耗设备和超产品能耗设计性能设备的使用。</w:t>
      </w:r>
    </w:p>
    <w:p w14:paraId="60AD918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9、乙方应确保本单位在施工活动中遵守国家、地方有关环境保护方面的法律和法规。</w:t>
      </w:r>
    </w:p>
    <w:p w14:paraId="6F7B796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10、乙方应遵守甲方环境管理规定，适时接受并配合甲方对环境管理工作实施的监督检查活动。</w:t>
      </w:r>
    </w:p>
    <w:p w14:paraId="51A9308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(三)责任划分</w:t>
      </w:r>
    </w:p>
    <w:p w14:paraId="45FF676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乙方如发生职业健康安全、环境污染等事故时，应立即通知甲方，同时接受甲方、当地政府有关部门的调查处理。乙方承担由此发生的一切费用，包括承担当地政府有关部门对此作出的责任追究及处罚。</w:t>
      </w:r>
    </w:p>
    <w:p w14:paraId="19ACE1D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4" w:name="_Toc32227"/>
      <w:r>
        <w:rPr>
          <w:rFonts w:hint="eastAsia" w:ascii="仿宋" w:hAnsi="仿宋" w:eastAsia="仿宋" w:cs="仿宋"/>
          <w:b/>
          <w:bCs/>
          <w:color w:val="auto"/>
          <w:sz w:val="25"/>
          <w:szCs w:val="25"/>
          <w:highlight w:val="none"/>
          <w:lang w:val="en-US" w:eastAsia="zh-CN"/>
        </w:rPr>
        <w:t>十一、技术条款</w:t>
      </w:r>
      <w:bookmarkEnd w:id="24"/>
    </w:p>
    <w:p w14:paraId="08C85C2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本工程技术条款以设计要求（施工图纸及设计变更）及国家相关标准规范要求以及甲方与业主主合同有关本合同项目的技术要求为准。</w:t>
      </w:r>
    </w:p>
    <w:p w14:paraId="234FC5F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5" w:name="_Toc25806"/>
      <w:r>
        <w:rPr>
          <w:rFonts w:hint="eastAsia" w:ascii="仿宋" w:hAnsi="仿宋" w:eastAsia="仿宋" w:cs="仿宋"/>
          <w:b/>
          <w:bCs/>
          <w:color w:val="auto"/>
          <w:sz w:val="25"/>
          <w:szCs w:val="25"/>
          <w:highlight w:val="none"/>
          <w:lang w:val="en-US" w:eastAsia="zh-CN"/>
        </w:rPr>
        <w:t>十二、乙方人员工资保障措施</w:t>
      </w:r>
      <w:bookmarkEnd w:id="25"/>
    </w:p>
    <w:p w14:paraId="311E40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乙方应严格遵守国家有关解决拖欠工程款和民工工资的法律、法规，及相关文件要求，乙方必须按甲方要求建立农民工管理台账，并报甲方存档，真实、准确记录工人名册、工时和工人工资支付情况等信息。</w:t>
      </w:r>
    </w:p>
    <w:p w14:paraId="1C6D548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不得以任何借口拖欠材料、设备款及民工工资等费用，如果出现此种现象，甲方有权代为支付其拖欠的材料、设备款及民工工资，并从应付给乙方的工程款中扣除相应款项。对恶意拖欠和拒不按计划支付的，作为不良记录纳入履约评价考核。</w:t>
      </w:r>
    </w:p>
    <w:p w14:paraId="07E186B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若因乙方原因造成民工工资未及时发放，造成民工上访事件的，甲方根据民工上访影响程度有权要求乙方支付1-10万元每次违约金，不按实支付的，甲方有权从工程结算款中扣除。</w:t>
      </w:r>
    </w:p>
    <w:p w14:paraId="58997E1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1、乙方施工人员工资发放形式</w:t>
      </w:r>
    </w:p>
    <w:p w14:paraId="61CF64E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为确保乙方施工人员工资及时发放，乙方应按月向甲方提供经审核无误的农</w:t>
      </w:r>
      <w:bookmarkStart w:id="26" w:name="bookmark37"/>
      <w:bookmarkEnd w:id="26"/>
      <w:r>
        <w:rPr>
          <w:rFonts w:hint="eastAsia" w:ascii="仿宋" w:hAnsi="仿宋" w:eastAsia="仿宋" w:cs="仿宋"/>
          <w:color w:val="auto"/>
          <w:sz w:val="25"/>
          <w:szCs w:val="25"/>
          <w:highlight w:val="none"/>
          <w:lang w:val="en-US" w:eastAsia="zh-CN"/>
        </w:rPr>
        <w:t>民工工资表(签字盖章)。甲方在对乙方办理完结算后，应先通过农民工工资专户代发农民工工资(发放至农民工个人银行卡),剩余结算款作为工程款支付至乙方基本户。不提交“员工工资表”或提交表格不合格、不真实的，甲方有权暂时拒绝支付工程款。</w:t>
      </w:r>
    </w:p>
    <w:p w14:paraId="3D2F8AB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7" w:name="_Toc18170"/>
      <w:r>
        <w:rPr>
          <w:rFonts w:hint="eastAsia" w:ascii="仿宋" w:hAnsi="仿宋" w:eastAsia="仿宋" w:cs="仿宋"/>
          <w:b/>
          <w:bCs/>
          <w:color w:val="auto"/>
          <w:sz w:val="25"/>
          <w:szCs w:val="25"/>
          <w:highlight w:val="none"/>
          <w:lang w:val="en-US" w:eastAsia="zh-CN"/>
        </w:rPr>
        <w:t>十三、资源配置</w:t>
      </w:r>
      <w:bookmarkEnd w:id="27"/>
    </w:p>
    <w:p w14:paraId="7D1BD46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乙方投入的人员及机械设备必须满足工程进度的要求，并为其承诺投入的人员、设备负责。当乙方资源配置影响承包项目实施时，甲方有权要求增加人员及设备等资源的配置，相关费用由乙方承担。</w:t>
      </w:r>
    </w:p>
    <w:p w14:paraId="3847D5D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1、人力资源投入</w:t>
      </w:r>
    </w:p>
    <w:p w14:paraId="7408B84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为确保合同履行，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61E71B3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乙方计划投入主要技术、管理人员及工班长如下(必填): 《主要进场人员一览表》:（根据分包项目情况填写）</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5DFF0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708F1474">
            <w:pPr>
              <w:pStyle w:val="15"/>
              <w:keepNext w:val="0"/>
              <w:keepLines w:val="0"/>
              <w:pageBreakBefore w:val="0"/>
              <w:wordWrap/>
              <w:overflowPunct/>
              <w:topLinePunct w:val="0"/>
              <w:bidi w:val="0"/>
              <w:spacing w:before="143" w:line="400" w:lineRule="exact"/>
              <w:ind w:left="115"/>
              <w:jc w:val="center"/>
              <w:rPr>
                <w:rFonts w:hint="eastAsia" w:ascii="仿宋" w:hAnsi="仿宋" w:eastAsia="仿宋" w:cs="仿宋"/>
                <w:color w:val="auto"/>
                <w:highlight w:val="none"/>
              </w:rPr>
            </w:pPr>
            <w:r>
              <w:rPr>
                <w:rFonts w:hint="eastAsia" w:ascii="仿宋" w:hAnsi="仿宋" w:eastAsia="仿宋" w:cs="仿宋"/>
                <w:color w:val="auto"/>
                <w:spacing w:val="-2"/>
                <w:highlight w:val="none"/>
              </w:rPr>
              <w:t>序号</w:t>
            </w:r>
          </w:p>
        </w:tc>
        <w:tc>
          <w:tcPr>
            <w:tcW w:w="1429" w:type="dxa"/>
            <w:vAlign w:val="center"/>
          </w:tcPr>
          <w:p w14:paraId="49475D48">
            <w:pPr>
              <w:pStyle w:val="15"/>
              <w:keepNext w:val="0"/>
              <w:keepLines w:val="0"/>
              <w:pageBreakBefore w:val="0"/>
              <w:wordWrap/>
              <w:overflowPunct/>
              <w:topLinePunct w:val="0"/>
              <w:bidi w:val="0"/>
              <w:spacing w:before="142" w:line="400" w:lineRule="exact"/>
              <w:ind w:left="110"/>
              <w:jc w:val="center"/>
              <w:rPr>
                <w:rFonts w:hint="eastAsia" w:ascii="仿宋" w:hAnsi="仿宋" w:eastAsia="仿宋" w:cs="仿宋"/>
                <w:color w:val="auto"/>
                <w:highlight w:val="none"/>
              </w:rPr>
            </w:pPr>
            <w:r>
              <w:rPr>
                <w:rFonts w:hint="eastAsia" w:ascii="仿宋" w:hAnsi="仿宋" w:eastAsia="仿宋" w:cs="仿宋"/>
                <w:color w:val="auto"/>
                <w:spacing w:val="3"/>
                <w:highlight w:val="none"/>
              </w:rPr>
              <w:t>岗位</w:t>
            </w:r>
          </w:p>
        </w:tc>
        <w:tc>
          <w:tcPr>
            <w:tcW w:w="1189" w:type="dxa"/>
            <w:vAlign w:val="center"/>
          </w:tcPr>
          <w:p w14:paraId="5A87DCC9">
            <w:pPr>
              <w:pStyle w:val="15"/>
              <w:keepNext w:val="0"/>
              <w:keepLines w:val="0"/>
              <w:pageBreakBefore w:val="0"/>
              <w:wordWrap/>
              <w:overflowPunct/>
              <w:topLinePunct w:val="0"/>
              <w:bidi w:val="0"/>
              <w:spacing w:before="142" w:line="400" w:lineRule="exact"/>
              <w:ind w:left="401"/>
              <w:jc w:val="center"/>
              <w:rPr>
                <w:rFonts w:hint="eastAsia" w:ascii="仿宋" w:hAnsi="仿宋" w:eastAsia="仿宋" w:cs="仿宋"/>
                <w:color w:val="auto"/>
                <w:highlight w:val="none"/>
              </w:rPr>
            </w:pPr>
            <w:r>
              <w:rPr>
                <w:rFonts w:hint="eastAsia" w:ascii="仿宋" w:hAnsi="仿宋" w:eastAsia="仿宋" w:cs="仿宋"/>
                <w:color w:val="auto"/>
                <w:spacing w:val="-3"/>
                <w:highlight w:val="none"/>
              </w:rPr>
              <w:t>数量</w:t>
            </w:r>
          </w:p>
        </w:tc>
        <w:tc>
          <w:tcPr>
            <w:tcW w:w="1458" w:type="dxa"/>
            <w:vAlign w:val="center"/>
          </w:tcPr>
          <w:p w14:paraId="7FDFD063">
            <w:pPr>
              <w:pStyle w:val="15"/>
              <w:keepNext w:val="0"/>
              <w:keepLines w:val="0"/>
              <w:pageBreakBefore w:val="0"/>
              <w:wordWrap/>
              <w:overflowPunct/>
              <w:topLinePunct w:val="0"/>
              <w:bidi w:val="0"/>
              <w:spacing w:before="142" w:line="400" w:lineRule="exact"/>
              <w:ind w:left="362"/>
              <w:jc w:val="center"/>
              <w:rPr>
                <w:rFonts w:hint="eastAsia" w:ascii="仿宋" w:hAnsi="仿宋" w:eastAsia="仿宋" w:cs="仿宋"/>
                <w:color w:val="auto"/>
                <w:highlight w:val="none"/>
              </w:rPr>
            </w:pPr>
            <w:r>
              <w:rPr>
                <w:rFonts w:hint="eastAsia" w:ascii="仿宋" w:hAnsi="仿宋" w:eastAsia="仿宋" w:cs="仿宋"/>
                <w:color w:val="auto"/>
                <w:spacing w:val="-2"/>
                <w:highlight w:val="none"/>
              </w:rPr>
              <w:t>进场日期</w:t>
            </w:r>
          </w:p>
        </w:tc>
        <w:tc>
          <w:tcPr>
            <w:tcW w:w="3156" w:type="dxa"/>
            <w:vAlign w:val="center"/>
          </w:tcPr>
          <w:p w14:paraId="519BA748">
            <w:pPr>
              <w:pStyle w:val="15"/>
              <w:keepNext w:val="0"/>
              <w:keepLines w:val="0"/>
              <w:pageBreakBefore w:val="0"/>
              <w:wordWrap/>
              <w:overflowPunct/>
              <w:topLinePunct w:val="0"/>
              <w:bidi w:val="0"/>
              <w:spacing w:before="141" w:line="400" w:lineRule="exact"/>
              <w:ind w:left="915"/>
              <w:jc w:val="center"/>
              <w:rPr>
                <w:rFonts w:hint="eastAsia" w:ascii="仿宋" w:hAnsi="仿宋" w:eastAsia="仿宋" w:cs="仿宋"/>
                <w:color w:val="auto"/>
                <w:highlight w:val="none"/>
              </w:rPr>
            </w:pPr>
            <w:r>
              <w:rPr>
                <w:rFonts w:hint="eastAsia" w:ascii="仿宋" w:hAnsi="仿宋" w:eastAsia="仿宋" w:cs="仿宋"/>
                <w:color w:val="auto"/>
                <w:spacing w:val="-2"/>
                <w:highlight w:val="none"/>
              </w:rPr>
              <w:t>简要工作业绩</w:t>
            </w:r>
          </w:p>
        </w:tc>
        <w:tc>
          <w:tcPr>
            <w:tcW w:w="994" w:type="dxa"/>
            <w:vAlign w:val="center"/>
          </w:tcPr>
          <w:p w14:paraId="3E7AC2DA">
            <w:pPr>
              <w:pStyle w:val="15"/>
              <w:keepNext w:val="0"/>
              <w:keepLines w:val="0"/>
              <w:pageBreakBefore w:val="0"/>
              <w:wordWrap/>
              <w:overflowPunct/>
              <w:topLinePunct w:val="0"/>
              <w:bidi w:val="0"/>
              <w:spacing w:before="143" w:line="400" w:lineRule="exact"/>
              <w:ind w:left="349"/>
              <w:jc w:val="center"/>
              <w:rPr>
                <w:rFonts w:hint="eastAsia" w:ascii="仿宋" w:hAnsi="仿宋" w:eastAsia="仿宋" w:cs="仿宋"/>
                <w:color w:val="auto"/>
                <w:highlight w:val="none"/>
              </w:rPr>
            </w:pPr>
            <w:r>
              <w:rPr>
                <w:rFonts w:hint="eastAsia" w:ascii="仿宋" w:hAnsi="仿宋" w:eastAsia="仿宋" w:cs="仿宋"/>
                <w:color w:val="auto"/>
                <w:spacing w:val="-3"/>
                <w:highlight w:val="none"/>
              </w:rPr>
              <w:t>备注</w:t>
            </w:r>
          </w:p>
        </w:tc>
      </w:tr>
      <w:tr w14:paraId="48CBB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1E2908D6">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w:t>
            </w:r>
          </w:p>
        </w:tc>
        <w:tc>
          <w:tcPr>
            <w:tcW w:w="1429" w:type="dxa"/>
            <w:vAlign w:val="center"/>
          </w:tcPr>
          <w:p w14:paraId="52A0B2CD">
            <w:pPr>
              <w:pStyle w:val="15"/>
              <w:keepNext w:val="0"/>
              <w:keepLines w:val="0"/>
              <w:pageBreakBefore w:val="0"/>
              <w:wordWrap/>
              <w:overflowPunct/>
              <w:topLinePunct w:val="0"/>
              <w:bidi w:val="0"/>
              <w:spacing w:before="149" w:line="400" w:lineRule="exact"/>
              <w:ind w:left="110"/>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项目负责人</w:t>
            </w:r>
          </w:p>
        </w:tc>
        <w:tc>
          <w:tcPr>
            <w:tcW w:w="1189" w:type="dxa"/>
            <w:vAlign w:val="center"/>
          </w:tcPr>
          <w:p w14:paraId="539EC9C4">
            <w:pPr>
              <w:pStyle w:val="15"/>
              <w:keepNext w:val="0"/>
              <w:keepLines w:val="0"/>
              <w:pageBreakBefore w:val="0"/>
              <w:wordWrap/>
              <w:overflowPunct/>
              <w:topLinePunct w:val="0"/>
              <w:bidi w:val="0"/>
              <w:spacing w:before="152" w:line="400" w:lineRule="exact"/>
              <w:ind w:left="451"/>
              <w:jc w:val="both"/>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 xml:space="preserve"> 1人</w:t>
            </w:r>
          </w:p>
        </w:tc>
        <w:tc>
          <w:tcPr>
            <w:tcW w:w="1458" w:type="dxa"/>
            <w:vAlign w:val="center"/>
          </w:tcPr>
          <w:p w14:paraId="4743A7A5">
            <w:pPr>
              <w:pStyle w:val="15"/>
              <w:keepNext w:val="0"/>
              <w:keepLines w:val="0"/>
              <w:pageBreakBefore w:val="0"/>
              <w:wordWrap/>
              <w:overflowPunct/>
              <w:topLinePunct w:val="0"/>
              <w:bidi w:val="0"/>
              <w:spacing w:before="195" w:line="400" w:lineRule="exact"/>
              <w:ind w:left="53"/>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按项目要求</w:t>
            </w:r>
          </w:p>
        </w:tc>
        <w:tc>
          <w:tcPr>
            <w:tcW w:w="3156" w:type="dxa"/>
            <w:vAlign w:val="center"/>
          </w:tcPr>
          <w:p w14:paraId="27ECBF8E">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488CD80D">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r w14:paraId="3118D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5CDF6471">
            <w:pPr>
              <w:pStyle w:val="15"/>
              <w:keepNext w:val="0"/>
              <w:keepLines w:val="0"/>
              <w:pageBreakBefore w:val="0"/>
              <w:wordWrap/>
              <w:overflowPunct/>
              <w:topLinePunct w:val="0"/>
              <w:bidi w:val="0"/>
              <w:spacing w:before="149"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2</w:t>
            </w:r>
          </w:p>
        </w:tc>
        <w:tc>
          <w:tcPr>
            <w:tcW w:w="1429" w:type="dxa"/>
            <w:vAlign w:val="center"/>
          </w:tcPr>
          <w:p w14:paraId="09663F6D">
            <w:pPr>
              <w:pStyle w:val="15"/>
              <w:keepNext w:val="0"/>
              <w:keepLines w:val="0"/>
              <w:pageBreakBefore w:val="0"/>
              <w:wordWrap/>
              <w:overflowPunct/>
              <w:topLinePunct w:val="0"/>
              <w:bidi w:val="0"/>
              <w:spacing w:before="149" w:line="400" w:lineRule="exact"/>
              <w:ind w:left="110"/>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项目技术负责人</w:t>
            </w:r>
          </w:p>
        </w:tc>
        <w:tc>
          <w:tcPr>
            <w:tcW w:w="1189" w:type="dxa"/>
            <w:vAlign w:val="center"/>
          </w:tcPr>
          <w:p w14:paraId="6CFDB1FB">
            <w:pPr>
              <w:pStyle w:val="15"/>
              <w:keepNext w:val="0"/>
              <w:keepLines w:val="0"/>
              <w:pageBreakBefore w:val="0"/>
              <w:wordWrap/>
              <w:overflowPunct/>
              <w:topLinePunct w:val="0"/>
              <w:bidi w:val="0"/>
              <w:spacing w:before="149" w:line="400" w:lineRule="exact"/>
              <w:ind w:left="110"/>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1人</w:t>
            </w:r>
          </w:p>
        </w:tc>
        <w:tc>
          <w:tcPr>
            <w:tcW w:w="1458" w:type="dxa"/>
            <w:vAlign w:val="center"/>
          </w:tcPr>
          <w:p w14:paraId="0929C646">
            <w:pPr>
              <w:pStyle w:val="15"/>
              <w:keepNext w:val="0"/>
              <w:keepLines w:val="0"/>
              <w:pageBreakBefore w:val="0"/>
              <w:wordWrap/>
              <w:overflowPunct/>
              <w:topLinePunct w:val="0"/>
              <w:bidi w:val="0"/>
              <w:spacing w:before="198" w:line="400" w:lineRule="exact"/>
              <w:ind w:left="53"/>
              <w:jc w:val="cente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按项目要求</w:t>
            </w:r>
          </w:p>
        </w:tc>
        <w:tc>
          <w:tcPr>
            <w:tcW w:w="3156" w:type="dxa"/>
            <w:vAlign w:val="center"/>
          </w:tcPr>
          <w:p w14:paraId="1FE412FD">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73B966BF">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r w14:paraId="4338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11C82A67">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3</w:t>
            </w:r>
          </w:p>
        </w:tc>
        <w:tc>
          <w:tcPr>
            <w:tcW w:w="1429" w:type="dxa"/>
            <w:vAlign w:val="center"/>
          </w:tcPr>
          <w:p w14:paraId="2BFE31C1">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施工员</w:t>
            </w:r>
          </w:p>
        </w:tc>
        <w:tc>
          <w:tcPr>
            <w:tcW w:w="1189" w:type="dxa"/>
            <w:vAlign w:val="center"/>
          </w:tcPr>
          <w:p w14:paraId="3A35DC1B">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1人</w:t>
            </w:r>
          </w:p>
        </w:tc>
        <w:tc>
          <w:tcPr>
            <w:tcW w:w="1458" w:type="dxa"/>
            <w:vAlign w:val="center"/>
          </w:tcPr>
          <w:p w14:paraId="3437AEBD">
            <w:pPr>
              <w:pStyle w:val="15"/>
              <w:keepNext w:val="0"/>
              <w:keepLines w:val="0"/>
              <w:pageBreakBefore w:val="0"/>
              <w:wordWrap/>
              <w:overflowPunct/>
              <w:topLinePunct w:val="0"/>
              <w:bidi w:val="0"/>
              <w:spacing w:before="198" w:line="400" w:lineRule="exact"/>
              <w:ind w:left="5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按项目要求</w:t>
            </w:r>
          </w:p>
        </w:tc>
        <w:tc>
          <w:tcPr>
            <w:tcW w:w="3156" w:type="dxa"/>
            <w:vAlign w:val="center"/>
          </w:tcPr>
          <w:p w14:paraId="598BFB9A">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72165C1E">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r w14:paraId="4BE45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63DC170D">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4</w:t>
            </w:r>
          </w:p>
        </w:tc>
        <w:tc>
          <w:tcPr>
            <w:tcW w:w="1429" w:type="dxa"/>
            <w:vAlign w:val="center"/>
          </w:tcPr>
          <w:p w14:paraId="38935455">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安全员</w:t>
            </w:r>
          </w:p>
        </w:tc>
        <w:tc>
          <w:tcPr>
            <w:tcW w:w="1189" w:type="dxa"/>
            <w:vAlign w:val="center"/>
          </w:tcPr>
          <w:p w14:paraId="522E26D4">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1人</w:t>
            </w:r>
          </w:p>
        </w:tc>
        <w:tc>
          <w:tcPr>
            <w:tcW w:w="1458" w:type="dxa"/>
            <w:vAlign w:val="center"/>
          </w:tcPr>
          <w:p w14:paraId="10F065A6">
            <w:pPr>
              <w:pStyle w:val="15"/>
              <w:keepNext w:val="0"/>
              <w:keepLines w:val="0"/>
              <w:pageBreakBefore w:val="0"/>
              <w:wordWrap/>
              <w:overflowPunct/>
              <w:topLinePunct w:val="0"/>
              <w:bidi w:val="0"/>
              <w:spacing w:before="198" w:line="400" w:lineRule="exact"/>
              <w:ind w:left="5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按项目要求</w:t>
            </w:r>
          </w:p>
        </w:tc>
        <w:tc>
          <w:tcPr>
            <w:tcW w:w="3156" w:type="dxa"/>
            <w:vAlign w:val="center"/>
          </w:tcPr>
          <w:p w14:paraId="58C5F909">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65904C4A">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bl>
    <w:p w14:paraId="597C14E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2、机械设备资源投入</w:t>
      </w:r>
    </w:p>
    <w:p w14:paraId="7A11D95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en-US"/>
        </w:rPr>
      </w:pPr>
      <w:r>
        <w:rPr>
          <w:rFonts w:hint="eastAsia" w:ascii="仿宋" w:hAnsi="仿宋" w:eastAsia="仿宋" w:cs="仿宋"/>
          <w:color w:val="auto"/>
          <w:sz w:val="25"/>
          <w:szCs w:val="25"/>
          <w:highlight w:val="none"/>
          <w:lang w:val="en-US" w:eastAsia="en-US"/>
        </w:rPr>
        <w:t>乙方必须于</w:t>
      </w:r>
      <w:r>
        <w:rPr>
          <w:rFonts w:hint="eastAsia" w:ascii="仿宋" w:hAnsi="仿宋" w:eastAsia="仿宋" w:cs="仿宋"/>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en-US"/>
        </w:rPr>
        <w:t>年</w:t>
      </w:r>
      <w:r>
        <w:rPr>
          <w:rFonts w:hint="eastAsia" w:ascii="仿宋" w:hAnsi="仿宋" w:eastAsia="仿宋" w:cs="仿宋"/>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en-US"/>
        </w:rPr>
        <w:t>月</w:t>
      </w:r>
      <w:r>
        <w:rPr>
          <w:rFonts w:hint="eastAsia" w:ascii="仿宋" w:hAnsi="仿宋" w:eastAsia="仿宋" w:cs="仿宋"/>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en-US"/>
        </w:rPr>
        <w:t>日前安排进场设备</w:t>
      </w:r>
      <w:r>
        <w:rPr>
          <w:rFonts w:hint="eastAsia" w:ascii="仿宋" w:hAnsi="仿宋" w:eastAsia="仿宋" w:cs="仿宋"/>
          <w:color w:val="auto"/>
          <w:sz w:val="25"/>
          <w:szCs w:val="25"/>
          <w:highlight w:val="none"/>
          <w:lang w:val="en-US" w:eastAsia="zh-CN"/>
        </w:rPr>
        <w:t>（根据工程部计划填写）</w:t>
      </w:r>
      <w:r>
        <w:rPr>
          <w:rFonts w:hint="eastAsia" w:ascii="仿宋" w:hAnsi="仿宋" w:eastAsia="仿宋" w:cs="仿宋"/>
          <w:color w:val="auto"/>
          <w:sz w:val="25"/>
          <w:szCs w:val="25"/>
          <w:highlight w:val="none"/>
          <w:lang w:val="en-US" w:eastAsia="en-US"/>
        </w:rPr>
        <w:t>，并保证进场设备完好。在设备进场后3日内及退场前7日内，乙方均须将设备情况书面报送甲方，便于甲方组织现场检查验收。</w:t>
      </w:r>
    </w:p>
    <w:p w14:paraId="775C485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8" w:name="bookmark38"/>
      <w:bookmarkEnd w:id="28"/>
      <w:bookmarkStart w:id="29" w:name="_Toc32475"/>
      <w:r>
        <w:rPr>
          <w:rFonts w:hint="eastAsia" w:ascii="仿宋" w:hAnsi="仿宋" w:eastAsia="仿宋" w:cs="仿宋"/>
          <w:b/>
          <w:bCs/>
          <w:color w:val="auto"/>
          <w:sz w:val="25"/>
          <w:szCs w:val="25"/>
          <w:highlight w:val="none"/>
          <w:lang w:val="en-US" w:eastAsia="zh-CN"/>
        </w:rPr>
        <w:t>十四、施工协作</w:t>
      </w:r>
      <w:bookmarkEnd w:id="29"/>
    </w:p>
    <w:p w14:paraId="38437F2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应配合甲方的验收工作，以及甲方按业主、监理要求的涉及乙方工作内容、施工场地的检查、隐蔽工程验收及工程竣工验收；甲方或施工场地内第三方的工作必须乙方配合时，乙方应按甲方的指令予以配合。</w:t>
      </w:r>
    </w:p>
    <w:p w14:paraId="64AD986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2、乙方按约定完成施工作业，必须由甲方或施工场地内的第三方进行配合时，甲方应配合乙方工作或确保乙方获得第三方的配合。</w:t>
      </w:r>
    </w:p>
    <w:p w14:paraId="47B71B9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3、乙方必须服从甲方现场有关管理制度。甲方制定下发的管理制度视为合同组成部分。</w:t>
      </w:r>
    </w:p>
    <w:p w14:paraId="41423C9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0" w:name="_Toc4734"/>
      <w:r>
        <w:rPr>
          <w:rFonts w:hint="eastAsia" w:ascii="仿宋" w:hAnsi="仿宋" w:eastAsia="仿宋" w:cs="仿宋"/>
          <w:b/>
          <w:bCs/>
          <w:color w:val="auto"/>
          <w:sz w:val="25"/>
          <w:szCs w:val="25"/>
          <w:highlight w:val="none"/>
          <w:lang w:val="en-US" w:eastAsia="zh-CN"/>
        </w:rPr>
        <w:t>十五、计量、结算与支付</w:t>
      </w:r>
      <w:bookmarkEnd w:id="30"/>
    </w:p>
    <w:p w14:paraId="11DA3FA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(一)工程计量与结算</w:t>
      </w:r>
    </w:p>
    <w:p w14:paraId="42FE8EA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1、以施工图纸、设计变更通知、甲方技术交底为依据，按乙方实际完成的并经建设单位、监理验收合格，甲方签认的合格工程量计算，其他任何人、任何形式的施工工作量的证明材料均不能作为结算依据。</w:t>
      </w:r>
    </w:p>
    <w:p w14:paraId="595DF27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每月25日前，由甲方工程部门组织甲乙双方共同对乙方所完成的劳务作业项目进行验收，并对符合计量支付要求的劳务作业项目编制中间计量表。甲方物资部门、安全部门、质量部门同时提交当月的物资领用情况、安全生产奖罚、现场施工质量奖罚给合同部，以便在当期结算中扣除。</w:t>
      </w:r>
    </w:p>
    <w:p w14:paraId="6F259CE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3、对因乙方原因造成的返工工程量不予计量，责任由乙方自行承担，且不免除承担因此造成甲方的损失的责任(含业主、监理的罚款等)。</w:t>
      </w:r>
    </w:p>
    <w:p w14:paraId="2A56540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4、依据甲方最后签认的工程数量对乙方进行计量。因乙方原因导致监理及主管单位验收不合格，甲方不予计量，并追究因乙方原因造成返工导致甲方的材料损失。下列情况之一者不予签认和支付：</w:t>
      </w:r>
    </w:p>
    <w:p w14:paraId="0715F77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(1)劳务作业量未经监理工程师、甲方质检人员检查签认的(工程质量未经检查验收或检查验收不合格需返工或待其它处理者);</w:t>
      </w:r>
    </w:p>
    <w:p w14:paraId="5D54403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(2)乙方未按或超设计图纸、施工规范、甲方技术交底要求施工的劳务作业量及无甲方变更设计通知单、乙方自行变更设计而增加的劳务作业量，设计有误或多余，甲方指令不要求施工而乙方自行完成的工程；</w:t>
      </w:r>
    </w:p>
    <w:p w14:paraId="00467C5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(3)由于乙方施工原因，造成的工程质量不合格或未经确认的劳务作业量；</w:t>
      </w:r>
    </w:p>
    <w:p w14:paraId="2A82BA5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(4)由于乙方施工错误造成的质量、安全、环境污染事故而增加的劳务作业量；</w:t>
      </w:r>
    </w:p>
    <w:p w14:paraId="0563ABE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(5)由于乙方施工错误或施工组织安排失误而增加的工程量。</w:t>
      </w:r>
    </w:p>
    <w:p w14:paraId="2EEA025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1" w:name="bookmark39"/>
      <w:bookmarkEnd w:id="31"/>
      <w:r>
        <w:rPr>
          <w:rFonts w:hint="eastAsia" w:ascii="仿宋" w:hAnsi="仿宋" w:eastAsia="仿宋" w:cs="仿宋"/>
          <w:b/>
          <w:bCs/>
          <w:color w:val="auto"/>
          <w:sz w:val="25"/>
          <w:szCs w:val="25"/>
          <w:highlight w:val="none"/>
          <w:lang w:val="en-US" w:eastAsia="zh-CN"/>
        </w:rPr>
        <w:t>(二)工程款支付与保函</w:t>
      </w:r>
    </w:p>
    <w:p w14:paraId="148154C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1、工程款支付</w:t>
      </w:r>
    </w:p>
    <w:p w14:paraId="47CF24E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(1)进度款拨付(包含变更、签字):甲方应在结算办理完毕并收到乙方提供合格的增值税专用发票后的14天内向乙方支付进度款，进度款支付比例为当期结算金额的</w:t>
      </w:r>
      <w:r>
        <w:rPr>
          <w:rFonts w:hint="eastAsia" w:ascii="仿宋" w:hAnsi="仿宋" w:eastAsia="仿宋" w:cs="仿宋"/>
          <w:b/>
          <w:bCs/>
          <w:color w:val="auto"/>
          <w:sz w:val="25"/>
          <w:szCs w:val="25"/>
          <w:highlight w:val="none"/>
          <w:u w:val="single"/>
          <w:lang w:val="en-US" w:eastAsia="zh-CN"/>
        </w:rPr>
        <w:t>85%</w:t>
      </w:r>
      <w:r>
        <w:rPr>
          <w:rFonts w:hint="eastAsia" w:ascii="仿宋" w:hAnsi="仿宋" w:eastAsia="仿宋" w:cs="仿宋"/>
          <w:color w:val="auto"/>
          <w:sz w:val="25"/>
          <w:szCs w:val="25"/>
          <w:highlight w:val="none"/>
          <w:lang w:val="en-US" w:eastAsia="zh-CN"/>
        </w:rPr>
        <w:t>，并扣除各项应扣款项。</w:t>
      </w:r>
    </w:p>
    <w:p w14:paraId="6B4AF48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(2)乙方完工退场并办理完结算，按照结算金额支付至结算款的</w:t>
      </w:r>
      <w:r>
        <w:rPr>
          <w:rFonts w:hint="eastAsia" w:ascii="仿宋" w:hAnsi="仿宋" w:eastAsia="仿宋" w:cs="仿宋"/>
          <w:b/>
          <w:bCs/>
          <w:color w:val="auto"/>
          <w:sz w:val="25"/>
          <w:szCs w:val="25"/>
          <w:highlight w:val="none"/>
          <w:u w:val="single"/>
          <w:lang w:val="en-US" w:eastAsia="zh-CN"/>
        </w:rPr>
        <w:t>95%</w:t>
      </w:r>
      <w:r>
        <w:rPr>
          <w:rFonts w:hint="eastAsia" w:ascii="仿宋" w:hAnsi="仿宋" w:eastAsia="仿宋" w:cs="仿宋"/>
          <w:color w:val="auto"/>
          <w:sz w:val="25"/>
          <w:szCs w:val="25"/>
          <w:highlight w:val="none"/>
          <w:lang w:val="en-US" w:eastAsia="zh-CN"/>
        </w:rPr>
        <w:t>，并扣除各项应扣款项。</w:t>
      </w:r>
    </w:p>
    <w:p w14:paraId="6E6BDF8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(3)剩余</w:t>
      </w:r>
      <w:r>
        <w:rPr>
          <w:rFonts w:hint="eastAsia" w:ascii="仿宋" w:hAnsi="仿宋" w:eastAsia="仿宋" w:cs="仿宋"/>
          <w:b/>
          <w:bCs/>
          <w:color w:val="auto"/>
          <w:sz w:val="25"/>
          <w:szCs w:val="25"/>
          <w:highlight w:val="none"/>
          <w:u w:val="single"/>
          <w:lang w:val="en-US" w:eastAsia="zh-CN"/>
        </w:rPr>
        <w:t>5%</w:t>
      </w:r>
      <w:r>
        <w:rPr>
          <w:rFonts w:hint="eastAsia" w:ascii="仿宋" w:hAnsi="仿宋" w:eastAsia="仿宋" w:cs="仿宋"/>
          <w:color w:val="auto"/>
          <w:sz w:val="25"/>
          <w:szCs w:val="25"/>
          <w:highlight w:val="none"/>
          <w:lang w:val="en-US" w:eastAsia="zh-CN"/>
        </w:rPr>
        <w:t>，缺陷责任期满后无息支付。</w:t>
      </w:r>
    </w:p>
    <w:p w14:paraId="23A0278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2、履约保函</w:t>
      </w:r>
    </w:p>
    <w:p w14:paraId="1155AC3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(1)合同签订</w:t>
      </w:r>
      <w:r>
        <w:rPr>
          <w:rFonts w:hint="eastAsia" w:ascii="仿宋" w:hAnsi="仿宋" w:eastAsia="仿宋" w:cs="仿宋"/>
          <w:color w:val="auto"/>
          <w:sz w:val="25"/>
          <w:szCs w:val="25"/>
          <w:highlight w:val="none"/>
          <w:u w:val="single"/>
          <w:lang w:val="en-US" w:eastAsia="zh-CN"/>
        </w:rPr>
        <w:t>/日</w:t>
      </w:r>
      <w:r>
        <w:rPr>
          <w:rFonts w:hint="eastAsia" w:ascii="仿宋" w:hAnsi="仿宋" w:eastAsia="仿宋" w:cs="仿宋"/>
          <w:color w:val="auto"/>
          <w:sz w:val="25"/>
          <w:szCs w:val="25"/>
          <w:highlight w:val="none"/>
          <w:lang w:val="en-US" w:eastAsia="zh-CN"/>
        </w:rPr>
        <w:t>内，乙方向甲方提供履约保函(银行/保险见索即付保函), 保函保证金额为暂定合同价的</w:t>
      </w:r>
      <w:r>
        <w:rPr>
          <w:rFonts w:hint="eastAsia" w:ascii="仿宋" w:hAnsi="仿宋" w:eastAsia="仿宋" w:cs="仿宋"/>
          <w:b/>
          <w:bCs/>
          <w:color w:val="auto"/>
          <w:sz w:val="25"/>
          <w:szCs w:val="25"/>
          <w:highlight w:val="none"/>
          <w:u w:val="single"/>
          <w:lang w:val="en-US" w:eastAsia="zh-CN"/>
        </w:rPr>
        <w:t>/%</w:t>
      </w:r>
      <w:r>
        <w:rPr>
          <w:rFonts w:hint="eastAsia" w:ascii="仿宋" w:hAnsi="仿宋" w:eastAsia="仿宋" w:cs="仿宋"/>
          <w:color w:val="auto"/>
          <w:sz w:val="25"/>
          <w:szCs w:val="25"/>
          <w:highlight w:val="none"/>
          <w:lang w:val="en-US" w:eastAsia="zh-CN"/>
        </w:rPr>
        <w:t>。若乙方未提交履约保函的，甲方在乙方每期计量款中扣除/%作为履约保证金，待乙方完工退场无遗留问题后退还</w:t>
      </w:r>
      <w:r>
        <w:rPr>
          <w:rFonts w:hint="eastAsia" w:ascii="仿宋" w:hAnsi="仿宋" w:eastAsia="仿宋" w:cs="仿宋"/>
          <w:color w:val="auto"/>
          <w:spacing w:val="-9"/>
          <w:sz w:val="25"/>
          <w:szCs w:val="25"/>
          <w:u w:val="none"/>
          <w:lang w:val="en-US" w:eastAsia="zh-CN"/>
        </w:rPr>
        <w:t>（凉山交城建设有限责任公司分包商资源库内单位无需缴纳履约保函）</w:t>
      </w:r>
      <w:r>
        <w:rPr>
          <w:rFonts w:hint="eastAsia" w:ascii="仿宋" w:hAnsi="仿宋" w:eastAsia="仿宋" w:cs="仿宋"/>
          <w:color w:val="auto"/>
          <w:sz w:val="25"/>
          <w:szCs w:val="25"/>
          <w:highlight w:val="none"/>
          <w:lang w:val="en-US" w:eastAsia="zh-CN"/>
        </w:rPr>
        <w:t>。</w:t>
      </w:r>
    </w:p>
    <w:p w14:paraId="21D8C16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FF0000"/>
          <w:sz w:val="25"/>
          <w:szCs w:val="25"/>
          <w:highlight w:val="none"/>
          <w:lang w:val="en-US" w:eastAsia="zh-CN"/>
        </w:rPr>
        <w:t>(2)双方确认，甲方对乙方的付款资金来源与建设单位（业主）向甲方支付工程款的进度相关联。若因非甲方原因导致建设单位付款延迟超过【90】日，甲方应在该情况发生后书面通知乙方。乙方应在保证施工连续性的前提下，与甲方协商制定后续的施工及阶段性付款计划。甲方承诺在收到建设单位相应工程款后，优先支付乙方的劳务报酬，乙方予以配合。</w:t>
      </w:r>
    </w:p>
    <w:p w14:paraId="47B80FA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2" w:name="_Toc25199"/>
      <w:r>
        <w:rPr>
          <w:rFonts w:hint="eastAsia" w:ascii="仿宋" w:hAnsi="仿宋" w:eastAsia="仿宋" w:cs="仿宋"/>
          <w:b/>
          <w:bCs/>
          <w:color w:val="auto"/>
          <w:sz w:val="25"/>
          <w:szCs w:val="25"/>
          <w:highlight w:val="none"/>
          <w:lang w:val="en-US" w:eastAsia="zh-CN"/>
        </w:rPr>
        <w:t>十六、变 更</w:t>
      </w:r>
      <w:bookmarkEnd w:id="32"/>
    </w:p>
    <w:p w14:paraId="3D0DE03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1、施工中如需对原工作内容进行变更，甲方应提前</w:t>
      </w:r>
      <w:r>
        <w:rPr>
          <w:rFonts w:hint="eastAsia" w:ascii="仿宋" w:hAnsi="仿宋" w:eastAsia="仿宋" w:cs="仿宋"/>
          <w:color w:val="auto"/>
          <w:sz w:val="25"/>
          <w:szCs w:val="25"/>
          <w:highlight w:val="none"/>
          <w:u w:val="single"/>
          <w:lang w:val="en-US" w:eastAsia="zh-CN"/>
        </w:rPr>
        <w:t xml:space="preserve"> 3 </w:t>
      </w:r>
      <w:r>
        <w:rPr>
          <w:rFonts w:hint="eastAsia" w:ascii="仿宋" w:hAnsi="仿宋" w:eastAsia="仿宋" w:cs="仿宋"/>
          <w:color w:val="auto"/>
          <w:sz w:val="25"/>
          <w:szCs w:val="25"/>
          <w:highlight w:val="none"/>
          <w:lang w:val="en-US" w:eastAsia="zh-CN"/>
        </w:rPr>
        <w:t>天以书面形式向乙方发出变更通知，并提供变更的相应图纸和说明。乙方按照甲方发出的变更通知及有 关要求进行施工。</w:t>
      </w:r>
    </w:p>
    <w:p w14:paraId="27866DA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2、在紧急(防洪、抢险、救灾等)情况下，乙方应立即执行甲方的变更指令。</w:t>
      </w:r>
    </w:p>
    <w:p w14:paraId="51E04E0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3、施工中乙方不得擅自对原工程设计进行变更。确需变更的，应当经甲方书面同意；否则，由此发生的费用和导致甲方的损失，由乙方承担。</w:t>
      </w:r>
    </w:p>
    <w:p w14:paraId="457E48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4、若变更导致新增清单项目时，则由双方协商确定新的单价，并签订补充协议，原则上参照合同内单价水平。</w:t>
      </w:r>
    </w:p>
    <w:p w14:paraId="4E2372C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3" w:name="_Toc23552"/>
      <w:r>
        <w:rPr>
          <w:rFonts w:hint="eastAsia" w:ascii="仿宋" w:hAnsi="仿宋" w:eastAsia="仿宋" w:cs="仿宋"/>
          <w:b/>
          <w:bCs/>
          <w:color w:val="auto"/>
          <w:sz w:val="25"/>
          <w:szCs w:val="25"/>
          <w:highlight w:val="none"/>
          <w:lang w:val="en-US" w:eastAsia="zh-CN"/>
        </w:rPr>
        <w:t>十七、竣工验收与完工结算</w:t>
      </w:r>
      <w:bookmarkEnd w:id="33"/>
    </w:p>
    <w:p w14:paraId="1710F09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(一)竣工验收</w:t>
      </w:r>
    </w:p>
    <w:p w14:paraId="1FFEAA4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1、乙方施工完毕，应向甲方提出书面验收申请，由甲方在</w:t>
      </w:r>
      <w:r>
        <w:rPr>
          <w:rFonts w:hint="eastAsia" w:ascii="仿宋" w:hAnsi="仿宋" w:eastAsia="仿宋" w:cs="仿宋"/>
          <w:color w:val="auto"/>
          <w:sz w:val="25"/>
          <w:szCs w:val="25"/>
          <w:highlight w:val="none"/>
          <w:u w:val="single"/>
          <w:lang w:val="en-US" w:eastAsia="zh-CN"/>
        </w:rPr>
        <w:t xml:space="preserve"> 7 </w:t>
      </w:r>
      <w:r>
        <w:rPr>
          <w:rFonts w:hint="eastAsia" w:ascii="仿宋" w:hAnsi="仿宋" w:eastAsia="仿宋" w:cs="仿宋"/>
          <w:color w:val="auto"/>
          <w:sz w:val="25"/>
          <w:szCs w:val="25"/>
          <w:highlight w:val="none"/>
          <w:lang w:val="en-US" w:eastAsia="zh-CN"/>
        </w:rPr>
        <w:t>日内组织验收。若由于业主、监理原因不能及时验收，乙方应予充分理解，不能以此要求增加任何费用，但甲方应该积极协调，尽快组织验收。</w:t>
      </w:r>
    </w:p>
    <w:p w14:paraId="1C8CB1A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48812EA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3、乙方应注意成品的防护工作，不以中间交工验收免除乙方成品的保护责任。</w:t>
      </w:r>
    </w:p>
    <w:p w14:paraId="2B8724C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(二)完工结算</w:t>
      </w:r>
    </w:p>
    <w:p w14:paraId="67F844E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完工结算时，乙方须递交证明不拖欠工人工资的文件、已完成与工程有关债务的清算文件、与项目部各部门手续清理文件、质量证明文件、完工工程量统计表、完工结算统计表、完工结算协议书等其他甲方认为应该递交的相关文件。</w:t>
      </w:r>
    </w:p>
    <w:p w14:paraId="4492620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2、甲方收到乙方递交的相关文件，审查无误后再进行完工结算，乙方递交的工程量统计表经乙方签字、甲方审核后生效，方可作为结算依据。</w:t>
      </w:r>
    </w:p>
    <w:p w14:paraId="3EDD0D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3、经完工验收合格后，</w:t>
      </w:r>
      <w:r>
        <w:rPr>
          <w:rFonts w:hint="eastAsia" w:ascii="仿宋" w:hAnsi="仿宋" w:eastAsia="仿宋" w:cs="仿宋"/>
          <w:color w:val="auto"/>
          <w:sz w:val="25"/>
          <w:szCs w:val="25"/>
          <w:highlight w:val="none"/>
          <w:u w:val="single"/>
          <w:lang w:val="en-US" w:eastAsia="zh-CN"/>
        </w:rPr>
        <w:t xml:space="preserve"> 30 </w:t>
      </w:r>
      <w:r>
        <w:rPr>
          <w:rFonts w:hint="eastAsia" w:ascii="仿宋" w:hAnsi="仿宋" w:eastAsia="仿宋" w:cs="仿宋"/>
          <w:color w:val="auto"/>
          <w:sz w:val="25"/>
          <w:szCs w:val="25"/>
          <w:highlight w:val="none"/>
          <w:lang w:val="en-US" w:eastAsia="zh-CN"/>
        </w:rPr>
        <w:t>天内双方完成完工结算。</w:t>
      </w:r>
    </w:p>
    <w:p w14:paraId="20BC9EA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4" w:name="_Toc21844"/>
      <w:r>
        <w:rPr>
          <w:rFonts w:hint="eastAsia" w:ascii="仿宋" w:hAnsi="仿宋" w:eastAsia="仿宋" w:cs="仿宋"/>
          <w:b/>
          <w:bCs/>
          <w:color w:val="auto"/>
          <w:sz w:val="25"/>
          <w:szCs w:val="25"/>
          <w:highlight w:val="none"/>
          <w:lang w:val="en-US" w:eastAsia="zh-CN"/>
        </w:rPr>
        <w:t>十八、质保期及缺陷责任期</w:t>
      </w:r>
      <w:bookmarkEnd w:id="34"/>
    </w:p>
    <w:p w14:paraId="066A63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本合同质保期同甲方与发包人签订的总包合同一致，缺陷责任期</w:t>
      </w:r>
      <w:r>
        <w:rPr>
          <w:rFonts w:hint="eastAsia" w:ascii="仿宋" w:hAnsi="仿宋" w:eastAsia="仿宋" w:cs="仿宋"/>
          <w:color w:val="auto"/>
          <w:sz w:val="25"/>
          <w:szCs w:val="25"/>
          <w:highlight w:val="none"/>
          <w:u w:val="single"/>
          <w:lang w:val="en-US" w:eastAsia="zh-CN"/>
        </w:rPr>
        <w:t>2</w:t>
      </w:r>
      <w:r>
        <w:rPr>
          <w:rFonts w:hint="eastAsia" w:ascii="仿宋" w:hAnsi="仿宋" w:eastAsia="仿宋" w:cs="仿宋"/>
          <w:color w:val="auto"/>
          <w:sz w:val="25"/>
          <w:szCs w:val="25"/>
          <w:highlight w:val="none"/>
          <w:lang w:val="en-US" w:eastAsia="zh-CN"/>
        </w:rPr>
        <w:t>年，自竣工验收合格之日起算。</w:t>
      </w:r>
    </w:p>
    <w:p w14:paraId="6840E103">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5" w:name="_Toc4274"/>
      <w:r>
        <w:rPr>
          <w:rFonts w:hint="eastAsia" w:ascii="仿宋" w:hAnsi="仿宋" w:eastAsia="仿宋" w:cs="仿宋"/>
          <w:b/>
          <w:bCs/>
          <w:color w:val="auto"/>
          <w:sz w:val="25"/>
          <w:szCs w:val="25"/>
          <w:highlight w:val="none"/>
          <w:lang w:val="en-US" w:eastAsia="zh-CN"/>
        </w:rPr>
        <w:t>十九、保险及损失</w:t>
      </w:r>
      <w:bookmarkEnd w:id="35"/>
    </w:p>
    <w:p w14:paraId="40DAE22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1、建筑工程一切险及第三者责任险由甲方负责购买并承担费用。</w:t>
      </w:r>
    </w:p>
    <w:p w14:paraId="6ABDE24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2、乙方须为其履行本合同所雇佣的全部人员依法足额缴纳工伤保险，并自行购买足额的商业意外伤害保险。甲方有权要求乙方提供有效保单凭证进行监督。</w:t>
      </w:r>
    </w:p>
    <w:p w14:paraId="0863A76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yellow"/>
          <w:lang w:val="en-US" w:eastAsia="zh-CN"/>
        </w:rPr>
        <w:t>3、若安全事故原因为非甲方所致（包括但不限于因乙方人员违章作业、安全管理缺失、设施使用不当或其它可归责于乙方的原因造成），则由乙方承担因此产生的人员伤亡全部责任</w:t>
      </w:r>
      <w:r>
        <w:rPr>
          <w:rFonts w:hint="eastAsia" w:ascii="仿宋" w:hAnsi="仿宋" w:eastAsia="仿宋" w:cs="仿宋"/>
          <w:color w:val="auto"/>
          <w:sz w:val="25"/>
          <w:szCs w:val="25"/>
          <w:highlight w:val="none"/>
          <w:lang w:val="en-US" w:eastAsia="zh-CN"/>
        </w:rPr>
        <w:t>。</w:t>
      </w:r>
    </w:p>
    <w:p w14:paraId="49D8EE9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6" w:name="_Toc7229"/>
      <w:r>
        <w:rPr>
          <w:rFonts w:hint="eastAsia" w:ascii="仿宋" w:hAnsi="仿宋" w:eastAsia="仿宋" w:cs="仿宋"/>
          <w:b/>
          <w:bCs/>
          <w:color w:val="auto"/>
          <w:sz w:val="25"/>
          <w:szCs w:val="25"/>
          <w:highlight w:val="none"/>
          <w:lang w:val="en-US" w:eastAsia="zh-CN"/>
        </w:rPr>
        <w:t>二十、违约责任</w:t>
      </w:r>
      <w:bookmarkEnd w:id="36"/>
    </w:p>
    <w:p w14:paraId="2CEC140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(一)甲方违约责任</w:t>
      </w:r>
    </w:p>
    <w:p w14:paraId="1A579D0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1、若由于甲方原因，未按照本合同约定的条件和期限付款，承担延期付款部分的同期银行存款利息。若由于业主原因造成甲方不能按期支付，甲方不承担任何责任，乙方应予充分理解。</w:t>
      </w:r>
    </w:p>
    <w:p w14:paraId="402DEC3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2、由于甲方原因造成乙方损失的，甲方应承担乙方直接经济损失的赔偿责任。</w:t>
      </w:r>
    </w:p>
    <w:p w14:paraId="7C8A447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(二)乙方违约责任</w:t>
      </w:r>
    </w:p>
    <w:p w14:paraId="4F3009E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1、由于乙方原因导致施工进度滞后，甲方将以书面通知乙方加大资源投入、加强现场管理；如乙方仍未采取有力措施，甲方将再次以书面形式通知乙方限期 整改；如按照整改期限仍未采取有力措施，乙方在收到甲方通知后3日内必须无 条件退出工作面，甲方没收乙方履约保证金；如乙方原因给甲方造成损失的，损失由乙方承担。如乙方延迟交出工作面，乙方按</w:t>
      </w:r>
      <w:r>
        <w:rPr>
          <w:rFonts w:hint="eastAsia" w:ascii="仿宋" w:hAnsi="仿宋" w:eastAsia="仿宋" w:cs="仿宋"/>
          <w:b/>
          <w:bCs/>
          <w:color w:val="auto"/>
          <w:sz w:val="25"/>
          <w:szCs w:val="25"/>
          <w:highlight w:val="none"/>
          <w:u w:val="single"/>
          <w:lang w:val="en-US" w:eastAsia="zh-CN"/>
        </w:rPr>
        <w:t xml:space="preserve"> 10000  </w:t>
      </w:r>
      <w:r>
        <w:rPr>
          <w:rFonts w:hint="eastAsia" w:ascii="仿宋" w:hAnsi="仿宋" w:eastAsia="仿宋" w:cs="仿宋"/>
          <w:color w:val="auto"/>
          <w:sz w:val="25"/>
          <w:szCs w:val="25"/>
          <w:highlight w:val="none"/>
          <w:lang w:val="en-US" w:eastAsia="zh-CN"/>
        </w:rPr>
        <w:t>元/天的标准承担违约金，甲方保留追究乙方违约责任的权利。</w:t>
      </w:r>
    </w:p>
    <w:p w14:paraId="7C3472D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承诺签订合同后，需按甲方要求完成合同施工内容及工程量计价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5BA3A34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3、乙方不得转包本合同范围内工程。否则，甲方有权解除合同，没收乙方履约保证金，同时乙方还应承担由此造成甲方的全部损失。</w:t>
      </w:r>
    </w:p>
    <w:p w14:paraId="759F4D7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4、乙方在施工中发生并被业主或监理认定、且具有充足证据的偷工减料行为时，甲方有权单方面解除合同，没收乙方履约保证金，同时乙方应承担由此给甲方造成的一切经济损失。</w:t>
      </w:r>
    </w:p>
    <w:p w14:paraId="0CE563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5、如发生乙方拖欠工人工资，乙方同意甲方从其工程款中扣除直接支付给乙方工人，不足以支付的部分乙方应当另行支付，同时乙方应承担违约金</w:t>
      </w:r>
      <w:r>
        <w:rPr>
          <w:rFonts w:hint="eastAsia" w:ascii="仿宋" w:hAnsi="仿宋" w:eastAsia="仿宋" w:cs="仿宋"/>
          <w:b/>
          <w:bCs/>
          <w:color w:val="auto"/>
          <w:sz w:val="25"/>
          <w:szCs w:val="25"/>
          <w:highlight w:val="none"/>
          <w:u w:val="single"/>
          <w:lang w:val="en-US" w:eastAsia="zh-CN"/>
        </w:rPr>
        <w:t xml:space="preserve"> 5000  </w:t>
      </w:r>
      <w:r>
        <w:rPr>
          <w:rFonts w:hint="eastAsia" w:ascii="仿宋" w:hAnsi="仿宋" w:eastAsia="仿宋" w:cs="仿宋"/>
          <w:color w:val="auto"/>
          <w:sz w:val="25"/>
          <w:szCs w:val="25"/>
          <w:highlight w:val="none"/>
          <w:lang w:val="en-US" w:eastAsia="zh-CN"/>
        </w:rPr>
        <w:t>元/次。乙方拖欠或挪用农民工工资，造成甲方名誉受到严重影响 的，甲方有权单方面解除合同，没收乙方履约保证金，同时乙方应承担由此给甲 方造成的一切经济损失。</w:t>
      </w:r>
    </w:p>
    <w:p w14:paraId="0D6450D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6、甲乙双方终止或解除合同的，依法及依约定应当由乙方承担的一切责任均由其自行承担，由此给甲方造成损失的，甲方有权追究乙方的违约及赔偿责任。</w:t>
      </w:r>
    </w:p>
    <w:p w14:paraId="1FB9884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7、乙方不能按合同工期竣工或工程质量达不到合同约定的质量标准或发生合同列举的健康、环境、安全等事故或不按合同约定履行其他义务、责任的，每发生一起承担违约金</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b/>
          <w:bCs/>
          <w:color w:val="auto"/>
          <w:sz w:val="25"/>
          <w:szCs w:val="25"/>
          <w:highlight w:val="none"/>
          <w:u w:val="single"/>
          <w:lang w:val="en-US" w:eastAsia="zh-CN"/>
        </w:rPr>
        <w:t xml:space="preserve">5000 </w:t>
      </w:r>
      <w:r>
        <w:rPr>
          <w:rFonts w:hint="eastAsia" w:ascii="仿宋" w:hAnsi="仿宋" w:eastAsia="仿宋" w:cs="仿宋"/>
          <w:color w:val="auto"/>
          <w:sz w:val="25"/>
          <w:szCs w:val="25"/>
          <w:highlight w:val="none"/>
          <w:lang w:val="en-US" w:eastAsia="zh-CN"/>
        </w:rPr>
        <w:t>元。</w:t>
      </w:r>
    </w:p>
    <w:p w14:paraId="34B0249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8、由于乙方原因不能继续履行合同，经甲、乙双方协商同意可以解除合同，但乙方应承担违约金</w:t>
      </w:r>
      <w:r>
        <w:rPr>
          <w:rFonts w:hint="eastAsia" w:ascii="仿宋" w:hAnsi="仿宋" w:eastAsia="仿宋" w:cs="仿宋"/>
          <w:b/>
          <w:bCs/>
          <w:color w:val="auto"/>
          <w:sz w:val="25"/>
          <w:szCs w:val="25"/>
          <w:highlight w:val="none"/>
          <w:u w:val="single"/>
          <w:lang w:val="en-US" w:eastAsia="zh-CN"/>
        </w:rPr>
        <w:t>合同金额的5%</w:t>
      </w:r>
      <w:r>
        <w:rPr>
          <w:rFonts w:hint="eastAsia" w:ascii="仿宋" w:hAnsi="仿宋" w:eastAsia="仿宋" w:cs="仿宋"/>
          <w:color w:val="auto"/>
          <w:sz w:val="25"/>
          <w:szCs w:val="25"/>
          <w:highlight w:val="none"/>
          <w:lang w:val="en-US" w:eastAsia="zh-CN"/>
        </w:rPr>
        <w:t>及甲方由此发生的全部损失。甲方根据乙方履行情况推断出乙方无力继续履行本合同的，经甲方发出限期整改通知书后 3天内仍未提供确保合同履行的措施、方案的，甲方有权解除合同，同时乙方还应承担违约金</w:t>
      </w:r>
      <w:r>
        <w:rPr>
          <w:rFonts w:hint="eastAsia" w:ascii="仿宋" w:hAnsi="仿宋" w:eastAsia="仿宋" w:cs="仿宋"/>
          <w:b/>
          <w:bCs/>
          <w:color w:val="auto"/>
          <w:sz w:val="25"/>
          <w:szCs w:val="25"/>
          <w:highlight w:val="none"/>
          <w:u w:val="single"/>
          <w:lang w:val="en-US" w:eastAsia="zh-CN"/>
        </w:rPr>
        <w:t>合同金额的5%</w:t>
      </w:r>
      <w:r>
        <w:rPr>
          <w:rFonts w:hint="eastAsia" w:ascii="仿宋" w:hAnsi="仿宋" w:eastAsia="仿宋" w:cs="仿宋"/>
          <w:color w:val="auto"/>
          <w:sz w:val="25"/>
          <w:szCs w:val="25"/>
          <w:highlight w:val="none"/>
          <w:lang w:val="en-US" w:eastAsia="zh-CN"/>
        </w:rPr>
        <w:t>及由此造成甲方的全部损失。</w:t>
      </w:r>
    </w:p>
    <w:p w14:paraId="55F9B8F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9、因乙方欠付第三方的材料款、租赁费等，导致第三方向甲方连带追偿，视为乙方违约，每发生一次乙方应承担违约金3万元，因此给甲方造成的损失，由乙方承担，甲方有权直接在劳务分包结算款中扣除。</w:t>
      </w:r>
    </w:p>
    <w:p w14:paraId="4E62D44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如乙方煽动农民工闹事或因乙方拖欠农民工工资、乙方未积极妥善处理所雇佣人员伤亡等原因导致聚众闹事时，均属乙方违约，甲方有权单方面解除合同，乙方承担由此增加的全部费用及因工期延误造成的甲方应当向业主承担的全 部违约及赔偿责任，乙方履约保证金不予退还。同时每发生一起，乙方应向甲方支付违约金</w:t>
      </w:r>
      <w:r>
        <w:rPr>
          <w:rFonts w:hint="eastAsia" w:ascii="仿宋" w:hAnsi="仿宋" w:eastAsia="仿宋" w:cs="仿宋"/>
          <w:b/>
          <w:bCs/>
          <w:color w:val="auto"/>
          <w:sz w:val="25"/>
          <w:szCs w:val="25"/>
          <w:highlight w:val="none"/>
          <w:u w:val="single"/>
          <w:lang w:val="en-US" w:eastAsia="zh-CN"/>
        </w:rPr>
        <w:t xml:space="preserve">50000 </w:t>
      </w:r>
      <w:r>
        <w:rPr>
          <w:rFonts w:hint="eastAsia" w:ascii="仿宋" w:hAnsi="仿宋" w:eastAsia="仿宋" w:cs="仿宋"/>
          <w:color w:val="auto"/>
          <w:sz w:val="25"/>
          <w:szCs w:val="25"/>
          <w:highlight w:val="none"/>
          <w:lang w:val="en-US" w:eastAsia="zh-CN"/>
        </w:rPr>
        <w:t>元。</w:t>
      </w:r>
    </w:p>
    <w:p w14:paraId="7B20E19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(三)违约金总额限制</w:t>
      </w:r>
    </w:p>
    <w:p w14:paraId="216D598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 xml:space="preserve">本合同执行期间对乙方有关的违约金总额不得大于合同额(完工结算总额 ) 的 </w:t>
      </w:r>
      <w:r>
        <w:rPr>
          <w:rFonts w:hint="eastAsia" w:ascii="仿宋" w:hAnsi="仿宋" w:eastAsia="仿宋" w:cs="仿宋"/>
          <w:b/>
          <w:bCs/>
          <w:color w:val="auto"/>
          <w:sz w:val="25"/>
          <w:szCs w:val="25"/>
          <w:highlight w:val="none"/>
          <w:u w:val="single"/>
          <w:lang w:val="en-US" w:eastAsia="zh-CN"/>
        </w:rPr>
        <w:t>15 %</w:t>
      </w:r>
      <w:r>
        <w:rPr>
          <w:rFonts w:hint="eastAsia" w:ascii="仿宋" w:hAnsi="仿宋" w:eastAsia="仿宋" w:cs="仿宋"/>
          <w:color w:val="auto"/>
          <w:sz w:val="25"/>
          <w:szCs w:val="25"/>
          <w:highlight w:val="none"/>
          <w:lang w:val="en-US" w:eastAsia="zh-CN"/>
        </w:rPr>
        <w:t>。</w:t>
      </w:r>
    </w:p>
    <w:p w14:paraId="68C1DFD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7" w:name="_Toc26014"/>
      <w:r>
        <w:rPr>
          <w:rFonts w:hint="eastAsia" w:ascii="仿宋" w:hAnsi="仿宋" w:eastAsia="仿宋" w:cs="仿宋"/>
          <w:b/>
          <w:bCs/>
          <w:color w:val="auto"/>
          <w:sz w:val="25"/>
          <w:szCs w:val="25"/>
          <w:highlight w:val="none"/>
          <w:lang w:val="en-US" w:eastAsia="zh-CN"/>
        </w:rPr>
        <w:t>二十一、争议解决</w:t>
      </w:r>
      <w:bookmarkEnd w:id="37"/>
    </w:p>
    <w:p w14:paraId="6E32B28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1、凡因本合同引起的或与本合同有关的任何争议，由双方协商解决；协商未果时，向工程所在地的人民法院提起诉讼。</w:t>
      </w:r>
    </w:p>
    <w:p w14:paraId="785B65B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37C259E0">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8" w:name="_Toc5795"/>
      <w:r>
        <w:rPr>
          <w:rFonts w:hint="eastAsia" w:ascii="仿宋" w:hAnsi="仿宋" w:eastAsia="仿宋" w:cs="仿宋"/>
          <w:b/>
          <w:bCs/>
          <w:color w:val="auto"/>
          <w:sz w:val="25"/>
          <w:szCs w:val="25"/>
          <w:highlight w:val="none"/>
          <w:lang w:val="en-US" w:eastAsia="zh-CN"/>
        </w:rPr>
        <w:t>二十二、特别约定</w:t>
      </w:r>
      <w:bookmarkEnd w:id="38"/>
    </w:p>
    <w:p w14:paraId="3B5767A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346BF08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2、因甲方企业文化建设需要，乙方人员、设备使用甲方标志时，不代表设备为甲方所有，也不代表乙方人员与甲方有任何劳动关系。</w:t>
      </w:r>
    </w:p>
    <w:p w14:paraId="09E3C61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3、乙方应按甲方的质量、环境、健康要求和认证体系运行，执行甲方相关的体系文件和管理办法，并签订《环境与职业健康安全管理责任书》,系本合同 的组成部分，双方须按其规定执行。</w:t>
      </w:r>
    </w:p>
    <w:p w14:paraId="1198381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4、本合同履约中甲乙双方往来的通知、指示、要求、确认、决定等均应以书面函件为准；紧急情况下可以先口头通知，后补充书面材料；并应送达约定地点和办理签收手续。</w:t>
      </w:r>
    </w:p>
    <w:p w14:paraId="54C0349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9" w:name="_Toc10378"/>
      <w:r>
        <w:rPr>
          <w:rFonts w:hint="eastAsia" w:ascii="仿宋" w:hAnsi="仿宋" w:eastAsia="仿宋" w:cs="仿宋"/>
          <w:b/>
          <w:bCs/>
          <w:color w:val="auto"/>
          <w:sz w:val="25"/>
          <w:szCs w:val="25"/>
          <w:highlight w:val="none"/>
          <w:lang w:val="en-US" w:eastAsia="zh-CN"/>
        </w:rPr>
        <w:t>二十三、附则</w:t>
      </w:r>
      <w:bookmarkEnd w:id="39"/>
    </w:p>
    <w:p w14:paraId="495EF6F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1、本合同未尽事宜由双方友好协商解决，并签订补充协议。</w:t>
      </w:r>
    </w:p>
    <w:p w14:paraId="252FA84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2、本合同一式</w:t>
      </w:r>
      <w:r>
        <w:rPr>
          <w:rFonts w:hint="eastAsia" w:ascii="仿宋" w:hAnsi="仿宋" w:eastAsia="仿宋" w:cs="仿宋"/>
          <w:b/>
          <w:bCs/>
          <w:color w:val="auto"/>
          <w:sz w:val="25"/>
          <w:szCs w:val="25"/>
          <w:highlight w:val="none"/>
          <w:u w:val="single"/>
          <w:lang w:val="en-US" w:eastAsia="zh-CN"/>
        </w:rPr>
        <w:t xml:space="preserve"> 陆</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份，其中，甲方执</w:t>
      </w:r>
      <w:r>
        <w:rPr>
          <w:rFonts w:hint="eastAsia" w:ascii="仿宋" w:hAnsi="仿宋" w:eastAsia="仿宋" w:cs="仿宋"/>
          <w:b/>
          <w:bCs/>
          <w:color w:val="auto"/>
          <w:sz w:val="25"/>
          <w:szCs w:val="25"/>
          <w:highlight w:val="none"/>
          <w:u w:val="single"/>
          <w:lang w:val="en-US" w:eastAsia="zh-CN"/>
        </w:rPr>
        <w:t xml:space="preserve"> 肆 </w:t>
      </w:r>
      <w:r>
        <w:rPr>
          <w:rFonts w:hint="eastAsia" w:ascii="仿宋" w:hAnsi="仿宋" w:eastAsia="仿宋" w:cs="仿宋"/>
          <w:color w:val="auto"/>
          <w:sz w:val="25"/>
          <w:szCs w:val="25"/>
          <w:highlight w:val="none"/>
          <w:lang w:val="en-US" w:eastAsia="zh-CN"/>
        </w:rPr>
        <w:t>份，乙方执</w:t>
      </w:r>
      <w:r>
        <w:rPr>
          <w:rFonts w:hint="eastAsia" w:ascii="仿宋" w:hAnsi="仿宋" w:eastAsia="仿宋" w:cs="仿宋"/>
          <w:b/>
          <w:bCs/>
          <w:color w:val="auto"/>
          <w:sz w:val="25"/>
          <w:szCs w:val="25"/>
          <w:highlight w:val="none"/>
          <w:u w:val="single"/>
          <w:lang w:val="en-US" w:eastAsia="zh-CN"/>
        </w:rPr>
        <w:t xml:space="preserve"> 贰 </w:t>
      </w:r>
      <w:r>
        <w:rPr>
          <w:rFonts w:hint="eastAsia" w:ascii="仿宋" w:hAnsi="仿宋" w:eastAsia="仿宋" w:cs="仿宋"/>
          <w:color w:val="auto"/>
          <w:sz w:val="25"/>
          <w:szCs w:val="25"/>
          <w:highlight w:val="none"/>
          <w:lang w:val="en-US" w:eastAsia="zh-CN"/>
        </w:rPr>
        <w:t>份，自双方签字盖章后生效。</w:t>
      </w:r>
    </w:p>
    <w:p w14:paraId="7A09080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57C5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04E710E5">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val="en-US" w:eastAsia="zh-CN"/>
              </w:rPr>
              <w:t>凉山建工置业有限责任公司</w:t>
            </w:r>
          </w:p>
        </w:tc>
        <w:tc>
          <w:tcPr>
            <w:tcW w:w="4332" w:type="dxa"/>
            <w:tcBorders>
              <w:tl2br w:val="nil"/>
              <w:tr2bl w:val="nil"/>
            </w:tcBorders>
            <w:noWrap w:val="0"/>
            <w:vAlign w:val="top"/>
          </w:tcPr>
          <w:p w14:paraId="5E7C98BF">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rPr>
            </w:pPr>
            <w:r>
              <w:rPr>
                <w:rFonts w:hint="eastAsia" w:ascii="仿宋" w:hAnsi="仿宋" w:eastAsia="仿宋" w:cs="仿宋"/>
                <w:b/>
                <w:bCs/>
                <w:i w:val="0"/>
                <w:iCs w:val="0"/>
                <w:color w:val="auto"/>
                <w:kern w:val="0"/>
                <w:sz w:val="24"/>
                <w:szCs w:val="24"/>
                <w:highlight w:val="none"/>
                <w:u w:val="none"/>
              </w:rPr>
              <w:t>乙方</w:t>
            </w:r>
            <w:r>
              <w:rPr>
                <w:rFonts w:hint="eastAsia" w:ascii="仿宋" w:hAnsi="仿宋" w:eastAsia="仿宋" w:cs="仿宋"/>
                <w:b/>
                <w:bCs/>
                <w:i w:val="0"/>
                <w:iCs w:val="0"/>
                <w:color w:val="auto"/>
                <w:kern w:val="0"/>
                <w:sz w:val="24"/>
                <w:szCs w:val="24"/>
                <w:highlight w:val="none"/>
                <w:u w:val="none"/>
                <w:lang w:eastAsia="zh-CN"/>
              </w:rPr>
              <w:t>：</w:t>
            </w:r>
            <w:r>
              <w:rPr>
                <w:rFonts w:hint="eastAsia" w:ascii="仿宋" w:hAnsi="仿宋" w:eastAsia="仿宋" w:cs="仿宋"/>
                <w:i w:val="0"/>
                <w:iCs w:val="0"/>
                <w:kern w:val="0"/>
                <w:sz w:val="24"/>
                <w:szCs w:val="24"/>
                <w:u w:val="none"/>
                <w:lang w:val="en-US" w:eastAsia="zh-CN"/>
              </w:rPr>
              <w:t>*****</w:t>
            </w:r>
          </w:p>
        </w:tc>
      </w:tr>
      <w:tr w14:paraId="19B2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67" w:type="dxa"/>
            <w:tcBorders>
              <w:tl2br w:val="nil"/>
              <w:tr2bl w:val="nil"/>
            </w:tcBorders>
            <w:noWrap w:val="0"/>
            <w:vAlign w:val="top"/>
          </w:tcPr>
          <w:p w14:paraId="1ACD184D">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64AE4BD7">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法人代表（委托代理人）：</w:t>
            </w:r>
          </w:p>
        </w:tc>
      </w:tr>
      <w:tr w14:paraId="0E59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4767" w:type="dxa"/>
            <w:tcBorders>
              <w:tl2br w:val="nil"/>
              <w:tr2bl w:val="nil"/>
            </w:tcBorders>
            <w:noWrap w:val="0"/>
            <w:vAlign w:val="top"/>
          </w:tcPr>
          <w:p w14:paraId="7876E58E">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开户银行：成都农村商业银行股份有限公司凉山分行</w:t>
            </w:r>
          </w:p>
        </w:tc>
        <w:tc>
          <w:tcPr>
            <w:tcW w:w="4332" w:type="dxa"/>
            <w:tcBorders>
              <w:tl2br w:val="nil"/>
              <w:tr2bl w:val="nil"/>
            </w:tcBorders>
            <w:noWrap w:val="0"/>
            <w:vAlign w:val="top"/>
          </w:tcPr>
          <w:p w14:paraId="68DE12BE">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i w:val="0"/>
                <w:iCs w:val="0"/>
                <w:color w:val="auto"/>
                <w:kern w:val="0"/>
                <w:sz w:val="24"/>
                <w:szCs w:val="24"/>
                <w:highlight w:val="none"/>
              </w:rPr>
              <w:t>开户银行：</w:t>
            </w:r>
            <w:r>
              <w:rPr>
                <w:rFonts w:hint="eastAsia" w:ascii="仿宋" w:hAnsi="仿宋" w:eastAsia="仿宋" w:cs="仿宋"/>
                <w:i w:val="0"/>
                <w:iCs w:val="0"/>
                <w:color w:val="auto"/>
                <w:kern w:val="0"/>
                <w:sz w:val="24"/>
                <w:szCs w:val="24"/>
                <w:highlight w:val="none"/>
                <w:lang w:val="en-US" w:eastAsia="zh-CN"/>
              </w:rPr>
              <w:t>***********</w:t>
            </w:r>
          </w:p>
        </w:tc>
      </w:tr>
      <w:tr w14:paraId="29B5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F33CEC9">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账号：1000070002543294</w:t>
            </w:r>
          </w:p>
        </w:tc>
        <w:tc>
          <w:tcPr>
            <w:tcW w:w="4332" w:type="dxa"/>
            <w:tcBorders>
              <w:tl2br w:val="nil"/>
              <w:tr2bl w:val="nil"/>
            </w:tcBorders>
            <w:noWrap w:val="0"/>
            <w:vAlign w:val="top"/>
          </w:tcPr>
          <w:p w14:paraId="0830A773">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i w:val="0"/>
                <w:iCs w:val="0"/>
                <w:color w:val="auto"/>
                <w:kern w:val="0"/>
                <w:sz w:val="24"/>
                <w:szCs w:val="24"/>
                <w:highlight w:val="none"/>
              </w:rPr>
              <w:t>帐号：</w:t>
            </w:r>
            <w:r>
              <w:rPr>
                <w:rFonts w:hint="eastAsia" w:ascii="仿宋" w:hAnsi="仿宋" w:eastAsia="仿宋" w:cs="仿宋"/>
                <w:i w:val="0"/>
                <w:iCs w:val="0"/>
                <w:color w:val="auto"/>
                <w:kern w:val="0"/>
                <w:sz w:val="24"/>
                <w:szCs w:val="24"/>
                <w:highlight w:val="none"/>
                <w:lang w:val="en-US" w:eastAsia="zh-CN"/>
              </w:rPr>
              <w:t>***</w:t>
            </w:r>
          </w:p>
        </w:tc>
      </w:tr>
      <w:tr w14:paraId="7147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6E289811">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kern w:val="0"/>
                <w:sz w:val="24"/>
                <w:szCs w:val="24"/>
                <w:lang w:val="en-US" w:eastAsia="zh-CN"/>
              </w:rPr>
              <w:t>注册地址：越西县越城镇滨河路金域华府小区3-2-7</w:t>
            </w:r>
          </w:p>
        </w:tc>
        <w:tc>
          <w:tcPr>
            <w:tcW w:w="4332" w:type="dxa"/>
            <w:tcBorders>
              <w:tl2br w:val="nil"/>
              <w:tr2bl w:val="nil"/>
            </w:tcBorders>
            <w:noWrap w:val="0"/>
            <w:vAlign w:val="top"/>
          </w:tcPr>
          <w:p w14:paraId="266A9087">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rPr>
            </w:pPr>
            <w:r>
              <w:rPr>
                <w:rFonts w:hint="eastAsia" w:ascii="仿宋" w:hAnsi="仿宋" w:eastAsia="仿宋" w:cs="仿宋"/>
                <w:i w:val="0"/>
                <w:iCs w:val="0"/>
                <w:color w:val="auto"/>
                <w:kern w:val="0"/>
                <w:sz w:val="24"/>
                <w:szCs w:val="24"/>
                <w:highlight w:val="none"/>
                <w:lang w:val="en-US" w:eastAsia="zh-CN"/>
              </w:rPr>
              <w:t>注册地址：***********</w:t>
            </w:r>
          </w:p>
        </w:tc>
      </w:tr>
      <w:tr w14:paraId="745F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7CB50745">
            <w:pPr>
              <w:pageBreakBefore w:val="0"/>
              <w:widowControl/>
              <w:kinsoku/>
              <w:wordWrap/>
              <w:overflowPunct/>
              <w:topLinePunct w:val="0"/>
              <w:bidi w:val="0"/>
              <w:snapToGrid/>
              <w:spacing w:line="360" w:lineRule="auto"/>
              <w:ind w:firstLine="3120" w:firstLineChars="1300"/>
              <w:jc w:val="left"/>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color w:val="auto"/>
                <w:kern w:val="0"/>
                <w:sz w:val="24"/>
                <w:szCs w:val="24"/>
                <w:highlight w:val="none"/>
              </w:rPr>
              <w:t>签订地点：</w:t>
            </w:r>
            <w:r>
              <w:rPr>
                <w:rFonts w:hint="eastAsia" w:ascii="仿宋" w:hAnsi="仿宋" w:eastAsia="仿宋" w:cs="仿宋"/>
                <w:i w:val="0"/>
                <w:iCs w:val="0"/>
                <w:color w:val="auto"/>
                <w:kern w:val="0"/>
                <w:sz w:val="24"/>
                <w:szCs w:val="24"/>
                <w:highlight w:val="none"/>
                <w:lang w:val="en-US" w:eastAsia="zh-CN"/>
              </w:rPr>
              <w:t>西昌市</w:t>
            </w:r>
          </w:p>
        </w:tc>
      </w:tr>
      <w:tr w14:paraId="7390A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0B5C071C">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签订日期：</w:t>
            </w:r>
            <w:r>
              <w:rPr>
                <w:rFonts w:hint="eastAsia" w:ascii="仿宋" w:hAnsi="仿宋" w:eastAsia="仿宋" w:cs="仿宋"/>
                <w:i w:val="0"/>
                <w:iCs w:val="0"/>
                <w:color w:val="auto"/>
                <w:kern w:val="0"/>
                <w:sz w:val="24"/>
                <w:szCs w:val="24"/>
                <w:highlight w:val="none"/>
                <w:lang w:val="en-US" w:eastAsia="zh-CN"/>
              </w:rPr>
              <w:t xml:space="preserve">  2026</w:t>
            </w:r>
            <w:r>
              <w:rPr>
                <w:rFonts w:hint="eastAsia" w:ascii="仿宋" w:hAnsi="仿宋" w:eastAsia="仿宋" w:cs="仿宋"/>
                <w:i w:val="0"/>
                <w:iCs w:val="0"/>
                <w:color w:val="auto"/>
                <w:kern w:val="0"/>
                <w:sz w:val="24"/>
                <w:szCs w:val="24"/>
                <w:highlight w:val="none"/>
              </w:rPr>
              <w:t>年</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月</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日</w:t>
            </w:r>
          </w:p>
        </w:tc>
      </w:tr>
    </w:tbl>
    <w:p w14:paraId="215669DD">
      <w:pPr>
        <w:spacing w:before="82" w:line="222" w:lineRule="auto"/>
        <w:rPr>
          <w:rFonts w:ascii="仿宋" w:hAnsi="仿宋" w:eastAsia="仿宋" w:cs="仿宋"/>
          <w:b/>
          <w:bCs/>
          <w:color w:val="auto"/>
          <w:spacing w:val="-27"/>
          <w:sz w:val="25"/>
          <w:szCs w:val="25"/>
          <w:highlight w:val="none"/>
        </w:rPr>
      </w:pPr>
    </w:p>
    <w:p w14:paraId="56ECECAD">
      <w:pPr>
        <w:spacing w:before="82" w:line="222" w:lineRule="auto"/>
        <w:ind w:left="206"/>
        <w:rPr>
          <w:rFonts w:ascii="仿宋" w:hAnsi="仿宋" w:eastAsia="仿宋" w:cs="仿宋"/>
          <w:b/>
          <w:bCs/>
          <w:color w:val="auto"/>
          <w:spacing w:val="-27"/>
          <w:sz w:val="25"/>
          <w:szCs w:val="25"/>
          <w:highlight w:val="none"/>
        </w:rPr>
      </w:pPr>
    </w:p>
    <w:p w14:paraId="73DCEF6C">
      <w:pPr>
        <w:spacing w:before="82" w:line="222" w:lineRule="auto"/>
        <w:ind w:left="206"/>
        <w:rPr>
          <w:rFonts w:ascii="仿宋" w:hAnsi="仿宋" w:eastAsia="仿宋" w:cs="仿宋"/>
          <w:b/>
          <w:bCs/>
          <w:color w:val="auto"/>
          <w:spacing w:val="-27"/>
          <w:sz w:val="25"/>
          <w:szCs w:val="25"/>
          <w:highlight w:val="none"/>
        </w:rPr>
      </w:pPr>
    </w:p>
    <w:p w14:paraId="19F27FE1">
      <w:pPr>
        <w:spacing w:before="82" w:line="222" w:lineRule="auto"/>
        <w:rPr>
          <w:rFonts w:hint="eastAsia" w:ascii="仿宋" w:hAnsi="仿宋" w:eastAsia="仿宋" w:cs="仿宋"/>
          <w:b/>
          <w:bCs/>
          <w:color w:val="auto"/>
          <w:spacing w:val="-13"/>
          <w:sz w:val="25"/>
          <w:szCs w:val="25"/>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2772410</wp:posOffset>
                </wp:positionH>
                <wp:positionV relativeFrom="paragraph">
                  <wp:posOffset>66040</wp:posOffset>
                </wp:positionV>
                <wp:extent cx="355600" cy="2184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355600" cy="218440"/>
                        </a:xfrm>
                        <a:prstGeom prst="rect">
                          <a:avLst/>
                        </a:prstGeom>
                        <a:noFill/>
                        <a:ln>
                          <a:noFill/>
                        </a:ln>
                      </wps:spPr>
                      <wps:txbx>
                        <w:txbxContent>
                          <w:p w14:paraId="7994D16F"/>
                        </w:txbxContent>
                      </wps:txbx>
                      <wps:bodyPr lIns="0" tIns="0" rIns="0" bIns="0" upright="1"/>
                    </wps:wsp>
                  </a:graphicData>
                </a:graphic>
              </wp:anchor>
            </w:drawing>
          </mc:Choice>
          <mc:Fallback>
            <w:pict>
              <v:shape id="_x0000_s1026" o:spid="_x0000_s1026" o:spt="202" type="#_x0000_t202" style="position:absolute;left:0pt;margin-left:218.3pt;margin-top:5.2pt;height:17.2pt;width:28pt;z-index:251660288;mso-width-relative:page;mso-height-relative:page;" filled="f" stroked="f" coordsize="21600,21600" o:gfxdata="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o92U7XAAAACQEAAA8AAAAAAAAAAQAgAAAAIgAAAGRycy9kb3ducmV2LnhtbFBLAQIU&#10;ABQAAAAIAIdO4kAKRgO5uwEAAHMDAAAOAAAAAAAAAAEAIAAAACYBAABkcnMvZTJvRG9jLnhtbFBL&#10;BQYAAAAABgAGAFkBAABTBQAAAAA=&#10;">
                <v:fill on="f" focussize="0,0"/>
                <v:stroke on="f"/>
                <v:imagedata o:title=""/>
                <o:lock v:ext="edit" aspectratio="f"/>
                <v:textbox inset="0mm,0mm,0mm,0mm">
                  <w:txbxContent>
                    <w:p w14:paraId="7994D16F"/>
                  </w:txbxContent>
                </v:textbox>
              </v:shape>
            </w:pict>
          </mc:Fallback>
        </mc:AlternateContent>
      </w:r>
      <w:bookmarkStart w:id="40" w:name="_Toc24223"/>
    </w:p>
    <w:p w14:paraId="5EF7B746">
      <w:pPr>
        <w:spacing w:before="81" w:line="222" w:lineRule="auto"/>
        <w:ind w:left="246"/>
        <w:outlineLvl w:val="0"/>
        <w:rPr>
          <w:rFonts w:hint="eastAsia" w:ascii="仿宋" w:hAnsi="仿宋" w:eastAsia="仿宋" w:cs="仿宋"/>
          <w:b/>
          <w:bCs/>
          <w:color w:val="auto"/>
          <w:spacing w:val="-13"/>
          <w:sz w:val="25"/>
          <w:szCs w:val="25"/>
          <w:highlight w:val="none"/>
        </w:rPr>
      </w:pPr>
    </w:p>
    <w:p w14:paraId="05845ADE">
      <w:pPr>
        <w:spacing w:before="81" w:line="222" w:lineRule="auto"/>
        <w:ind w:left="246"/>
        <w:outlineLvl w:val="0"/>
        <w:rPr>
          <w:rFonts w:hint="eastAsia" w:ascii="仿宋" w:hAnsi="仿宋" w:eastAsia="仿宋" w:cs="仿宋"/>
          <w:b/>
          <w:bCs/>
          <w:color w:val="auto"/>
          <w:spacing w:val="-13"/>
          <w:sz w:val="25"/>
          <w:szCs w:val="25"/>
          <w:highlight w:val="none"/>
        </w:rPr>
      </w:pPr>
    </w:p>
    <w:p w14:paraId="0E37B322">
      <w:pPr>
        <w:spacing w:before="81" w:line="222" w:lineRule="auto"/>
        <w:ind w:left="246"/>
        <w:outlineLvl w:val="0"/>
        <w:rPr>
          <w:rFonts w:hint="eastAsia" w:ascii="仿宋" w:hAnsi="仿宋" w:eastAsia="仿宋" w:cs="仿宋"/>
          <w:b/>
          <w:bCs/>
          <w:color w:val="auto"/>
          <w:spacing w:val="-13"/>
          <w:sz w:val="25"/>
          <w:szCs w:val="25"/>
          <w:highlight w:val="none"/>
        </w:rPr>
      </w:pPr>
    </w:p>
    <w:p w14:paraId="33AD1AA0">
      <w:pPr>
        <w:spacing w:before="81" w:line="222" w:lineRule="auto"/>
        <w:ind w:left="246"/>
        <w:outlineLvl w:val="0"/>
        <w:rPr>
          <w:rFonts w:hint="eastAsia" w:ascii="仿宋" w:hAnsi="仿宋" w:eastAsia="仿宋" w:cs="仿宋"/>
          <w:b/>
          <w:bCs/>
          <w:color w:val="auto"/>
          <w:spacing w:val="-13"/>
          <w:sz w:val="25"/>
          <w:szCs w:val="25"/>
          <w:highlight w:val="none"/>
        </w:rPr>
      </w:pPr>
    </w:p>
    <w:p w14:paraId="5C4202ED">
      <w:pPr>
        <w:spacing w:before="81" w:line="222" w:lineRule="auto"/>
        <w:ind w:left="246"/>
        <w:outlineLvl w:val="0"/>
        <w:rPr>
          <w:rFonts w:hint="eastAsia" w:ascii="仿宋" w:hAnsi="仿宋" w:eastAsia="仿宋" w:cs="仿宋"/>
          <w:b/>
          <w:bCs/>
          <w:color w:val="auto"/>
          <w:spacing w:val="-13"/>
          <w:sz w:val="25"/>
          <w:szCs w:val="25"/>
          <w:highlight w:val="none"/>
        </w:rPr>
      </w:pPr>
    </w:p>
    <w:p w14:paraId="5601B8AE">
      <w:pPr>
        <w:spacing w:before="81" w:line="222" w:lineRule="auto"/>
        <w:ind w:left="246"/>
        <w:outlineLvl w:val="0"/>
        <w:rPr>
          <w:rFonts w:hint="eastAsia" w:ascii="仿宋" w:hAnsi="仿宋" w:eastAsia="仿宋" w:cs="仿宋"/>
          <w:b/>
          <w:bCs/>
          <w:color w:val="auto"/>
          <w:spacing w:val="-13"/>
          <w:sz w:val="25"/>
          <w:szCs w:val="25"/>
          <w:highlight w:val="none"/>
        </w:rPr>
      </w:pPr>
    </w:p>
    <w:p w14:paraId="577EC55F">
      <w:pPr>
        <w:spacing w:before="81" w:line="222" w:lineRule="auto"/>
        <w:ind w:left="246"/>
        <w:outlineLvl w:val="0"/>
        <w:rPr>
          <w:rFonts w:hint="eastAsia" w:ascii="仿宋" w:hAnsi="仿宋" w:eastAsia="仿宋" w:cs="仿宋"/>
          <w:b/>
          <w:bCs/>
          <w:color w:val="auto"/>
          <w:spacing w:val="-13"/>
          <w:sz w:val="25"/>
          <w:szCs w:val="25"/>
          <w:highlight w:val="none"/>
        </w:rPr>
      </w:pPr>
    </w:p>
    <w:p w14:paraId="02187884">
      <w:pPr>
        <w:spacing w:before="81" w:line="222" w:lineRule="auto"/>
        <w:ind w:left="246"/>
        <w:outlineLvl w:val="0"/>
        <w:rPr>
          <w:rFonts w:hint="eastAsia" w:ascii="仿宋" w:hAnsi="仿宋" w:eastAsia="仿宋" w:cs="仿宋"/>
          <w:b/>
          <w:bCs/>
          <w:color w:val="auto"/>
          <w:spacing w:val="-13"/>
          <w:sz w:val="25"/>
          <w:szCs w:val="25"/>
          <w:highlight w:val="none"/>
        </w:rPr>
      </w:pPr>
    </w:p>
    <w:p w14:paraId="7744DE97">
      <w:pPr>
        <w:spacing w:before="81" w:line="222" w:lineRule="auto"/>
        <w:ind w:left="246"/>
        <w:outlineLvl w:val="0"/>
        <w:rPr>
          <w:rFonts w:hint="eastAsia" w:ascii="仿宋" w:hAnsi="仿宋" w:eastAsia="仿宋" w:cs="仿宋"/>
          <w:b/>
          <w:bCs/>
          <w:color w:val="auto"/>
          <w:spacing w:val="-13"/>
          <w:sz w:val="25"/>
          <w:szCs w:val="25"/>
          <w:highlight w:val="none"/>
        </w:rPr>
      </w:pPr>
    </w:p>
    <w:p w14:paraId="0935C161">
      <w:pPr>
        <w:spacing w:before="81" w:line="222" w:lineRule="auto"/>
        <w:ind w:left="246"/>
        <w:outlineLvl w:val="0"/>
        <w:rPr>
          <w:rFonts w:hint="eastAsia" w:ascii="仿宋" w:hAnsi="仿宋" w:eastAsia="仿宋" w:cs="仿宋"/>
          <w:b/>
          <w:bCs/>
          <w:color w:val="auto"/>
          <w:spacing w:val="-13"/>
          <w:sz w:val="25"/>
          <w:szCs w:val="25"/>
          <w:highlight w:val="none"/>
        </w:rPr>
      </w:pPr>
    </w:p>
    <w:p w14:paraId="44C9CF3D">
      <w:pPr>
        <w:spacing w:before="81" w:line="222" w:lineRule="auto"/>
        <w:ind w:left="246"/>
        <w:outlineLvl w:val="0"/>
        <w:rPr>
          <w:rFonts w:hint="eastAsia" w:ascii="仿宋" w:hAnsi="仿宋" w:eastAsia="仿宋" w:cs="仿宋"/>
          <w:b/>
          <w:bCs/>
          <w:color w:val="auto"/>
          <w:spacing w:val="-13"/>
          <w:sz w:val="25"/>
          <w:szCs w:val="25"/>
          <w:highlight w:val="none"/>
        </w:rPr>
      </w:pPr>
    </w:p>
    <w:p w14:paraId="63841335">
      <w:pPr>
        <w:spacing w:before="81" w:line="222" w:lineRule="auto"/>
        <w:ind w:left="246"/>
        <w:outlineLvl w:val="0"/>
        <w:rPr>
          <w:rFonts w:hint="eastAsia" w:ascii="仿宋" w:hAnsi="仿宋" w:eastAsia="仿宋" w:cs="仿宋"/>
          <w:b/>
          <w:bCs/>
          <w:color w:val="auto"/>
          <w:spacing w:val="-13"/>
          <w:sz w:val="25"/>
          <w:szCs w:val="25"/>
          <w:highlight w:val="none"/>
        </w:rPr>
      </w:pPr>
    </w:p>
    <w:p w14:paraId="6DD52DC6">
      <w:pPr>
        <w:spacing w:before="81" w:line="222" w:lineRule="auto"/>
        <w:ind w:left="246"/>
        <w:outlineLvl w:val="0"/>
        <w:rPr>
          <w:rFonts w:hint="eastAsia" w:ascii="仿宋" w:hAnsi="仿宋" w:eastAsia="仿宋" w:cs="仿宋"/>
          <w:b/>
          <w:bCs/>
          <w:color w:val="auto"/>
          <w:spacing w:val="-13"/>
          <w:sz w:val="25"/>
          <w:szCs w:val="25"/>
          <w:highlight w:val="none"/>
        </w:rPr>
      </w:pPr>
    </w:p>
    <w:p w14:paraId="06900E5B">
      <w:pPr>
        <w:spacing w:before="81" w:line="222" w:lineRule="auto"/>
        <w:ind w:left="246"/>
        <w:outlineLvl w:val="0"/>
        <w:rPr>
          <w:rFonts w:hint="eastAsia" w:ascii="仿宋" w:hAnsi="仿宋" w:eastAsia="仿宋" w:cs="仿宋"/>
          <w:b/>
          <w:bCs/>
          <w:color w:val="auto"/>
          <w:spacing w:val="-13"/>
          <w:sz w:val="25"/>
          <w:szCs w:val="25"/>
          <w:highlight w:val="none"/>
        </w:rPr>
      </w:pPr>
    </w:p>
    <w:p w14:paraId="39A71EAC">
      <w:pPr>
        <w:spacing w:before="81" w:line="222" w:lineRule="auto"/>
        <w:ind w:left="246"/>
        <w:outlineLvl w:val="0"/>
        <w:rPr>
          <w:rFonts w:hint="eastAsia" w:ascii="仿宋" w:hAnsi="仿宋" w:eastAsia="仿宋" w:cs="仿宋"/>
          <w:b/>
          <w:bCs/>
          <w:color w:val="auto"/>
          <w:spacing w:val="-13"/>
          <w:sz w:val="25"/>
          <w:szCs w:val="25"/>
          <w:highlight w:val="none"/>
        </w:rPr>
      </w:pPr>
    </w:p>
    <w:p w14:paraId="36157A4C">
      <w:pPr>
        <w:spacing w:before="81" w:line="222" w:lineRule="auto"/>
        <w:ind w:left="246"/>
        <w:outlineLvl w:val="0"/>
        <w:rPr>
          <w:rFonts w:hint="eastAsia" w:ascii="仿宋" w:hAnsi="仿宋" w:eastAsia="仿宋" w:cs="仿宋"/>
          <w:b/>
          <w:bCs/>
          <w:color w:val="auto"/>
          <w:spacing w:val="-13"/>
          <w:sz w:val="25"/>
          <w:szCs w:val="25"/>
          <w:highlight w:val="none"/>
        </w:rPr>
      </w:pPr>
    </w:p>
    <w:p w14:paraId="13C73A57">
      <w:pPr>
        <w:spacing w:before="81" w:line="222" w:lineRule="auto"/>
        <w:ind w:left="246"/>
        <w:outlineLvl w:val="0"/>
        <w:rPr>
          <w:rFonts w:hint="eastAsia" w:ascii="仿宋" w:hAnsi="仿宋" w:eastAsia="仿宋" w:cs="仿宋"/>
          <w:b/>
          <w:bCs/>
          <w:color w:val="auto"/>
          <w:spacing w:val="-13"/>
          <w:sz w:val="25"/>
          <w:szCs w:val="25"/>
          <w:highlight w:val="none"/>
        </w:rPr>
      </w:pPr>
    </w:p>
    <w:p w14:paraId="670E45D3">
      <w:pPr>
        <w:spacing w:before="81" w:line="222" w:lineRule="auto"/>
        <w:ind w:left="246"/>
        <w:outlineLvl w:val="0"/>
        <w:rPr>
          <w:rFonts w:hint="eastAsia" w:ascii="仿宋" w:hAnsi="仿宋" w:eastAsia="仿宋" w:cs="仿宋"/>
          <w:b/>
          <w:bCs/>
          <w:color w:val="auto"/>
          <w:spacing w:val="-13"/>
          <w:sz w:val="25"/>
          <w:szCs w:val="25"/>
          <w:highlight w:val="none"/>
        </w:rPr>
      </w:pPr>
    </w:p>
    <w:p w14:paraId="58BB0D49">
      <w:pPr>
        <w:spacing w:before="81" w:line="222" w:lineRule="auto"/>
        <w:ind w:left="246"/>
        <w:outlineLvl w:val="0"/>
        <w:rPr>
          <w:rFonts w:hint="eastAsia" w:ascii="仿宋" w:hAnsi="仿宋" w:eastAsia="仿宋" w:cs="仿宋"/>
          <w:b/>
          <w:bCs/>
          <w:color w:val="auto"/>
          <w:spacing w:val="-13"/>
          <w:sz w:val="25"/>
          <w:szCs w:val="25"/>
          <w:highlight w:val="none"/>
        </w:rPr>
      </w:pPr>
    </w:p>
    <w:p w14:paraId="51961A7E">
      <w:pPr>
        <w:spacing w:before="81" w:line="222" w:lineRule="auto"/>
        <w:ind w:left="246"/>
        <w:outlineLvl w:val="0"/>
        <w:rPr>
          <w:rFonts w:hint="eastAsia" w:ascii="仿宋" w:hAnsi="仿宋" w:eastAsia="仿宋" w:cs="仿宋"/>
          <w:b/>
          <w:bCs/>
          <w:color w:val="auto"/>
          <w:spacing w:val="-13"/>
          <w:sz w:val="25"/>
          <w:szCs w:val="25"/>
          <w:highlight w:val="none"/>
        </w:rPr>
      </w:pPr>
    </w:p>
    <w:p w14:paraId="6FFA57D3">
      <w:pPr>
        <w:spacing w:before="81" w:line="222" w:lineRule="auto"/>
        <w:ind w:left="246"/>
        <w:outlineLvl w:val="0"/>
        <w:rPr>
          <w:rFonts w:hint="eastAsia" w:ascii="仿宋" w:hAnsi="仿宋" w:eastAsia="仿宋" w:cs="仿宋"/>
          <w:b/>
          <w:bCs/>
          <w:color w:val="auto"/>
          <w:spacing w:val="-13"/>
          <w:sz w:val="25"/>
          <w:szCs w:val="25"/>
          <w:highlight w:val="none"/>
        </w:rPr>
      </w:pPr>
    </w:p>
    <w:p w14:paraId="49643A21">
      <w:pPr>
        <w:spacing w:before="81" w:line="222" w:lineRule="auto"/>
        <w:ind w:left="246"/>
        <w:outlineLvl w:val="0"/>
        <w:rPr>
          <w:rFonts w:hint="eastAsia" w:ascii="仿宋" w:hAnsi="仿宋" w:eastAsia="仿宋" w:cs="仿宋"/>
          <w:color w:val="auto"/>
          <w:sz w:val="25"/>
          <w:szCs w:val="25"/>
          <w:highlight w:val="none"/>
        </w:rPr>
      </w:pPr>
      <w:r>
        <w:rPr>
          <w:rFonts w:hint="eastAsia" w:ascii="仿宋" w:hAnsi="仿宋" w:eastAsia="仿宋" w:cs="仿宋"/>
          <w:b/>
          <w:bCs/>
          <w:color w:val="auto"/>
          <w:spacing w:val="-13"/>
          <w:sz w:val="25"/>
          <w:szCs w:val="25"/>
          <w:highlight w:val="none"/>
        </w:rPr>
        <w:t>合同附件</w:t>
      </w:r>
      <w:bookmarkEnd w:id="40"/>
    </w:p>
    <w:p w14:paraId="253D2A91">
      <w:pPr>
        <w:spacing w:before="170" w:line="221"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9"/>
          <w:sz w:val="25"/>
          <w:szCs w:val="25"/>
          <w:highlight w:val="none"/>
        </w:rPr>
        <w:t>1、工程量计价清单</w:t>
      </w:r>
    </w:p>
    <w:p w14:paraId="0973B9C9">
      <w:pPr>
        <w:spacing w:before="193" w:line="222"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9"/>
          <w:sz w:val="25"/>
          <w:szCs w:val="25"/>
          <w:highlight w:val="none"/>
        </w:rPr>
        <w:t>2、环境与职业健康安全管理责任书</w:t>
      </w:r>
    </w:p>
    <w:p w14:paraId="7E82ABBA">
      <w:pPr>
        <w:spacing w:before="146" w:line="221"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4"/>
          <w:sz w:val="25"/>
          <w:szCs w:val="25"/>
          <w:highlight w:val="none"/>
        </w:rPr>
        <w:t>3、保廉合同</w:t>
      </w:r>
    </w:p>
    <w:p w14:paraId="6AA664A2">
      <w:pPr>
        <w:spacing w:before="170" w:line="221" w:lineRule="auto"/>
        <w:ind w:left="792"/>
        <w:rPr>
          <w:rFonts w:hint="eastAsia" w:ascii="仿宋" w:hAnsi="仿宋" w:eastAsia="仿宋" w:cs="仿宋"/>
          <w:color w:val="auto"/>
          <w:spacing w:val="-8"/>
          <w:sz w:val="25"/>
          <w:szCs w:val="25"/>
          <w:highlight w:val="none"/>
        </w:rPr>
      </w:pPr>
      <w:r>
        <w:rPr>
          <w:rFonts w:hint="eastAsia" w:ascii="仿宋" w:hAnsi="仿宋" w:eastAsia="仿宋" w:cs="仿宋"/>
          <w:color w:val="auto"/>
          <w:spacing w:val="-8"/>
          <w:sz w:val="25"/>
          <w:szCs w:val="25"/>
          <w:highlight w:val="none"/>
        </w:rPr>
        <w:t>4、农民工工资支付保障承诺书</w:t>
      </w:r>
    </w:p>
    <w:p w14:paraId="7D8233E5">
      <w:pPr>
        <w:spacing w:before="171" w:line="222" w:lineRule="auto"/>
        <w:ind w:left="792"/>
        <w:rPr>
          <w:rFonts w:hint="eastAsia" w:ascii="仿宋" w:hAnsi="仿宋" w:eastAsia="仿宋" w:cs="仿宋"/>
          <w:color w:val="auto"/>
          <w:sz w:val="25"/>
          <w:szCs w:val="25"/>
          <w:highlight w:val="none"/>
          <w:lang w:eastAsia="zh-CN"/>
        </w:rPr>
      </w:pPr>
      <w:r>
        <w:rPr>
          <w:rFonts w:hint="eastAsia" w:ascii="仿宋" w:hAnsi="仿宋" w:eastAsia="仿宋" w:cs="仿宋"/>
          <w:color w:val="auto"/>
          <w:spacing w:val="10"/>
          <w:sz w:val="25"/>
          <w:szCs w:val="25"/>
          <w:highlight w:val="none"/>
          <w:lang w:val="en-US" w:eastAsia="zh-CN"/>
        </w:rPr>
        <w:t>5、</w:t>
      </w:r>
      <w:r>
        <w:rPr>
          <w:rFonts w:hint="eastAsia" w:ascii="仿宋" w:hAnsi="仿宋" w:eastAsia="仿宋" w:cs="仿宋"/>
          <w:i w:val="0"/>
          <w:iCs w:val="0"/>
          <w:color w:val="auto"/>
          <w:sz w:val="25"/>
          <w:szCs w:val="25"/>
          <w:highlight w:val="none"/>
        </w:rPr>
        <w:t>法人授权书</w:t>
      </w:r>
      <w:r>
        <w:rPr>
          <w:rFonts w:hint="eastAsia" w:ascii="仿宋" w:hAnsi="仿宋" w:eastAsia="仿宋" w:cs="仿宋"/>
          <w:i w:val="0"/>
          <w:iCs w:val="0"/>
          <w:color w:val="auto"/>
          <w:sz w:val="25"/>
          <w:szCs w:val="25"/>
          <w:highlight w:val="none"/>
          <w:lang w:eastAsia="zh-CN"/>
        </w:rPr>
        <w:t>（</w:t>
      </w:r>
      <w:r>
        <w:rPr>
          <w:rFonts w:hint="eastAsia" w:ascii="仿宋" w:hAnsi="仿宋" w:eastAsia="仿宋" w:cs="仿宋"/>
          <w:i w:val="0"/>
          <w:iCs w:val="0"/>
          <w:color w:val="auto"/>
          <w:sz w:val="25"/>
          <w:szCs w:val="25"/>
          <w:highlight w:val="none"/>
          <w:lang w:val="en-US" w:eastAsia="zh-CN"/>
        </w:rPr>
        <w:t>授权委托人签字的</w:t>
      </w:r>
      <w:r>
        <w:rPr>
          <w:rFonts w:hint="eastAsia" w:ascii="仿宋" w:hAnsi="仿宋" w:eastAsia="仿宋" w:cs="仿宋"/>
          <w:i w:val="0"/>
          <w:iCs w:val="0"/>
          <w:color w:val="auto"/>
          <w:sz w:val="25"/>
          <w:szCs w:val="25"/>
          <w:highlight w:val="none"/>
          <w:lang w:eastAsia="zh-CN"/>
        </w:rPr>
        <w:t>）</w:t>
      </w:r>
    </w:p>
    <w:p w14:paraId="582C9956">
      <w:pPr>
        <w:spacing w:before="171" w:line="222"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10"/>
          <w:sz w:val="25"/>
          <w:szCs w:val="25"/>
          <w:highlight w:val="none"/>
          <w:lang w:val="en-US" w:eastAsia="zh-CN"/>
        </w:rPr>
        <w:t>6</w:t>
      </w:r>
      <w:r>
        <w:rPr>
          <w:rFonts w:hint="eastAsia" w:ascii="仿宋" w:hAnsi="仿宋" w:eastAsia="仿宋" w:cs="仿宋"/>
          <w:color w:val="auto"/>
          <w:spacing w:val="10"/>
          <w:sz w:val="25"/>
          <w:szCs w:val="25"/>
          <w:highlight w:val="none"/>
        </w:rPr>
        <w:t>、其他附件(如有)</w:t>
      </w:r>
    </w:p>
    <w:p w14:paraId="0922B6B9">
      <w:pPr>
        <w:pStyle w:val="5"/>
        <w:spacing w:line="277" w:lineRule="auto"/>
        <w:rPr>
          <w:color w:val="auto"/>
          <w:highlight w:val="none"/>
        </w:rPr>
      </w:pPr>
    </w:p>
    <w:p w14:paraId="5F8C9C15">
      <w:pPr>
        <w:pStyle w:val="5"/>
        <w:spacing w:line="253" w:lineRule="auto"/>
        <w:rPr>
          <w:rFonts w:hint="eastAsia" w:eastAsia="宋体"/>
          <w:color w:val="auto"/>
          <w:highlight w:val="none"/>
          <w:lang w:val="en-US" w:eastAsia="zh-CN"/>
        </w:rPr>
      </w:pPr>
    </w:p>
    <w:p w14:paraId="3853332D">
      <w:pPr>
        <w:pStyle w:val="5"/>
        <w:spacing w:line="253" w:lineRule="auto"/>
        <w:rPr>
          <w:rFonts w:hint="eastAsia" w:eastAsia="宋体"/>
          <w:color w:val="auto"/>
          <w:highlight w:val="none"/>
          <w:lang w:val="en-US" w:eastAsia="zh-CN"/>
        </w:rPr>
      </w:pPr>
    </w:p>
    <w:p w14:paraId="16A56D51">
      <w:pPr>
        <w:pStyle w:val="5"/>
        <w:spacing w:line="253" w:lineRule="auto"/>
        <w:rPr>
          <w:rFonts w:hint="eastAsia" w:eastAsia="宋体"/>
          <w:color w:val="auto"/>
          <w:highlight w:val="none"/>
          <w:lang w:val="en-US" w:eastAsia="zh-CN"/>
        </w:rPr>
      </w:pPr>
    </w:p>
    <w:p w14:paraId="07516D81">
      <w:pPr>
        <w:pStyle w:val="5"/>
        <w:spacing w:line="253" w:lineRule="auto"/>
        <w:rPr>
          <w:rFonts w:hint="eastAsia" w:eastAsia="宋体"/>
          <w:color w:val="auto"/>
          <w:highlight w:val="none"/>
          <w:lang w:val="en-US" w:eastAsia="zh-CN"/>
        </w:rPr>
      </w:pPr>
    </w:p>
    <w:p w14:paraId="02D5DA67">
      <w:pPr>
        <w:pStyle w:val="5"/>
        <w:spacing w:line="253" w:lineRule="auto"/>
        <w:rPr>
          <w:rFonts w:hint="eastAsia" w:eastAsia="宋体"/>
          <w:color w:val="auto"/>
          <w:highlight w:val="none"/>
          <w:lang w:val="en-US" w:eastAsia="zh-CN"/>
        </w:rPr>
      </w:pPr>
    </w:p>
    <w:p w14:paraId="39ED6914">
      <w:pPr>
        <w:pStyle w:val="5"/>
        <w:spacing w:line="253" w:lineRule="auto"/>
        <w:rPr>
          <w:rFonts w:hint="eastAsia" w:eastAsia="宋体"/>
          <w:color w:val="auto"/>
          <w:highlight w:val="none"/>
          <w:lang w:val="en-US" w:eastAsia="zh-CN"/>
        </w:rPr>
      </w:pPr>
    </w:p>
    <w:p w14:paraId="19020567">
      <w:pPr>
        <w:pStyle w:val="5"/>
        <w:spacing w:line="253" w:lineRule="auto"/>
        <w:rPr>
          <w:rFonts w:hint="eastAsia" w:eastAsia="宋体"/>
          <w:color w:val="auto"/>
          <w:highlight w:val="none"/>
          <w:lang w:val="en-US" w:eastAsia="zh-CN"/>
        </w:rPr>
      </w:pPr>
    </w:p>
    <w:p w14:paraId="456108D0">
      <w:pPr>
        <w:pStyle w:val="5"/>
        <w:spacing w:line="253" w:lineRule="auto"/>
        <w:rPr>
          <w:rFonts w:hint="eastAsia" w:eastAsia="宋体"/>
          <w:color w:val="auto"/>
          <w:highlight w:val="none"/>
          <w:lang w:val="en-US" w:eastAsia="zh-CN"/>
        </w:rPr>
      </w:pPr>
    </w:p>
    <w:p w14:paraId="2E524B35">
      <w:pPr>
        <w:pStyle w:val="5"/>
        <w:spacing w:line="253" w:lineRule="auto"/>
        <w:rPr>
          <w:rFonts w:hint="eastAsia" w:eastAsia="宋体"/>
          <w:color w:val="auto"/>
          <w:highlight w:val="none"/>
          <w:lang w:val="en-US" w:eastAsia="zh-CN"/>
        </w:rPr>
      </w:pPr>
    </w:p>
    <w:p w14:paraId="5E23A0CD">
      <w:pPr>
        <w:pStyle w:val="5"/>
        <w:spacing w:line="253" w:lineRule="auto"/>
        <w:rPr>
          <w:rFonts w:hint="eastAsia" w:eastAsia="宋体"/>
          <w:color w:val="auto"/>
          <w:highlight w:val="none"/>
          <w:lang w:val="en-US" w:eastAsia="zh-CN"/>
        </w:rPr>
      </w:pPr>
    </w:p>
    <w:p w14:paraId="16C27BED">
      <w:pPr>
        <w:pStyle w:val="5"/>
        <w:spacing w:line="253" w:lineRule="auto"/>
        <w:rPr>
          <w:rFonts w:hint="eastAsia" w:eastAsia="宋体"/>
          <w:color w:val="auto"/>
          <w:highlight w:val="none"/>
          <w:lang w:val="en-US" w:eastAsia="zh-CN"/>
        </w:rPr>
      </w:pPr>
    </w:p>
    <w:p w14:paraId="79645B47">
      <w:pPr>
        <w:pStyle w:val="5"/>
        <w:spacing w:line="253" w:lineRule="auto"/>
        <w:rPr>
          <w:rFonts w:hint="eastAsia" w:eastAsia="宋体"/>
          <w:color w:val="auto"/>
          <w:highlight w:val="none"/>
          <w:lang w:val="en-US" w:eastAsia="zh-CN"/>
        </w:rPr>
      </w:pPr>
    </w:p>
    <w:p w14:paraId="40EDE798">
      <w:pPr>
        <w:pStyle w:val="5"/>
        <w:spacing w:line="253" w:lineRule="auto"/>
        <w:rPr>
          <w:rFonts w:hint="eastAsia" w:eastAsia="宋体"/>
          <w:color w:val="auto"/>
          <w:highlight w:val="none"/>
          <w:lang w:val="en-US" w:eastAsia="zh-CN"/>
        </w:rPr>
      </w:pPr>
    </w:p>
    <w:p w14:paraId="051CFF17">
      <w:pPr>
        <w:pStyle w:val="5"/>
        <w:spacing w:line="253" w:lineRule="auto"/>
        <w:rPr>
          <w:rFonts w:hint="eastAsia" w:eastAsia="宋体"/>
          <w:color w:val="auto"/>
          <w:highlight w:val="none"/>
          <w:lang w:val="en-US" w:eastAsia="zh-CN"/>
        </w:rPr>
      </w:pPr>
    </w:p>
    <w:p w14:paraId="504A9521">
      <w:pPr>
        <w:pStyle w:val="5"/>
        <w:spacing w:line="253" w:lineRule="auto"/>
        <w:rPr>
          <w:rFonts w:hint="eastAsia" w:eastAsia="宋体"/>
          <w:color w:val="auto"/>
          <w:highlight w:val="none"/>
          <w:lang w:val="en-US" w:eastAsia="zh-CN"/>
        </w:rPr>
      </w:pPr>
    </w:p>
    <w:p w14:paraId="1180E93C">
      <w:pPr>
        <w:pStyle w:val="5"/>
        <w:spacing w:line="253" w:lineRule="auto"/>
        <w:rPr>
          <w:rFonts w:hint="eastAsia" w:eastAsia="宋体"/>
          <w:color w:val="auto"/>
          <w:highlight w:val="none"/>
          <w:lang w:val="en-US" w:eastAsia="zh-CN"/>
        </w:rPr>
      </w:pPr>
    </w:p>
    <w:p w14:paraId="046B2F16">
      <w:pPr>
        <w:pStyle w:val="5"/>
        <w:spacing w:line="253" w:lineRule="auto"/>
        <w:rPr>
          <w:rFonts w:hint="eastAsia" w:eastAsia="宋体"/>
          <w:color w:val="auto"/>
          <w:highlight w:val="none"/>
          <w:lang w:val="en-US" w:eastAsia="zh-CN"/>
        </w:rPr>
      </w:pPr>
    </w:p>
    <w:p w14:paraId="2D9DE4BE">
      <w:pPr>
        <w:pStyle w:val="5"/>
        <w:spacing w:line="253" w:lineRule="auto"/>
        <w:rPr>
          <w:rFonts w:hint="eastAsia" w:eastAsia="宋体"/>
          <w:color w:val="auto"/>
          <w:highlight w:val="none"/>
          <w:lang w:val="en-US" w:eastAsia="zh-CN"/>
        </w:rPr>
      </w:pPr>
    </w:p>
    <w:p w14:paraId="4853E509">
      <w:pPr>
        <w:pStyle w:val="5"/>
        <w:spacing w:line="253" w:lineRule="auto"/>
        <w:rPr>
          <w:rFonts w:hint="eastAsia" w:eastAsia="宋体"/>
          <w:color w:val="auto"/>
          <w:highlight w:val="none"/>
          <w:lang w:val="en-US" w:eastAsia="zh-CN"/>
        </w:rPr>
      </w:pPr>
    </w:p>
    <w:p w14:paraId="55000D83">
      <w:pPr>
        <w:pStyle w:val="5"/>
        <w:spacing w:line="253" w:lineRule="auto"/>
        <w:rPr>
          <w:rFonts w:hint="default" w:ascii="仿宋" w:hAnsi="仿宋" w:eastAsia="仿宋" w:cs="仿宋"/>
          <w:snapToGrid w:val="0"/>
          <w:color w:val="auto"/>
          <w:spacing w:val="10"/>
          <w:kern w:val="0"/>
          <w:sz w:val="25"/>
          <w:szCs w:val="25"/>
          <w:highlight w:val="none"/>
          <w:lang w:val="en-US" w:eastAsia="zh-CN" w:bidi="ar-SA"/>
        </w:rPr>
      </w:pPr>
      <w:r>
        <w:rPr>
          <w:rFonts w:hint="eastAsia" w:ascii="仿宋" w:hAnsi="仿宋" w:eastAsia="仿宋" w:cs="仿宋"/>
          <w:snapToGrid w:val="0"/>
          <w:color w:val="auto"/>
          <w:spacing w:val="10"/>
          <w:kern w:val="0"/>
          <w:sz w:val="25"/>
          <w:szCs w:val="25"/>
          <w:highlight w:val="none"/>
          <w:lang w:val="en-US" w:eastAsia="zh-CN" w:bidi="ar-SA"/>
        </w:rPr>
        <w:t>附件1：工程量计价清单</w:t>
      </w:r>
    </w:p>
    <w:p w14:paraId="4F5B30D8">
      <w:pPr>
        <w:pStyle w:val="5"/>
        <w:spacing w:line="253" w:lineRule="auto"/>
        <w:rPr>
          <w:rFonts w:hint="eastAsia" w:eastAsia="宋体"/>
          <w:color w:val="auto"/>
          <w:highlight w:val="none"/>
          <w:lang w:val="en-US" w:eastAsia="zh-CN"/>
        </w:rPr>
      </w:pPr>
    </w:p>
    <w:p w14:paraId="05C8D7B3">
      <w:pPr>
        <w:pStyle w:val="5"/>
        <w:spacing w:line="253" w:lineRule="auto"/>
        <w:rPr>
          <w:rFonts w:hint="eastAsia" w:eastAsia="宋体"/>
          <w:color w:val="auto"/>
          <w:highlight w:val="none"/>
          <w:lang w:val="en-US" w:eastAsia="zh-CN"/>
        </w:rPr>
        <w:sectPr>
          <w:headerReference r:id="rId7" w:type="default"/>
          <w:footerReference r:id="rId8" w:type="default"/>
          <w:pgSz w:w="11900" w:h="16830"/>
          <w:pgMar w:top="1440" w:right="1800" w:bottom="1440" w:left="1800" w:header="0" w:footer="397" w:gutter="0"/>
          <w:pgNumType w:fmt="decimal"/>
          <w:cols w:equalWidth="0" w:num="1">
            <w:col w:w="9275"/>
          </w:cols>
          <w:rtlGutter w:val="0"/>
          <w:docGrid w:linePitch="0" w:charSpace="0"/>
        </w:sectPr>
      </w:pPr>
    </w:p>
    <w:p w14:paraId="72818A46">
      <w:pPr>
        <w:spacing w:before="81" w:line="222" w:lineRule="auto"/>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附件2:</w:t>
      </w:r>
    </w:p>
    <w:p w14:paraId="0AD3DAE5">
      <w:pPr>
        <w:spacing w:before="141" w:line="222" w:lineRule="auto"/>
        <w:ind w:left="2360"/>
        <w:rPr>
          <w:rFonts w:ascii="仿宋" w:hAnsi="仿宋" w:eastAsia="仿宋" w:cs="仿宋"/>
          <w:color w:val="auto"/>
          <w:sz w:val="32"/>
          <w:szCs w:val="32"/>
          <w:highlight w:val="none"/>
        </w:rPr>
      </w:pPr>
      <w:r>
        <w:rPr>
          <w:rFonts w:ascii="仿宋" w:hAnsi="仿宋" w:eastAsia="仿宋" w:cs="仿宋"/>
          <w:color w:val="auto"/>
          <w:sz w:val="32"/>
          <w:szCs w:val="32"/>
          <w:highlight w:val="none"/>
        </w:rPr>
        <w:t>环境与职业健康安全管理责任书</w:t>
      </w:r>
    </w:p>
    <w:p w14:paraId="7FDB7023">
      <w:pPr>
        <w:spacing w:before="141" w:line="222" w:lineRule="auto"/>
        <w:ind w:left="2360"/>
        <w:rPr>
          <w:rFonts w:ascii="仿宋" w:hAnsi="仿宋" w:eastAsia="仿宋" w:cs="仿宋"/>
          <w:color w:val="auto"/>
          <w:sz w:val="32"/>
          <w:szCs w:val="32"/>
          <w:highlight w:val="none"/>
        </w:rPr>
      </w:pPr>
    </w:p>
    <w:p w14:paraId="6A9B118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为在建设项目实施过程中创造安全、高效的施工环境，切实搞好本项目的安全生产 和环境保护管理工作，甲乙双方就</w:t>
      </w:r>
      <w:r>
        <w:rPr>
          <w:rFonts w:hint="eastAsia" w:ascii="仿宋" w:hAnsi="仿宋" w:eastAsia="仿宋" w:cs="仿宋"/>
          <w:color w:val="auto"/>
          <w:sz w:val="24"/>
          <w:szCs w:val="24"/>
          <w:highlight w:val="none"/>
          <w:u w:val="single"/>
          <w:lang w:eastAsia="zh-CN"/>
        </w:rPr>
        <w:t>会理市“天府森林四库”产业融合发展示范项目（一期）一标段房建主体劳务</w:t>
      </w:r>
      <w:r>
        <w:rPr>
          <w:rFonts w:hint="eastAsia" w:ascii="仿宋" w:hAnsi="仿宋" w:eastAsia="仿宋" w:cs="仿宋"/>
          <w:color w:val="auto"/>
          <w:sz w:val="24"/>
          <w:szCs w:val="24"/>
          <w:highlight w:val="none"/>
          <w:u w:val="single"/>
        </w:rPr>
        <w:t>分包合同(合同编号：</w:t>
      </w:r>
      <w:r>
        <w:rPr>
          <w:rFonts w:hint="eastAsia" w:ascii="仿宋" w:hAnsi="仿宋" w:eastAsia="仿宋" w:cs="仿宋"/>
          <w:color w:val="auto"/>
          <w:sz w:val="24"/>
          <w:szCs w:val="24"/>
          <w:highlight w:val="none"/>
          <w:u w:val="single"/>
          <w:lang w:eastAsia="zh-CN"/>
        </w:rPr>
        <w:t>JGZY-HLTFSL-ZTLW-2026-001</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的环境与职业健康安全( (E&amp;OHS)责任达成以下共识特签订本责任书，供双方共同遵守：</w:t>
      </w:r>
    </w:p>
    <w:p w14:paraId="007898D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一、合同期限：与本合同的有效期限相同。</w:t>
      </w:r>
    </w:p>
    <w:p w14:paraId="1A8FE13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二、工程范围内分包的工程项目：</w:t>
      </w:r>
    </w:p>
    <w:p w14:paraId="3AD6A2C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会理市“天府森林四库”产业融合发展示范项目（一期）一标段房建主体劳务分包合同(</w:t>
      </w:r>
      <w:r>
        <w:rPr>
          <w:rFonts w:hint="eastAsia" w:ascii="仿宋" w:hAnsi="仿宋" w:eastAsia="仿宋" w:cs="仿宋"/>
          <w:color w:val="auto"/>
          <w:sz w:val="24"/>
          <w:szCs w:val="24"/>
          <w:highlight w:val="none"/>
          <w:u w:val="single"/>
        </w:rPr>
        <w:t>合同编号：</w:t>
      </w:r>
      <w:r>
        <w:rPr>
          <w:rFonts w:hint="eastAsia" w:ascii="仿宋" w:hAnsi="仿宋" w:eastAsia="仿宋" w:cs="仿宋"/>
          <w:color w:val="auto"/>
          <w:sz w:val="24"/>
          <w:szCs w:val="24"/>
          <w:highlight w:val="none"/>
          <w:u w:val="single"/>
          <w:lang w:val="en-US" w:eastAsia="zh-CN"/>
        </w:rPr>
        <w:t>JGZY-HLTFSL-ZTLW-2026-001 )</w:t>
      </w:r>
      <w:r>
        <w:rPr>
          <w:rFonts w:hint="eastAsia" w:ascii="仿宋" w:hAnsi="仿宋" w:eastAsia="仿宋" w:cs="仿宋"/>
          <w:color w:val="auto"/>
          <w:sz w:val="24"/>
          <w:szCs w:val="24"/>
          <w:highlight w:val="none"/>
        </w:rPr>
        <w:t>中所规定的合同内容。</w:t>
      </w:r>
    </w:p>
    <w:p w14:paraId="0CE1FE1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 、甲方对乙方环境与职业健康安全(E&amp;OHS) 责任的要求：</w:t>
      </w:r>
    </w:p>
    <w:p w14:paraId="16EF172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1、认真贯彻执行国家、地方政府环境保护与职业健康安全(E&amp;OHS) 法律法规，遵 守公司相关规定，坚持“科学管理、诚信守法、注重环保、安全健康、争创优质、持续 改进”的方针，确保安全投入的有效实施，正确处理环境与生产、职业健康安全与生产 的关系。</w:t>
      </w:r>
    </w:p>
    <w:p w14:paraId="496DC3A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2、建立、健全环境保护与职业健康安全管理体系，确保运行正常、管理有效。</w:t>
      </w:r>
    </w:p>
    <w:p w14:paraId="737F383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3、强化培训教育，不断提高员工环境意识和自我保护意识。</w:t>
      </w:r>
    </w:p>
    <w:p w14:paraId="7818E2BC">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4、主动为员工办理工伤险和意外伤害保险。</w:t>
      </w:r>
    </w:p>
    <w:p w14:paraId="2B6D1D7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5、定期组织员工体检。</w:t>
      </w:r>
    </w:p>
    <w:p w14:paraId="10E8DB9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6、积极采取有效措施，加强环境保护工作。</w:t>
      </w:r>
    </w:p>
    <w:p w14:paraId="585AF37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1" w:name="_Toc10480"/>
      <w:r>
        <w:rPr>
          <w:rFonts w:hint="eastAsia" w:ascii="仿宋" w:hAnsi="仿宋" w:eastAsia="仿宋" w:cs="仿宋"/>
          <w:color w:val="auto"/>
          <w:sz w:val="24"/>
          <w:szCs w:val="24"/>
          <w:highlight w:val="none"/>
        </w:rPr>
        <w:t>四 、乙方环境与职业健康安全(E&amp;OHS) 控制指标：</w:t>
      </w:r>
      <w:bookmarkEnd w:id="41"/>
    </w:p>
    <w:p w14:paraId="0DE74B9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1、不发生群体性职业健康安全事故；</w:t>
      </w:r>
    </w:p>
    <w:p w14:paraId="58AFD85E">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2、不发生重大环境污染和投诉事件。</w:t>
      </w:r>
    </w:p>
    <w:p w14:paraId="1B78865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2" w:name="_Toc13441"/>
      <w:r>
        <w:rPr>
          <w:rFonts w:hint="eastAsia" w:ascii="仿宋" w:hAnsi="仿宋" w:eastAsia="仿宋" w:cs="仿宋"/>
          <w:color w:val="auto"/>
          <w:sz w:val="24"/>
          <w:szCs w:val="24"/>
          <w:highlight w:val="none"/>
        </w:rPr>
        <w:t>五、安全生产目标</w:t>
      </w:r>
      <w:bookmarkEnd w:id="42"/>
    </w:p>
    <w:p w14:paraId="3FE683D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(1)不发生生产性人身伤亡和重伤事故；</w:t>
      </w:r>
    </w:p>
    <w:p w14:paraId="15FA346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(2)不发生生产性原因造成的交通、火灾和重大机械设备事故；</w:t>
      </w:r>
    </w:p>
    <w:p w14:paraId="5A3A2AF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(3)不发生生产性原因造成环境污染事故和垮塌事故；</w:t>
      </w:r>
    </w:p>
    <w:p w14:paraId="7B9DB7D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(4)不发生性质恶劣影响较大的其它责任事故；</w:t>
      </w:r>
    </w:p>
    <w:p w14:paraId="0D89B50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(5)轻伤负伤频率低于3%;</w:t>
      </w:r>
    </w:p>
    <w:p w14:paraId="5C781E9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(6)实现安全施工“事故零目标” ,创州级一流安全及文明施工现场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根据项目是否创州标化或是省标化定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350B421B">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3" w:name="_Toc430"/>
      <w:r>
        <w:rPr>
          <w:rFonts w:hint="eastAsia" w:ascii="仿宋" w:hAnsi="仿宋" w:eastAsia="仿宋" w:cs="仿宋"/>
          <w:color w:val="auto"/>
          <w:sz w:val="24"/>
          <w:szCs w:val="24"/>
          <w:highlight w:val="none"/>
        </w:rPr>
        <w:t>六、甲方安全职责</w:t>
      </w:r>
      <w:bookmarkEnd w:id="43"/>
    </w:p>
    <w:p w14:paraId="0CA57C3B">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(1)严格遵守国家有关安全生产的法律法规，认真执行工程承包合同中的有关安 全要求。</w:t>
      </w:r>
    </w:p>
    <w:p w14:paraId="17D92B9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(2)按照“安全第一、预防为主”和坚持“管生产必须管安全”的原则进行安全 生产管理，做到生产与安全工作同时计划、布置、检查、总结和评比。</w:t>
      </w:r>
    </w:p>
    <w:p w14:paraId="5975398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(3)定期召开安全生产调度会，及时传达中央及地方有关安全生产的精神。</w:t>
      </w:r>
    </w:p>
    <w:p w14:paraId="17E5226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(4)组织对乙方施工现场进行安全生产检查，监督乙方及时处理发现的各种安全 隐患。</w:t>
      </w:r>
    </w:p>
    <w:p w14:paraId="0B386A9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4" w:name="_Toc31798"/>
      <w:r>
        <w:rPr>
          <w:rFonts w:hint="eastAsia" w:ascii="仿宋" w:hAnsi="仿宋" w:eastAsia="仿宋" w:cs="仿宋"/>
          <w:color w:val="auto"/>
          <w:sz w:val="24"/>
          <w:szCs w:val="24"/>
          <w:highlight w:val="none"/>
        </w:rPr>
        <w:t>七、乙方安全职责</w:t>
      </w:r>
      <w:bookmarkEnd w:id="44"/>
    </w:p>
    <w:p w14:paraId="6019F13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(1)严格遵守《中华人民共和国安全生产法》、《建设工程安全生产管理条例》 等国家有关安全生产的法律法规，认真执行工程承包合同中的有关安全要求。</w:t>
      </w:r>
    </w:p>
    <w:p w14:paraId="774DCFD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(2)坚持“安全第一、预防为主”和“管生产必须管安全”的原则，加强安全生  产宣传教育，增强全员安全生产意识，建立健全各项安全生产的管理机构和安全生产管 理制度，配备专职及兼职安全检查人员，有组织有领导地开展安全生产活动。各级领导、 工程技术人员、生产管理人员和具体操作人员，必须熟悉和遵守本合同的各项规定，做  到生产与安全工作同时计划、布置、检查、总结和评比。</w:t>
      </w:r>
    </w:p>
    <w:p w14:paraId="19A1EE8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(3)建立健全安全生产责任制。从派往项目实施的项目经理到生产工人(包括临时 雇请的民工)的安全生产管理系统必须做到纵向到底，一环不漏；各职能部门、人员的 安全生产责任制做到横向到边，人人有责。项目经理是安全生产的第一责任人。现场设 置的安全机构，应按《建筑施工企业安全生产管理机构设置及专职安全生产管理人员配 备办法》规定的最低数量和资质条件配备专职安全生产管理人员，专职负责所有员工的 安全和治安保卫工作及预防事故的发生。安全机构人员有权按有关规定发布指令，并采 取保护性措施防止事故发生。</w:t>
      </w:r>
    </w:p>
    <w:p w14:paraId="29FC4BA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(4)乙方在任何时候都应采取各种合理的预防措施，防止其员工发生任何违法、违禁、暴力或妨碍治安的行为。</w:t>
      </w:r>
    </w:p>
    <w:p w14:paraId="3E90663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(5)乙方必须具有劳动安全管理部门颁发的安全生产考核合格证书，参加施工的 人员，必须接受安全技术教育，熟知和遵守本工种的各项安全技术操作规程，定期进行  安全技术考核，合格者方准上岗操作。对于从事电气、起重、建筑登高架设作业、锅炉、 压力容器、焊接、机动车船艇驾驶、爆破、潜水、瓦斯检验等特殊工种的人员，经过专  业培训，获得《安全操作合格证》后，方准持证上岗。施工现场如出现特种作业无证操  作现象时，项目经理必须承担管理责任。</w:t>
      </w:r>
    </w:p>
    <w:p w14:paraId="30B4C26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(6)对于易燃易爆的材料除应专门妥善保管之外，还应配备有足够的消防设施，</w:t>
      </w:r>
    </w:p>
    <w:p w14:paraId="70AB74A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所有施工人员都应熟悉消防设备的性能和使用方法；乙方不得将任何种类的爆炸物给予 易货或以其他方式转让给任何其他人，或允许、容忍上述同样行为。</w:t>
      </w:r>
    </w:p>
    <w:p w14:paraId="2BCFC5A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(7)操作人员上岗，必须按规定穿戴防护用品。施工负责人和安全检查员应随时 检查劳动防护用品的穿戴情况，不按规定穿戴防护用品的人员不得上岗。</w:t>
      </w:r>
    </w:p>
    <w:p w14:paraId="7C79742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(8)所有施工机具设备和高空作业的设备均应定期检查，并有安全员的签字记录， 保证其经常处于完好状态；不合格的机具、设备和劳动保护用品严禁使用。</w:t>
      </w:r>
    </w:p>
    <w:p w14:paraId="0F9A175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(9)施工中采用新技术、新工艺、新设备、新材料时，必须制定相应的安全技术 措施，施工现场必须具有相关的安全标志牌。</w:t>
      </w:r>
    </w:p>
    <w:p w14:paraId="028EEE9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(10)乙方必须按照本工程项目特点，组织制定本工程实施中的生产安全事故应急  救援预案；如果发生安全事故，应按照《国务院关于特大安全事故行政责任追究的规定》 以及其他有关规定，及时上报有关部门，并坚持“四不放过”的原则，严肃处理相关责  任人。</w:t>
      </w:r>
    </w:p>
    <w:p w14:paraId="32CB6BA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(11)安全生产费用按照《企业安全生产费用提取和使用管理办法》(财企〔2012〕 16号)的相关规定使用和管理。</w:t>
      </w:r>
    </w:p>
    <w:p w14:paraId="5FD3225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5" w:name="_Toc4453"/>
      <w:r>
        <w:rPr>
          <w:rFonts w:hint="eastAsia" w:ascii="仿宋" w:hAnsi="仿宋" w:eastAsia="仿宋" w:cs="仿宋"/>
          <w:color w:val="auto"/>
          <w:sz w:val="24"/>
          <w:szCs w:val="24"/>
          <w:highlight w:val="none"/>
        </w:rPr>
        <w:t>八、违约责任</w:t>
      </w:r>
      <w:bookmarkEnd w:id="45"/>
    </w:p>
    <w:p w14:paraId="3A60D79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如因甲方或乙方违约造成安全事故，将依法追究责任。</w:t>
      </w:r>
    </w:p>
    <w:p w14:paraId="6171FDEB">
      <w:pPr>
        <w:keepNext w:val="0"/>
        <w:keepLines w:val="0"/>
        <w:pageBreakBefore w:val="0"/>
        <w:widowControl/>
        <w:numPr>
          <w:ilvl w:val="0"/>
          <w:numId w:val="3"/>
        </w:numPr>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本责任书由双方法定代表人或其授权的代理人签署并加盖单位章后生效，全 部工程竣工验收后失效。</w:t>
      </w:r>
    </w:p>
    <w:p w14:paraId="3F073829">
      <w:pPr>
        <w:keepNext w:val="0"/>
        <w:keepLines w:val="0"/>
        <w:pageBreakBefore w:val="0"/>
        <w:widowControl/>
        <w:numPr>
          <w:ilvl w:val="0"/>
          <w:numId w:val="3"/>
        </w:numPr>
        <w:kinsoku/>
        <w:wordWrap/>
        <w:overflowPunct/>
        <w:topLinePunct/>
        <w:autoSpaceDE w:val="0"/>
        <w:autoSpaceDN w:val="0"/>
        <w:bidi w:val="0"/>
        <w:adjustRightInd w:val="0"/>
        <w:snapToGrid w:val="0"/>
        <w:spacing w:line="360" w:lineRule="auto"/>
        <w:ind w:left="0" w:leftChars="0" w:firstLine="472" w:firstLineChars="200"/>
        <w:textAlignment w:val="baseline"/>
        <w:rPr>
          <w:rFonts w:hint="eastAsia" w:ascii="仿宋" w:hAnsi="仿宋" w:eastAsia="仿宋" w:cs="仿宋"/>
          <w:color w:val="auto"/>
          <w:spacing w:val="-16"/>
          <w:sz w:val="25"/>
          <w:szCs w:val="25"/>
          <w:highlight w:val="none"/>
        </w:rPr>
      </w:pPr>
      <w:r>
        <w:rPr>
          <w:rFonts w:hint="eastAsia" w:ascii="仿宋" w:hAnsi="仿宋" w:eastAsia="仿宋" w:cs="仿宋"/>
          <w:color w:val="auto"/>
          <w:spacing w:val="-7"/>
          <w:sz w:val="25"/>
          <w:szCs w:val="25"/>
          <w:highlight w:val="none"/>
        </w:rPr>
        <w:t>本合同壹式</w:t>
      </w:r>
      <w:r>
        <w:rPr>
          <w:rFonts w:hint="eastAsia" w:ascii="仿宋" w:hAnsi="仿宋" w:eastAsia="仿宋" w:cs="仿宋"/>
          <w:b/>
          <w:bCs/>
          <w:color w:val="auto"/>
          <w:spacing w:val="-7"/>
          <w:sz w:val="25"/>
          <w:szCs w:val="25"/>
          <w:highlight w:val="none"/>
          <w:u w:val="single"/>
          <w:lang w:val="en-US" w:eastAsia="zh-CN"/>
        </w:rPr>
        <w:t>陆</w:t>
      </w:r>
      <w:r>
        <w:rPr>
          <w:rFonts w:hint="eastAsia" w:ascii="仿宋" w:hAnsi="仿宋" w:eastAsia="仿宋" w:cs="仿宋"/>
          <w:b w:val="0"/>
          <w:bCs w:val="0"/>
          <w:color w:val="auto"/>
          <w:spacing w:val="-7"/>
          <w:sz w:val="25"/>
          <w:szCs w:val="25"/>
          <w:highlight w:val="none"/>
        </w:rPr>
        <w:t>份</w:t>
      </w:r>
      <w:r>
        <w:rPr>
          <w:rFonts w:hint="eastAsia" w:ascii="仿宋" w:hAnsi="仿宋" w:eastAsia="仿宋" w:cs="仿宋"/>
          <w:color w:val="auto"/>
          <w:spacing w:val="-7"/>
          <w:sz w:val="25"/>
          <w:szCs w:val="25"/>
          <w:highlight w:val="none"/>
        </w:rPr>
        <w:t>，甲方</w:t>
      </w:r>
      <w:r>
        <w:rPr>
          <w:rFonts w:hint="eastAsia" w:ascii="仿宋" w:hAnsi="仿宋" w:eastAsia="仿宋" w:cs="仿宋"/>
          <w:b/>
          <w:bCs/>
          <w:color w:val="auto"/>
          <w:spacing w:val="-7"/>
          <w:sz w:val="25"/>
          <w:szCs w:val="25"/>
          <w:highlight w:val="none"/>
          <w:u w:val="single"/>
        </w:rPr>
        <w:t>肆</w:t>
      </w:r>
      <w:r>
        <w:rPr>
          <w:rFonts w:hint="eastAsia" w:ascii="仿宋" w:hAnsi="仿宋" w:eastAsia="仿宋" w:cs="仿宋"/>
          <w:color w:val="auto"/>
          <w:spacing w:val="-7"/>
          <w:sz w:val="25"/>
          <w:szCs w:val="25"/>
          <w:highlight w:val="none"/>
        </w:rPr>
        <w:t>份、乙方</w:t>
      </w:r>
      <w:r>
        <w:rPr>
          <w:rFonts w:hint="eastAsia" w:ascii="仿宋" w:hAnsi="仿宋" w:eastAsia="仿宋" w:cs="仿宋"/>
          <w:b/>
          <w:bCs/>
          <w:color w:val="auto"/>
          <w:spacing w:val="-7"/>
          <w:sz w:val="25"/>
          <w:szCs w:val="25"/>
          <w:highlight w:val="none"/>
          <w:u w:val="single"/>
          <w:lang w:val="en-US" w:eastAsia="zh-CN"/>
        </w:rPr>
        <w:t>贰</w:t>
      </w:r>
      <w:r>
        <w:rPr>
          <w:rFonts w:hint="eastAsia" w:ascii="仿宋" w:hAnsi="仿宋" w:eastAsia="仿宋" w:cs="仿宋"/>
          <w:color w:val="auto"/>
          <w:spacing w:val="-7"/>
          <w:sz w:val="25"/>
          <w:szCs w:val="25"/>
          <w:highlight w:val="none"/>
        </w:rPr>
        <w:t>份，当正本与副本的内容不一致时，以</w:t>
      </w:r>
      <w:r>
        <w:rPr>
          <w:rFonts w:hint="eastAsia" w:ascii="仿宋" w:hAnsi="仿宋" w:eastAsia="仿宋" w:cs="仿宋"/>
          <w:color w:val="auto"/>
          <w:spacing w:val="-16"/>
          <w:sz w:val="25"/>
          <w:szCs w:val="25"/>
          <w:highlight w:val="none"/>
        </w:rPr>
        <w:t>正本为准。</w:t>
      </w:r>
    </w:p>
    <w:p w14:paraId="6FE612EC">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3B061020">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6CC65A7D">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7149C258">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6F3CAA78">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03EDD5EF">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b/>
          <w:bCs/>
          <w:color w:val="auto"/>
          <w:spacing w:val="-16"/>
          <w:sz w:val="25"/>
          <w:szCs w:val="25"/>
          <w:highlight w:val="none"/>
          <w:lang w:val="en-US" w:eastAsia="zh-CN"/>
        </w:rPr>
      </w:pPr>
      <w:r>
        <w:rPr>
          <w:rFonts w:hint="eastAsia" w:ascii="仿宋" w:hAnsi="仿宋" w:eastAsia="仿宋" w:cs="仿宋"/>
          <w:b/>
          <w:bCs/>
          <w:color w:val="auto"/>
          <w:spacing w:val="-16"/>
          <w:sz w:val="25"/>
          <w:szCs w:val="25"/>
          <w:highlight w:val="none"/>
          <w:lang w:val="en-US" w:eastAsia="zh-CN"/>
        </w:rPr>
        <w:t>签署页：</w:t>
      </w:r>
    </w:p>
    <w:tbl>
      <w:tblPr>
        <w:tblStyle w:val="12"/>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ACA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71778704">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val="en-US" w:eastAsia="zh-CN"/>
              </w:rPr>
              <w:t>凉山建工置业有限责任公司</w:t>
            </w:r>
          </w:p>
        </w:tc>
        <w:tc>
          <w:tcPr>
            <w:tcW w:w="4332" w:type="dxa"/>
            <w:tcBorders>
              <w:tl2br w:val="nil"/>
              <w:tr2bl w:val="nil"/>
            </w:tcBorders>
            <w:noWrap w:val="0"/>
            <w:vAlign w:val="top"/>
          </w:tcPr>
          <w:p w14:paraId="17C35A04">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b/>
                <w:bCs/>
                <w:i w:val="0"/>
                <w:iCs w:val="0"/>
                <w:color w:val="auto"/>
                <w:kern w:val="0"/>
                <w:sz w:val="24"/>
                <w:szCs w:val="24"/>
                <w:highlight w:val="none"/>
                <w:u w:val="none"/>
              </w:rPr>
              <w:t>乙方</w:t>
            </w:r>
            <w:r>
              <w:rPr>
                <w:rFonts w:hint="eastAsia" w:ascii="仿宋" w:hAnsi="仿宋" w:eastAsia="仿宋" w:cs="仿宋"/>
                <w:b/>
                <w:bCs/>
                <w:i w:val="0"/>
                <w:iCs w:val="0"/>
                <w:color w:val="auto"/>
                <w:kern w:val="0"/>
                <w:sz w:val="24"/>
                <w:szCs w:val="24"/>
                <w:highlight w:val="none"/>
                <w:u w:val="none"/>
                <w:lang w:eastAsia="zh-CN"/>
              </w:rPr>
              <w:t>：</w:t>
            </w:r>
            <w:r>
              <w:rPr>
                <w:rFonts w:hint="eastAsia" w:ascii="仿宋" w:hAnsi="仿宋" w:eastAsia="仿宋" w:cs="仿宋"/>
                <w:i w:val="0"/>
                <w:iCs w:val="0"/>
                <w:kern w:val="0"/>
                <w:sz w:val="24"/>
                <w:szCs w:val="24"/>
                <w:u w:val="none"/>
                <w:lang w:val="en-US" w:eastAsia="zh-CN"/>
              </w:rPr>
              <w:t>*****</w:t>
            </w:r>
          </w:p>
        </w:tc>
      </w:tr>
      <w:tr w14:paraId="0B24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5E68870">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69897D1">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法人代表（委托代理人）：</w:t>
            </w:r>
          </w:p>
        </w:tc>
      </w:tr>
      <w:tr w14:paraId="6200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59DB1A6B">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开户银行：成都农村商业银行股份有限公司凉山分行</w:t>
            </w:r>
          </w:p>
        </w:tc>
        <w:tc>
          <w:tcPr>
            <w:tcW w:w="4332" w:type="dxa"/>
            <w:tcBorders>
              <w:tl2br w:val="nil"/>
              <w:tr2bl w:val="nil"/>
            </w:tcBorders>
            <w:noWrap w:val="0"/>
            <w:vAlign w:val="top"/>
          </w:tcPr>
          <w:p w14:paraId="535D62B9">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开户银行：</w:t>
            </w:r>
            <w:r>
              <w:rPr>
                <w:rFonts w:hint="eastAsia" w:ascii="仿宋" w:hAnsi="仿宋" w:eastAsia="仿宋" w:cs="仿宋"/>
                <w:i w:val="0"/>
                <w:iCs w:val="0"/>
                <w:color w:val="auto"/>
                <w:kern w:val="0"/>
                <w:sz w:val="24"/>
                <w:szCs w:val="24"/>
                <w:highlight w:val="none"/>
                <w:lang w:val="en-US" w:eastAsia="zh-CN"/>
              </w:rPr>
              <w:t>***********</w:t>
            </w:r>
          </w:p>
        </w:tc>
      </w:tr>
      <w:tr w14:paraId="620D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48534736">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账号：1000070002543294</w:t>
            </w:r>
          </w:p>
        </w:tc>
        <w:tc>
          <w:tcPr>
            <w:tcW w:w="4332" w:type="dxa"/>
            <w:tcBorders>
              <w:tl2br w:val="nil"/>
              <w:tr2bl w:val="nil"/>
            </w:tcBorders>
            <w:noWrap w:val="0"/>
            <w:vAlign w:val="top"/>
          </w:tcPr>
          <w:p w14:paraId="73D1984A">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帐号：</w:t>
            </w:r>
            <w:r>
              <w:rPr>
                <w:rFonts w:hint="eastAsia" w:ascii="仿宋" w:hAnsi="仿宋" w:eastAsia="仿宋" w:cs="仿宋"/>
                <w:i w:val="0"/>
                <w:iCs w:val="0"/>
                <w:color w:val="auto"/>
                <w:kern w:val="0"/>
                <w:sz w:val="24"/>
                <w:szCs w:val="24"/>
                <w:highlight w:val="none"/>
                <w:lang w:val="en-US" w:eastAsia="zh-CN"/>
              </w:rPr>
              <w:t>***</w:t>
            </w:r>
          </w:p>
        </w:tc>
      </w:tr>
      <w:tr w14:paraId="7D32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1F84175E">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kern w:val="0"/>
                <w:sz w:val="24"/>
                <w:szCs w:val="24"/>
                <w:lang w:val="en-US" w:eastAsia="zh-CN"/>
              </w:rPr>
              <w:t>注册地址：越西县越城镇滨河路金域华府小区3-2-7</w:t>
            </w:r>
          </w:p>
        </w:tc>
        <w:tc>
          <w:tcPr>
            <w:tcW w:w="4332" w:type="dxa"/>
            <w:tcBorders>
              <w:tl2br w:val="nil"/>
              <w:tr2bl w:val="nil"/>
            </w:tcBorders>
            <w:noWrap w:val="0"/>
            <w:vAlign w:val="top"/>
          </w:tcPr>
          <w:p w14:paraId="5D71BDEB">
            <w:pPr>
              <w:pageBreakBefore w:val="0"/>
              <w:kinsoku/>
              <w:wordWrap/>
              <w:overflowPunct/>
              <w:topLinePunct w:val="0"/>
              <w:bidi w:val="0"/>
              <w:snapToGrid/>
              <w:spacing w:line="360" w:lineRule="auto"/>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lang w:val="en-US" w:eastAsia="zh-CN"/>
              </w:rPr>
              <w:t>注册地址：***********</w:t>
            </w:r>
          </w:p>
        </w:tc>
      </w:tr>
      <w:tr w14:paraId="5507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0A83B4D9">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color w:val="auto"/>
                <w:kern w:val="0"/>
                <w:sz w:val="24"/>
                <w:szCs w:val="24"/>
                <w:highlight w:val="none"/>
              </w:rPr>
              <w:t>签订地点：</w:t>
            </w:r>
            <w:r>
              <w:rPr>
                <w:rFonts w:hint="eastAsia" w:ascii="仿宋" w:hAnsi="仿宋" w:eastAsia="仿宋" w:cs="仿宋"/>
                <w:i w:val="0"/>
                <w:iCs w:val="0"/>
                <w:color w:val="auto"/>
                <w:kern w:val="0"/>
                <w:sz w:val="24"/>
                <w:szCs w:val="24"/>
                <w:highlight w:val="none"/>
                <w:lang w:val="en-US" w:eastAsia="zh-CN"/>
              </w:rPr>
              <w:t>西昌市</w:t>
            </w:r>
          </w:p>
        </w:tc>
      </w:tr>
      <w:tr w14:paraId="18FF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F7CE2DF">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签订日期：</w:t>
            </w:r>
            <w:r>
              <w:rPr>
                <w:rFonts w:hint="eastAsia" w:ascii="仿宋" w:hAnsi="仿宋" w:eastAsia="仿宋" w:cs="仿宋"/>
                <w:i w:val="0"/>
                <w:iCs w:val="0"/>
                <w:color w:val="auto"/>
                <w:kern w:val="0"/>
                <w:sz w:val="24"/>
                <w:szCs w:val="24"/>
                <w:highlight w:val="none"/>
                <w:lang w:val="en-US" w:eastAsia="zh-CN"/>
              </w:rPr>
              <w:t xml:space="preserve">  2026</w:t>
            </w:r>
            <w:r>
              <w:rPr>
                <w:rFonts w:hint="eastAsia" w:ascii="仿宋" w:hAnsi="仿宋" w:eastAsia="仿宋" w:cs="仿宋"/>
                <w:i w:val="0"/>
                <w:iCs w:val="0"/>
                <w:color w:val="auto"/>
                <w:kern w:val="0"/>
                <w:sz w:val="24"/>
                <w:szCs w:val="24"/>
                <w:highlight w:val="none"/>
              </w:rPr>
              <w:t>年</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月</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日</w:t>
            </w:r>
          </w:p>
        </w:tc>
      </w:tr>
    </w:tbl>
    <w:p w14:paraId="66D88D03">
      <w:pPr>
        <w:bidi w:val="0"/>
        <w:jc w:val="left"/>
        <w:rPr>
          <w:color w:val="auto"/>
          <w:highlight w:val="none"/>
          <w:lang w:val="en-US" w:eastAsia="en-US"/>
        </w:rPr>
        <w:sectPr>
          <w:pgSz w:w="11900" w:h="16830"/>
          <w:pgMar w:top="1440" w:right="1440" w:bottom="1440" w:left="1440" w:header="0" w:footer="397" w:gutter="0"/>
          <w:pgNumType w:fmt="decimal"/>
          <w:cols w:equalWidth="0" w:num="1">
            <w:col w:w="9275"/>
          </w:cols>
          <w:rtlGutter w:val="0"/>
          <w:docGrid w:linePitch="0" w:charSpace="0"/>
        </w:sectPr>
      </w:pPr>
    </w:p>
    <w:p w14:paraId="5B291133">
      <w:pPr>
        <w:spacing w:before="81" w:line="222" w:lineRule="auto"/>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附件3:</w:t>
      </w:r>
    </w:p>
    <w:p w14:paraId="2818287B">
      <w:pPr>
        <w:spacing w:before="171" w:line="222" w:lineRule="auto"/>
        <w:ind w:left="3779"/>
        <w:rPr>
          <w:rFonts w:ascii="仿宋" w:hAnsi="仿宋" w:eastAsia="仿宋" w:cs="仿宋"/>
          <w:color w:val="auto"/>
          <w:sz w:val="31"/>
          <w:szCs w:val="31"/>
          <w:highlight w:val="none"/>
        </w:rPr>
      </w:pPr>
      <w:r>
        <w:rPr>
          <w:rFonts w:ascii="仿宋" w:hAnsi="仿宋" w:eastAsia="仿宋" w:cs="仿宋"/>
          <w:color w:val="auto"/>
          <w:spacing w:val="-18"/>
          <w:sz w:val="31"/>
          <w:szCs w:val="31"/>
          <w:highlight w:val="none"/>
        </w:rPr>
        <w:t>廉</w:t>
      </w:r>
      <w:r>
        <w:rPr>
          <w:rFonts w:ascii="仿宋" w:hAnsi="仿宋" w:eastAsia="仿宋" w:cs="仿宋"/>
          <w:color w:val="auto"/>
          <w:spacing w:val="47"/>
          <w:sz w:val="31"/>
          <w:szCs w:val="31"/>
          <w:highlight w:val="none"/>
        </w:rPr>
        <w:t xml:space="preserve"> </w:t>
      </w:r>
      <w:r>
        <w:rPr>
          <w:rFonts w:ascii="仿宋" w:hAnsi="仿宋" w:eastAsia="仿宋" w:cs="仿宋"/>
          <w:color w:val="auto"/>
          <w:spacing w:val="-18"/>
          <w:sz w:val="31"/>
          <w:szCs w:val="31"/>
          <w:highlight w:val="none"/>
        </w:rPr>
        <w:t>政</w:t>
      </w:r>
      <w:r>
        <w:rPr>
          <w:rFonts w:ascii="仿宋" w:hAnsi="仿宋" w:eastAsia="仿宋" w:cs="仿宋"/>
          <w:color w:val="auto"/>
          <w:spacing w:val="55"/>
          <w:sz w:val="31"/>
          <w:szCs w:val="31"/>
          <w:highlight w:val="none"/>
        </w:rPr>
        <w:t xml:space="preserve"> </w:t>
      </w:r>
      <w:r>
        <w:rPr>
          <w:rFonts w:ascii="仿宋" w:hAnsi="仿宋" w:eastAsia="仿宋" w:cs="仿宋"/>
          <w:color w:val="auto"/>
          <w:spacing w:val="-18"/>
          <w:sz w:val="31"/>
          <w:szCs w:val="31"/>
          <w:highlight w:val="none"/>
        </w:rPr>
        <w:t>合</w:t>
      </w:r>
      <w:r>
        <w:rPr>
          <w:rFonts w:ascii="仿宋" w:hAnsi="仿宋" w:eastAsia="仿宋" w:cs="仿宋"/>
          <w:color w:val="auto"/>
          <w:spacing w:val="83"/>
          <w:sz w:val="31"/>
          <w:szCs w:val="31"/>
          <w:highlight w:val="none"/>
        </w:rPr>
        <w:t xml:space="preserve"> </w:t>
      </w:r>
      <w:r>
        <w:rPr>
          <w:rFonts w:ascii="仿宋" w:hAnsi="仿宋" w:eastAsia="仿宋" w:cs="仿宋"/>
          <w:color w:val="auto"/>
          <w:spacing w:val="-18"/>
          <w:sz w:val="31"/>
          <w:szCs w:val="31"/>
          <w:highlight w:val="none"/>
        </w:rPr>
        <w:t>同</w:t>
      </w:r>
    </w:p>
    <w:p w14:paraId="1BCB83E4">
      <w:pPr>
        <w:pStyle w:val="5"/>
        <w:spacing w:line="369" w:lineRule="auto"/>
        <w:rPr>
          <w:color w:val="auto"/>
          <w:highlight w:val="none"/>
        </w:rPr>
      </w:pPr>
    </w:p>
    <w:p w14:paraId="69F0B4A0">
      <w:pPr>
        <w:keepNext w:val="0"/>
        <w:keepLines w:val="0"/>
        <w:pageBreakBefore w:val="0"/>
        <w:widowControl/>
        <w:kinsoku/>
        <w:wordWrap/>
        <w:overflowPunct/>
        <w:topLinePunct/>
        <w:autoSpaceDE w:val="0"/>
        <w:autoSpaceDN w:val="0"/>
        <w:bidi w:val="0"/>
        <w:adjustRightInd w:val="0"/>
        <w:snapToGrid w:val="0"/>
        <w:spacing w:before="82" w:line="377" w:lineRule="auto"/>
        <w:ind w:right="98" w:firstLine="472" w:firstLineChars="200"/>
        <w:jc w:val="both"/>
        <w:textAlignment w:val="baseline"/>
        <w:rPr>
          <w:rFonts w:ascii="仿宋" w:hAnsi="仿宋" w:eastAsia="仿宋" w:cs="仿宋"/>
          <w:color w:val="auto"/>
          <w:sz w:val="25"/>
          <w:szCs w:val="25"/>
          <w:highlight w:val="none"/>
        </w:rPr>
      </w:pPr>
      <w:r>
        <w:rPr>
          <w:rFonts w:ascii="仿宋" w:hAnsi="仿宋" w:eastAsia="仿宋" w:cs="仿宋"/>
          <w:color w:val="auto"/>
          <w:spacing w:val="-7"/>
          <w:sz w:val="25"/>
          <w:szCs w:val="25"/>
          <w:highlight w:val="none"/>
        </w:rPr>
        <w:t>为做好工程建设中的党风廉政建设，保证工程建设高效优</w:t>
      </w:r>
      <w:r>
        <w:rPr>
          <w:rFonts w:ascii="仿宋" w:hAnsi="仿宋" w:eastAsia="仿宋" w:cs="仿宋"/>
          <w:color w:val="auto"/>
          <w:spacing w:val="-8"/>
          <w:sz w:val="25"/>
          <w:szCs w:val="25"/>
          <w:highlight w:val="none"/>
        </w:rPr>
        <w:t>质，保证建设资金的安</w:t>
      </w:r>
      <w:r>
        <w:rPr>
          <w:rFonts w:ascii="仿宋" w:hAnsi="仿宋" w:eastAsia="仿宋" w:cs="仿宋"/>
          <w:color w:val="auto"/>
          <w:spacing w:val="-7"/>
          <w:sz w:val="25"/>
          <w:szCs w:val="25"/>
          <w:highlight w:val="none"/>
        </w:rPr>
        <w:t>全和有效使用以及投资效益，</w:t>
      </w:r>
      <w:r>
        <w:rPr>
          <w:rFonts w:hint="eastAsia" w:ascii="仿宋" w:hAnsi="仿宋" w:eastAsia="仿宋" w:cs="仿宋"/>
          <w:b/>
          <w:bCs/>
          <w:color w:val="auto"/>
          <w:spacing w:val="-7"/>
          <w:sz w:val="25"/>
          <w:szCs w:val="25"/>
          <w:highlight w:val="none"/>
          <w:u w:val="single"/>
          <w:lang w:eastAsia="zh-CN"/>
        </w:rPr>
        <w:t>会理市城乡融合产业基础设施建设项目（一期）</w:t>
      </w:r>
      <w:r>
        <w:rPr>
          <w:rFonts w:ascii="仿宋" w:hAnsi="仿宋" w:eastAsia="仿宋" w:cs="仿宋"/>
          <w:color w:val="auto"/>
          <w:spacing w:val="-7"/>
          <w:sz w:val="25"/>
          <w:szCs w:val="25"/>
          <w:highlight w:val="none"/>
        </w:rPr>
        <w:t>的承包方</w:t>
      </w:r>
      <w:r>
        <w:rPr>
          <w:rFonts w:hint="eastAsia" w:ascii="仿宋" w:hAnsi="仿宋" w:eastAsia="仿宋" w:cs="仿宋"/>
          <w:color w:val="auto"/>
          <w:spacing w:val="-7"/>
          <w:sz w:val="25"/>
          <w:szCs w:val="25"/>
          <w:highlight w:val="none"/>
          <w:u w:val="single"/>
          <w:lang w:val="en-US" w:eastAsia="zh-CN"/>
        </w:rPr>
        <w:t>凉山建工置业有限责任公司</w:t>
      </w:r>
      <w:r>
        <w:rPr>
          <w:rFonts w:ascii="仿宋" w:hAnsi="仿宋" w:eastAsia="仿宋" w:cs="仿宋"/>
          <w:color w:val="auto"/>
          <w:spacing w:val="-7"/>
          <w:sz w:val="25"/>
          <w:szCs w:val="25"/>
          <w:highlight w:val="none"/>
        </w:rPr>
        <w:t>(以下简</w:t>
      </w:r>
      <w:r>
        <w:rPr>
          <w:rFonts w:ascii="仿宋" w:hAnsi="仿宋" w:eastAsia="仿宋" w:cs="仿宋"/>
          <w:color w:val="auto"/>
          <w:spacing w:val="1"/>
          <w:sz w:val="25"/>
          <w:szCs w:val="25"/>
          <w:highlight w:val="none"/>
        </w:rPr>
        <w:t xml:space="preserve"> </w:t>
      </w:r>
      <w:r>
        <w:rPr>
          <w:rFonts w:ascii="仿宋" w:hAnsi="仿宋" w:eastAsia="仿宋" w:cs="仿宋"/>
          <w:color w:val="auto"/>
          <w:spacing w:val="-6"/>
          <w:sz w:val="25"/>
          <w:szCs w:val="25"/>
          <w:highlight w:val="none"/>
        </w:rPr>
        <w:t>称“甲方”)与该项目的分包单</w:t>
      </w:r>
      <w:r>
        <w:rPr>
          <w:rFonts w:hint="eastAsia" w:ascii="仿宋" w:hAnsi="仿宋" w:eastAsia="仿宋" w:cs="仿宋"/>
          <w:b w:val="0"/>
          <w:bCs w:val="0"/>
          <w:color w:val="auto"/>
          <w:spacing w:val="-6"/>
          <w:sz w:val="25"/>
          <w:szCs w:val="25"/>
          <w:highlight w:val="none"/>
          <w:u w:val="single" w:color="auto"/>
          <w:lang w:val="en-US" w:eastAsia="zh-CN"/>
        </w:rPr>
        <w:t xml:space="preserve">  </w:t>
      </w:r>
      <w:r>
        <w:rPr>
          <w:rFonts w:hint="eastAsia" w:ascii="仿宋" w:hAnsi="仿宋" w:eastAsia="仿宋" w:cs="仿宋"/>
          <w:b/>
          <w:bCs/>
          <w:color w:val="auto"/>
          <w:spacing w:val="-6"/>
          <w:sz w:val="25"/>
          <w:szCs w:val="25"/>
          <w:highlight w:val="none"/>
          <w:u w:val="single" w:color="auto"/>
          <w:lang w:val="en-US" w:eastAsia="zh-CN"/>
        </w:rPr>
        <w:t>**********</w:t>
      </w:r>
      <w:r>
        <w:rPr>
          <w:rFonts w:hint="eastAsia" w:ascii="仿宋" w:hAnsi="仿宋" w:eastAsia="仿宋" w:cs="仿宋"/>
          <w:b w:val="0"/>
          <w:bCs w:val="0"/>
          <w:color w:val="auto"/>
          <w:spacing w:val="-6"/>
          <w:sz w:val="25"/>
          <w:szCs w:val="25"/>
          <w:highlight w:val="none"/>
          <w:u w:val="single" w:color="auto"/>
          <w:lang w:val="en-US" w:eastAsia="zh-CN"/>
        </w:rPr>
        <w:t xml:space="preserve">  </w:t>
      </w:r>
      <w:r>
        <w:rPr>
          <w:rFonts w:ascii="仿宋" w:hAnsi="仿宋" w:eastAsia="仿宋" w:cs="仿宋"/>
          <w:color w:val="auto"/>
          <w:spacing w:val="-6"/>
          <w:sz w:val="25"/>
          <w:szCs w:val="25"/>
          <w:highlight w:val="none"/>
        </w:rPr>
        <w:t>(以下简</w:t>
      </w:r>
      <w:r>
        <w:rPr>
          <w:rFonts w:ascii="仿宋" w:hAnsi="仿宋" w:eastAsia="仿宋" w:cs="仿宋"/>
          <w:color w:val="auto"/>
          <w:spacing w:val="-7"/>
          <w:sz w:val="25"/>
          <w:szCs w:val="25"/>
          <w:highlight w:val="none"/>
        </w:rPr>
        <w:t>称“乙方”),</w:t>
      </w:r>
      <w:r>
        <w:rPr>
          <w:rFonts w:ascii="仿宋" w:hAnsi="仿宋" w:eastAsia="仿宋" w:cs="仿宋"/>
          <w:color w:val="auto"/>
          <w:sz w:val="25"/>
          <w:szCs w:val="25"/>
          <w:highlight w:val="none"/>
        </w:rPr>
        <w:t xml:space="preserve">  </w:t>
      </w:r>
      <w:r>
        <w:rPr>
          <w:rFonts w:ascii="仿宋" w:hAnsi="仿宋" w:eastAsia="仿宋" w:cs="仿宋"/>
          <w:color w:val="auto"/>
          <w:spacing w:val="-12"/>
          <w:sz w:val="25"/>
          <w:szCs w:val="25"/>
          <w:highlight w:val="none"/>
        </w:rPr>
        <w:t>特订立如下合同。</w:t>
      </w:r>
    </w:p>
    <w:p w14:paraId="1956182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甲乙双方的权利和义务</w:t>
      </w:r>
    </w:p>
    <w:p w14:paraId="710365AA">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(1)严格遵守党的政策规定和国家有关法律法规的有关规定。</w:t>
      </w:r>
    </w:p>
    <w:p w14:paraId="279B8E3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(2)严格执行 </w:t>
      </w:r>
      <w:r>
        <w:rPr>
          <w:rFonts w:hint="eastAsia" w:ascii="仿宋" w:hAnsi="仿宋" w:eastAsia="仿宋" w:cs="仿宋"/>
          <w:b/>
          <w:bCs/>
          <w:color w:val="auto"/>
          <w:sz w:val="24"/>
          <w:szCs w:val="24"/>
          <w:highlight w:val="none"/>
          <w:u w:val="single"/>
          <w:lang w:eastAsia="zh-CN"/>
        </w:rPr>
        <w:t>会理市“天府森林四库”产业融合发展示范项目（一期）一标段房建主体劳务</w:t>
      </w:r>
      <w:r>
        <w:rPr>
          <w:rFonts w:hint="eastAsia" w:ascii="仿宋" w:hAnsi="仿宋" w:eastAsia="仿宋" w:cs="仿宋"/>
          <w:b/>
          <w:bCs/>
          <w:color w:val="auto"/>
          <w:sz w:val="24"/>
          <w:szCs w:val="24"/>
          <w:highlight w:val="none"/>
          <w:u w:val="single"/>
        </w:rPr>
        <w:t>分包合同</w:t>
      </w:r>
      <w:r>
        <w:rPr>
          <w:rFonts w:hint="eastAsia" w:ascii="仿宋" w:hAnsi="仿宋" w:eastAsia="仿宋" w:cs="仿宋"/>
          <w:color w:val="auto"/>
          <w:sz w:val="24"/>
          <w:szCs w:val="24"/>
          <w:highlight w:val="none"/>
        </w:rPr>
        <w:t>施工合同文件，自觉按合同办事。</w:t>
      </w:r>
    </w:p>
    <w:p w14:paraId="5700B19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(3)双方的业务活动坚持公开、公正、诚信、透明的原则(法律认定的商业秘密和 合同文件另有规定除外),不得损害国家和集体利益，不得违反工程建设管理规章制度。</w:t>
      </w:r>
    </w:p>
    <w:p w14:paraId="395E40C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(4)建立健全廉政制度，开展廉政教育，设立廉政告示牌，公布举报电话，监督并认真查处违法违纪行为。</w:t>
      </w:r>
    </w:p>
    <w:p w14:paraId="0CFFB39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(5)发现对方在业务活动中有违反廉政规定的行为，有及时提醒对方纠正的权利 和义务。</w:t>
      </w:r>
    </w:p>
    <w:p w14:paraId="25939B3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(6)发现对方严重违反本合同义务条款的行为，有向其上级有关部门举报、建议 给予处理并要求告知处理结果的权利。</w:t>
      </w:r>
    </w:p>
    <w:p w14:paraId="26946D3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甲方的义务</w:t>
      </w:r>
    </w:p>
    <w:p w14:paraId="61DEFFC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(1)甲方及其工作人员不得索要或接受乙方的礼金、有价证券和贵重物品，不得 让乙方报销任何应由甲方或甲方工作人员个人支付的费用等。</w:t>
      </w:r>
    </w:p>
    <w:p w14:paraId="2E6049B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(2)甲方工作人员不得参加乙方安排的超标准宴请和娱乐活动；不得接受乙方提 供的通讯工具、交通工具和高档办公用品等。</w:t>
      </w:r>
    </w:p>
    <w:p w14:paraId="1341B0E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(3)甲方及其工作人员不得要求或者接受乙方为其住房装修、婚丧嫁娶活动、配 偶子女的工作安排以及出国出境、旅游等提供方便等。</w:t>
      </w:r>
    </w:p>
    <w:p w14:paraId="36617B0C">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(4)甲方工作人员及其配偶、子女不得从事与乙方工程有关的材料设备供应、工 程分包、劳务等经济活动等。</w:t>
      </w:r>
    </w:p>
    <w:p w14:paraId="1F74E0B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(5)甲方及其工作人员不得以任何理由向乙方推荐分包单位或推销材料，不得要 求乙方购买合同规定外的材料和设备。</w:t>
      </w:r>
    </w:p>
    <w:p w14:paraId="4D520B2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(6)甲方工作人员要秉公办事，不准营私舞弊，不准利用职权从事各种个人有偿 中介活动和安排个人施工队伍。</w:t>
      </w:r>
    </w:p>
    <w:p w14:paraId="7BC1984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乙方的义务</w:t>
      </w:r>
    </w:p>
    <w:p w14:paraId="08477A80">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(1)乙方不得以任何理由向甲方及其工作人员行贿或馈赠礼金、有价证券、贵重礼品。</w:t>
      </w:r>
    </w:p>
    <w:p w14:paraId="6A93E94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(2)乙方不得以任何名义为甲方及其工作人员报销应由发包人单位或个人支付的 任何费用。</w:t>
      </w:r>
    </w:p>
    <w:p w14:paraId="04BE532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(3)乙方不得以任何理由安排甲方工作人员参加超标准宴请及娱乐活动。</w:t>
      </w:r>
    </w:p>
    <w:p w14:paraId="2D1F551C">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 xml:space="preserve">)乙方不得为甲方单位和个人购置或提供通信工具、交通工具和高档办公用品等。 </w:t>
      </w:r>
    </w:p>
    <w:p w14:paraId="5AC5740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4.违约责任</w:t>
      </w:r>
    </w:p>
    <w:p w14:paraId="740A797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(1)甲方及其工作人员违反本合同第1、2条，按管理权限，依据有关规定给予党 纪、政纪或组织处理；涉嫌犯罪的，移交司法机关追究刑事责任；给承包人单位造成经 济损失的，应予以赔偿。</w:t>
      </w:r>
    </w:p>
    <w:p w14:paraId="3D575F80">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(2)乙方及其工作人员违反本合同第1、3条，按管理权限，依据有关规定给予党 纪、政纪或组织处理；给甲方单位造成经济损失的，应予以赔偿。</w:t>
      </w:r>
    </w:p>
    <w:p w14:paraId="3CD2467F">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本合同有效期为甲方和乙方签署之日起至该工程项目竣工验收后止。</w:t>
      </w:r>
    </w:p>
    <w:p w14:paraId="4D1BC78F">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6.本合同作为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color w:val="auto"/>
          <w:sz w:val="24"/>
          <w:szCs w:val="24"/>
          <w:highlight w:val="none"/>
          <w:u w:val="single"/>
          <w:lang w:eastAsia="zh-CN"/>
        </w:rPr>
        <w:t>会理市“天府森林四库”产业融合发展示范项目（一期）一标段房建主体劳务</w:t>
      </w:r>
      <w:r>
        <w:rPr>
          <w:rFonts w:hint="eastAsia" w:ascii="仿宋" w:hAnsi="仿宋" w:eastAsia="仿宋" w:cs="仿宋"/>
          <w:b/>
          <w:bCs/>
          <w:color w:val="auto"/>
          <w:sz w:val="24"/>
          <w:szCs w:val="24"/>
          <w:highlight w:val="none"/>
          <w:u w:val="single"/>
        </w:rPr>
        <w:t>分包合同</w:t>
      </w:r>
      <w:r>
        <w:rPr>
          <w:rFonts w:hint="eastAsia" w:ascii="仿宋" w:hAnsi="仿宋" w:eastAsia="仿宋" w:cs="仿宋"/>
          <w:color w:val="auto"/>
          <w:sz w:val="24"/>
          <w:szCs w:val="24"/>
          <w:highlight w:val="none"/>
        </w:rPr>
        <w:t>施工合同的附件，与主合同具有同等的法律效力，经合同 双方签署后立即生效。</w:t>
      </w:r>
    </w:p>
    <w:p w14:paraId="533E2F7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ascii="仿宋" w:hAnsi="仿宋" w:eastAsia="仿宋" w:cs="仿宋"/>
          <w:color w:val="auto"/>
          <w:spacing w:val="-10"/>
          <w:sz w:val="25"/>
          <w:szCs w:val="25"/>
          <w:highlight w:val="none"/>
        </w:rPr>
      </w:pPr>
      <w:r>
        <w:rPr>
          <w:rFonts w:hint="eastAsia" w:ascii="仿宋" w:hAnsi="仿宋" w:eastAsia="仿宋" w:cs="仿宋"/>
          <w:color w:val="auto"/>
          <w:sz w:val="24"/>
          <w:szCs w:val="24"/>
          <w:highlight w:val="none"/>
        </w:rPr>
        <w:t>7.本合同壹式</w:t>
      </w:r>
      <w:r>
        <w:rPr>
          <w:rFonts w:hint="eastAsia" w:ascii="仿宋" w:hAnsi="仿宋" w:eastAsia="仿宋" w:cs="仿宋"/>
          <w:b/>
          <w:bCs/>
          <w:color w:val="auto"/>
          <w:sz w:val="24"/>
          <w:szCs w:val="24"/>
          <w:highlight w:val="none"/>
          <w:u w:val="single"/>
          <w:lang w:val="en-US" w:eastAsia="zh-CN"/>
        </w:rPr>
        <w:t>陆</w:t>
      </w:r>
      <w:r>
        <w:rPr>
          <w:rFonts w:hint="eastAsia" w:ascii="仿宋" w:hAnsi="仿宋" w:eastAsia="仿宋" w:cs="仿宋"/>
          <w:color w:val="auto"/>
          <w:sz w:val="24"/>
          <w:szCs w:val="24"/>
          <w:highlight w:val="none"/>
        </w:rPr>
        <w:t>份，甲方</w:t>
      </w:r>
      <w:r>
        <w:rPr>
          <w:rFonts w:hint="eastAsia" w:ascii="仿宋" w:hAnsi="仿宋" w:eastAsia="仿宋" w:cs="仿宋"/>
          <w:b/>
          <w:bCs/>
          <w:color w:val="auto"/>
          <w:sz w:val="24"/>
          <w:szCs w:val="24"/>
          <w:highlight w:val="none"/>
          <w:u w:val="single"/>
        </w:rPr>
        <w:t>肆</w:t>
      </w:r>
      <w:r>
        <w:rPr>
          <w:rFonts w:hint="eastAsia" w:ascii="仿宋" w:hAnsi="仿宋" w:eastAsia="仿宋" w:cs="仿宋"/>
          <w:color w:val="auto"/>
          <w:sz w:val="24"/>
          <w:szCs w:val="24"/>
          <w:highlight w:val="none"/>
        </w:rPr>
        <w:t>份、乙方</w:t>
      </w:r>
      <w:r>
        <w:rPr>
          <w:rFonts w:hint="eastAsia" w:ascii="仿宋" w:hAnsi="仿宋" w:eastAsia="仿宋" w:cs="仿宋"/>
          <w:b/>
          <w:bCs/>
          <w:color w:val="auto"/>
          <w:sz w:val="24"/>
          <w:szCs w:val="24"/>
          <w:highlight w:val="none"/>
          <w:u w:val="single"/>
          <w:lang w:val="en-US" w:eastAsia="zh-CN"/>
        </w:rPr>
        <w:t>贰</w:t>
      </w:r>
      <w:r>
        <w:rPr>
          <w:rFonts w:hint="eastAsia" w:ascii="仿宋" w:hAnsi="仿宋" w:eastAsia="仿宋" w:cs="仿宋"/>
          <w:color w:val="auto"/>
          <w:sz w:val="24"/>
          <w:szCs w:val="24"/>
          <w:highlight w:val="none"/>
        </w:rPr>
        <w:t>份，当正本与副本的内容不一致时，以正本为准。</w:t>
      </w: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7860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2605F8BB">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val="en-US" w:eastAsia="zh-CN"/>
              </w:rPr>
              <w:t>凉山建工置业有限责任公司</w:t>
            </w:r>
          </w:p>
        </w:tc>
        <w:tc>
          <w:tcPr>
            <w:tcW w:w="4332" w:type="dxa"/>
            <w:tcBorders>
              <w:tl2br w:val="nil"/>
              <w:tr2bl w:val="nil"/>
            </w:tcBorders>
            <w:noWrap w:val="0"/>
            <w:vAlign w:val="top"/>
          </w:tcPr>
          <w:p w14:paraId="3E696BE3">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b/>
                <w:bCs/>
                <w:i w:val="0"/>
                <w:iCs w:val="0"/>
                <w:color w:val="auto"/>
                <w:kern w:val="0"/>
                <w:sz w:val="24"/>
                <w:szCs w:val="24"/>
                <w:highlight w:val="none"/>
                <w:u w:val="none"/>
              </w:rPr>
              <w:t>乙方</w:t>
            </w:r>
            <w:r>
              <w:rPr>
                <w:rFonts w:hint="eastAsia" w:ascii="仿宋" w:hAnsi="仿宋" w:eastAsia="仿宋" w:cs="仿宋"/>
                <w:b/>
                <w:bCs/>
                <w:i w:val="0"/>
                <w:iCs w:val="0"/>
                <w:color w:val="auto"/>
                <w:kern w:val="0"/>
                <w:sz w:val="24"/>
                <w:szCs w:val="24"/>
                <w:highlight w:val="none"/>
                <w:u w:val="none"/>
                <w:lang w:eastAsia="zh-CN"/>
              </w:rPr>
              <w:t>：</w:t>
            </w:r>
            <w:r>
              <w:rPr>
                <w:rFonts w:hint="eastAsia" w:ascii="仿宋" w:hAnsi="仿宋" w:eastAsia="仿宋" w:cs="仿宋"/>
                <w:i w:val="0"/>
                <w:iCs w:val="0"/>
                <w:kern w:val="0"/>
                <w:sz w:val="24"/>
                <w:szCs w:val="24"/>
                <w:u w:val="none"/>
                <w:lang w:val="en-US" w:eastAsia="zh-CN"/>
              </w:rPr>
              <w:t>*****</w:t>
            </w:r>
          </w:p>
        </w:tc>
      </w:tr>
      <w:tr w14:paraId="7FAF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79E88E74">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FBFFEC6">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法人代表（委托代理人）：</w:t>
            </w:r>
          </w:p>
        </w:tc>
      </w:tr>
      <w:tr w14:paraId="0B06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65144454">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开户银行：成都农村商业银行股份有限公司凉山分行</w:t>
            </w:r>
          </w:p>
        </w:tc>
        <w:tc>
          <w:tcPr>
            <w:tcW w:w="4332" w:type="dxa"/>
            <w:tcBorders>
              <w:tl2br w:val="nil"/>
              <w:tr2bl w:val="nil"/>
            </w:tcBorders>
            <w:noWrap w:val="0"/>
            <w:vAlign w:val="top"/>
          </w:tcPr>
          <w:p w14:paraId="58135A8B">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开户银行：</w:t>
            </w:r>
            <w:r>
              <w:rPr>
                <w:rFonts w:hint="eastAsia" w:ascii="仿宋" w:hAnsi="仿宋" w:eastAsia="仿宋" w:cs="仿宋"/>
                <w:i w:val="0"/>
                <w:iCs w:val="0"/>
                <w:color w:val="auto"/>
                <w:kern w:val="0"/>
                <w:sz w:val="24"/>
                <w:szCs w:val="24"/>
                <w:highlight w:val="none"/>
                <w:lang w:val="en-US" w:eastAsia="zh-CN"/>
              </w:rPr>
              <w:t>***********</w:t>
            </w:r>
          </w:p>
        </w:tc>
      </w:tr>
      <w:tr w14:paraId="191D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7282AF58">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账号：1000070002543294</w:t>
            </w:r>
          </w:p>
        </w:tc>
        <w:tc>
          <w:tcPr>
            <w:tcW w:w="4332" w:type="dxa"/>
            <w:tcBorders>
              <w:tl2br w:val="nil"/>
              <w:tr2bl w:val="nil"/>
            </w:tcBorders>
            <w:noWrap w:val="0"/>
            <w:vAlign w:val="top"/>
          </w:tcPr>
          <w:p w14:paraId="5CE888E9">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帐号：</w:t>
            </w:r>
            <w:r>
              <w:rPr>
                <w:rFonts w:hint="eastAsia" w:ascii="仿宋" w:hAnsi="仿宋" w:eastAsia="仿宋" w:cs="仿宋"/>
                <w:i w:val="0"/>
                <w:iCs w:val="0"/>
                <w:color w:val="auto"/>
                <w:kern w:val="0"/>
                <w:sz w:val="24"/>
                <w:szCs w:val="24"/>
                <w:highlight w:val="none"/>
                <w:lang w:val="en-US" w:eastAsia="zh-CN"/>
              </w:rPr>
              <w:t>***</w:t>
            </w:r>
          </w:p>
        </w:tc>
      </w:tr>
      <w:tr w14:paraId="2AD0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1E6FDF6E">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kern w:val="0"/>
                <w:sz w:val="24"/>
                <w:szCs w:val="24"/>
                <w:lang w:val="en-US" w:eastAsia="zh-CN"/>
              </w:rPr>
              <w:t>注册地址：越西县越城镇滨河路金域华府小区3-2-7</w:t>
            </w:r>
          </w:p>
        </w:tc>
        <w:tc>
          <w:tcPr>
            <w:tcW w:w="4332" w:type="dxa"/>
            <w:tcBorders>
              <w:tl2br w:val="nil"/>
              <w:tr2bl w:val="nil"/>
            </w:tcBorders>
            <w:noWrap w:val="0"/>
            <w:vAlign w:val="top"/>
          </w:tcPr>
          <w:p w14:paraId="08ED60B8">
            <w:pPr>
              <w:pageBreakBefore w:val="0"/>
              <w:kinsoku/>
              <w:wordWrap/>
              <w:overflowPunct/>
              <w:topLinePunct w:val="0"/>
              <w:bidi w:val="0"/>
              <w:snapToGrid/>
              <w:spacing w:line="360" w:lineRule="auto"/>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lang w:val="en-US" w:eastAsia="zh-CN"/>
              </w:rPr>
              <w:t>注册地址：***********</w:t>
            </w:r>
          </w:p>
        </w:tc>
      </w:tr>
      <w:tr w14:paraId="41DD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31E7B7A2">
            <w:pPr>
              <w:pageBreakBefore w:val="0"/>
              <w:widowControl/>
              <w:kinsoku/>
              <w:wordWrap/>
              <w:overflowPunct/>
              <w:topLinePunct w:val="0"/>
              <w:bidi w:val="0"/>
              <w:snapToGrid/>
              <w:spacing w:line="360" w:lineRule="auto"/>
              <w:ind w:firstLine="3120" w:firstLineChars="1300"/>
              <w:jc w:val="left"/>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color w:val="auto"/>
                <w:kern w:val="0"/>
                <w:sz w:val="24"/>
                <w:szCs w:val="24"/>
                <w:highlight w:val="none"/>
              </w:rPr>
              <w:t>签订地点：</w:t>
            </w:r>
            <w:r>
              <w:rPr>
                <w:rFonts w:hint="eastAsia" w:ascii="仿宋" w:hAnsi="仿宋" w:eastAsia="仿宋" w:cs="仿宋"/>
                <w:i w:val="0"/>
                <w:iCs w:val="0"/>
                <w:color w:val="auto"/>
                <w:kern w:val="0"/>
                <w:sz w:val="24"/>
                <w:szCs w:val="24"/>
                <w:highlight w:val="none"/>
                <w:lang w:val="en-US" w:eastAsia="zh-CN"/>
              </w:rPr>
              <w:t>西昌市</w:t>
            </w:r>
          </w:p>
        </w:tc>
      </w:tr>
      <w:tr w14:paraId="29A9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277C87DF">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签订日期：</w:t>
            </w:r>
            <w:r>
              <w:rPr>
                <w:rFonts w:hint="eastAsia" w:ascii="仿宋" w:hAnsi="仿宋" w:eastAsia="仿宋" w:cs="仿宋"/>
                <w:i w:val="0"/>
                <w:iCs w:val="0"/>
                <w:color w:val="auto"/>
                <w:kern w:val="0"/>
                <w:sz w:val="24"/>
                <w:szCs w:val="24"/>
                <w:highlight w:val="none"/>
                <w:lang w:val="en-US" w:eastAsia="zh-CN"/>
              </w:rPr>
              <w:t xml:space="preserve">  2026</w:t>
            </w:r>
            <w:r>
              <w:rPr>
                <w:rFonts w:hint="eastAsia" w:ascii="仿宋" w:hAnsi="仿宋" w:eastAsia="仿宋" w:cs="仿宋"/>
                <w:i w:val="0"/>
                <w:iCs w:val="0"/>
                <w:color w:val="auto"/>
                <w:kern w:val="0"/>
                <w:sz w:val="24"/>
                <w:szCs w:val="24"/>
                <w:highlight w:val="none"/>
              </w:rPr>
              <w:t>年</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月</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日</w:t>
            </w:r>
          </w:p>
        </w:tc>
      </w:tr>
    </w:tbl>
    <w:p w14:paraId="2AF04572">
      <w:pPr>
        <w:spacing w:before="81" w:line="222" w:lineRule="auto"/>
        <w:rPr>
          <w:rFonts w:ascii="仿宋" w:hAnsi="仿宋" w:eastAsia="仿宋" w:cs="仿宋"/>
          <w:color w:val="auto"/>
          <w:spacing w:val="15"/>
          <w:sz w:val="25"/>
          <w:szCs w:val="25"/>
          <w:highlight w:val="none"/>
        </w:rPr>
      </w:pPr>
    </w:p>
    <w:p w14:paraId="4C112918">
      <w:pPr>
        <w:spacing w:before="81" w:line="222" w:lineRule="auto"/>
        <w:ind w:left="44"/>
        <w:rPr>
          <w:rFonts w:ascii="仿宋" w:hAnsi="仿宋" w:eastAsia="仿宋" w:cs="仿宋"/>
          <w:color w:val="auto"/>
          <w:spacing w:val="15"/>
          <w:sz w:val="25"/>
          <w:szCs w:val="25"/>
          <w:highlight w:val="none"/>
        </w:rPr>
      </w:pPr>
    </w:p>
    <w:p w14:paraId="65FDF094">
      <w:pPr>
        <w:spacing w:before="81" w:line="222" w:lineRule="auto"/>
        <w:ind w:left="44"/>
        <w:rPr>
          <w:rFonts w:ascii="仿宋" w:hAnsi="仿宋" w:eastAsia="仿宋" w:cs="仿宋"/>
          <w:color w:val="auto"/>
          <w:spacing w:val="15"/>
          <w:sz w:val="25"/>
          <w:szCs w:val="25"/>
          <w:highlight w:val="none"/>
        </w:rPr>
      </w:pPr>
    </w:p>
    <w:p w14:paraId="6C10A064">
      <w:pPr>
        <w:spacing w:before="81" w:line="222" w:lineRule="auto"/>
        <w:ind w:left="44"/>
        <w:rPr>
          <w:rFonts w:ascii="仿宋" w:hAnsi="仿宋" w:eastAsia="仿宋" w:cs="仿宋"/>
          <w:color w:val="auto"/>
          <w:spacing w:val="15"/>
          <w:sz w:val="25"/>
          <w:szCs w:val="25"/>
          <w:highlight w:val="none"/>
        </w:rPr>
      </w:pPr>
    </w:p>
    <w:p w14:paraId="0D0CD866">
      <w:pPr>
        <w:spacing w:before="81" w:line="222" w:lineRule="auto"/>
        <w:ind w:left="44"/>
        <w:rPr>
          <w:rFonts w:ascii="仿宋" w:hAnsi="仿宋" w:eastAsia="仿宋" w:cs="仿宋"/>
          <w:color w:val="auto"/>
          <w:spacing w:val="15"/>
          <w:sz w:val="25"/>
          <w:szCs w:val="25"/>
          <w:highlight w:val="none"/>
        </w:rPr>
      </w:pPr>
    </w:p>
    <w:p w14:paraId="7D8E8AAF">
      <w:pPr>
        <w:spacing w:before="81" w:line="222" w:lineRule="auto"/>
        <w:ind w:left="44"/>
        <w:rPr>
          <w:rFonts w:ascii="仿宋" w:hAnsi="仿宋" w:eastAsia="仿宋" w:cs="仿宋"/>
          <w:color w:val="auto"/>
          <w:spacing w:val="15"/>
          <w:sz w:val="25"/>
          <w:szCs w:val="25"/>
          <w:highlight w:val="none"/>
        </w:rPr>
      </w:pPr>
    </w:p>
    <w:p w14:paraId="72F95FBE">
      <w:pPr>
        <w:spacing w:before="81" w:line="222" w:lineRule="auto"/>
        <w:ind w:left="44"/>
        <w:rPr>
          <w:rFonts w:ascii="仿宋" w:hAnsi="仿宋" w:eastAsia="仿宋" w:cs="仿宋"/>
          <w:color w:val="auto"/>
          <w:spacing w:val="15"/>
          <w:sz w:val="25"/>
          <w:szCs w:val="25"/>
          <w:highlight w:val="none"/>
        </w:rPr>
      </w:pPr>
    </w:p>
    <w:p w14:paraId="35EA7035">
      <w:pPr>
        <w:spacing w:before="81" w:line="222" w:lineRule="auto"/>
        <w:ind w:left="44"/>
        <w:rPr>
          <w:rFonts w:ascii="仿宋" w:hAnsi="仿宋" w:eastAsia="仿宋" w:cs="仿宋"/>
          <w:color w:val="auto"/>
          <w:spacing w:val="15"/>
          <w:sz w:val="25"/>
          <w:szCs w:val="25"/>
          <w:highlight w:val="none"/>
        </w:rPr>
      </w:pPr>
    </w:p>
    <w:p w14:paraId="590D2EE7">
      <w:pPr>
        <w:spacing w:before="81" w:line="222" w:lineRule="auto"/>
        <w:ind w:left="44"/>
        <w:rPr>
          <w:rFonts w:ascii="仿宋" w:hAnsi="仿宋" w:eastAsia="仿宋" w:cs="仿宋"/>
          <w:color w:val="auto"/>
          <w:spacing w:val="15"/>
          <w:sz w:val="25"/>
          <w:szCs w:val="25"/>
          <w:highlight w:val="none"/>
        </w:rPr>
      </w:pPr>
    </w:p>
    <w:p w14:paraId="7037C82F">
      <w:pPr>
        <w:spacing w:before="81" w:line="222" w:lineRule="auto"/>
        <w:ind w:left="44"/>
        <w:rPr>
          <w:rFonts w:ascii="仿宋" w:hAnsi="仿宋" w:eastAsia="仿宋" w:cs="仿宋"/>
          <w:color w:val="auto"/>
          <w:spacing w:val="15"/>
          <w:sz w:val="25"/>
          <w:szCs w:val="25"/>
          <w:highlight w:val="none"/>
        </w:rPr>
      </w:pPr>
    </w:p>
    <w:p w14:paraId="118EA5C2">
      <w:pPr>
        <w:spacing w:before="81" w:line="222" w:lineRule="auto"/>
        <w:ind w:left="44"/>
        <w:rPr>
          <w:rFonts w:ascii="仿宋" w:hAnsi="仿宋" w:eastAsia="仿宋" w:cs="仿宋"/>
          <w:color w:val="auto"/>
          <w:spacing w:val="15"/>
          <w:sz w:val="25"/>
          <w:szCs w:val="25"/>
          <w:highlight w:val="none"/>
        </w:rPr>
      </w:pPr>
    </w:p>
    <w:p w14:paraId="3F054E92">
      <w:pPr>
        <w:spacing w:before="81" w:line="222" w:lineRule="auto"/>
        <w:ind w:left="44"/>
        <w:rPr>
          <w:rFonts w:ascii="仿宋" w:hAnsi="仿宋" w:eastAsia="仿宋" w:cs="仿宋"/>
          <w:color w:val="auto"/>
          <w:spacing w:val="15"/>
          <w:sz w:val="25"/>
          <w:szCs w:val="25"/>
          <w:highlight w:val="none"/>
        </w:rPr>
      </w:pPr>
    </w:p>
    <w:p w14:paraId="23B6BB03">
      <w:pPr>
        <w:spacing w:before="81" w:line="222" w:lineRule="auto"/>
        <w:ind w:left="44"/>
        <w:rPr>
          <w:rFonts w:ascii="仿宋" w:hAnsi="仿宋" w:eastAsia="仿宋" w:cs="仿宋"/>
          <w:color w:val="auto"/>
          <w:spacing w:val="15"/>
          <w:sz w:val="25"/>
          <w:szCs w:val="25"/>
          <w:highlight w:val="none"/>
        </w:rPr>
      </w:pPr>
    </w:p>
    <w:p w14:paraId="794C5B95">
      <w:pPr>
        <w:spacing w:before="81" w:line="222" w:lineRule="auto"/>
        <w:ind w:left="44"/>
        <w:rPr>
          <w:rFonts w:ascii="仿宋" w:hAnsi="仿宋" w:eastAsia="仿宋" w:cs="仿宋"/>
          <w:color w:val="auto"/>
          <w:spacing w:val="15"/>
          <w:sz w:val="25"/>
          <w:szCs w:val="25"/>
          <w:highlight w:val="none"/>
        </w:rPr>
      </w:pPr>
    </w:p>
    <w:p w14:paraId="2459E153">
      <w:pPr>
        <w:spacing w:before="81" w:line="222" w:lineRule="auto"/>
        <w:ind w:left="44"/>
        <w:rPr>
          <w:rFonts w:ascii="仿宋" w:hAnsi="仿宋" w:eastAsia="仿宋" w:cs="仿宋"/>
          <w:color w:val="auto"/>
          <w:spacing w:val="15"/>
          <w:sz w:val="25"/>
          <w:szCs w:val="25"/>
          <w:highlight w:val="none"/>
        </w:rPr>
      </w:pPr>
    </w:p>
    <w:p w14:paraId="2EACC476">
      <w:pPr>
        <w:spacing w:before="81" w:line="222" w:lineRule="auto"/>
        <w:ind w:left="44"/>
        <w:rPr>
          <w:rFonts w:ascii="仿宋" w:hAnsi="仿宋" w:eastAsia="仿宋" w:cs="仿宋"/>
          <w:color w:val="auto"/>
          <w:spacing w:val="15"/>
          <w:sz w:val="25"/>
          <w:szCs w:val="25"/>
          <w:highlight w:val="none"/>
        </w:rPr>
      </w:pPr>
    </w:p>
    <w:p w14:paraId="1ADE1935">
      <w:pPr>
        <w:spacing w:before="81" w:line="222" w:lineRule="auto"/>
        <w:ind w:left="44"/>
        <w:rPr>
          <w:rFonts w:ascii="仿宋" w:hAnsi="仿宋" w:eastAsia="仿宋" w:cs="仿宋"/>
          <w:color w:val="auto"/>
          <w:spacing w:val="15"/>
          <w:sz w:val="25"/>
          <w:szCs w:val="25"/>
          <w:highlight w:val="none"/>
        </w:rPr>
      </w:pPr>
    </w:p>
    <w:p w14:paraId="3D00AAF6">
      <w:pPr>
        <w:spacing w:before="81" w:line="222" w:lineRule="auto"/>
        <w:ind w:left="44"/>
        <w:rPr>
          <w:rFonts w:ascii="仿宋" w:hAnsi="仿宋" w:eastAsia="仿宋" w:cs="仿宋"/>
          <w:color w:val="auto"/>
          <w:spacing w:val="15"/>
          <w:sz w:val="25"/>
          <w:szCs w:val="25"/>
          <w:highlight w:val="none"/>
        </w:rPr>
      </w:pPr>
    </w:p>
    <w:p w14:paraId="786DAFC3">
      <w:pPr>
        <w:spacing w:before="81" w:line="222" w:lineRule="auto"/>
        <w:ind w:left="44"/>
        <w:rPr>
          <w:rFonts w:ascii="仿宋" w:hAnsi="仿宋" w:eastAsia="仿宋" w:cs="仿宋"/>
          <w:color w:val="auto"/>
          <w:spacing w:val="15"/>
          <w:sz w:val="25"/>
          <w:szCs w:val="25"/>
          <w:highlight w:val="none"/>
        </w:rPr>
      </w:pPr>
    </w:p>
    <w:p w14:paraId="16BB117D">
      <w:pPr>
        <w:spacing w:before="81" w:line="222" w:lineRule="auto"/>
        <w:ind w:left="44"/>
        <w:rPr>
          <w:rFonts w:ascii="仿宋" w:hAnsi="仿宋" w:eastAsia="仿宋" w:cs="仿宋"/>
          <w:color w:val="auto"/>
          <w:spacing w:val="15"/>
          <w:sz w:val="25"/>
          <w:szCs w:val="25"/>
          <w:highlight w:val="none"/>
        </w:rPr>
      </w:pPr>
    </w:p>
    <w:p w14:paraId="1EF14E30">
      <w:pPr>
        <w:spacing w:before="81" w:line="222" w:lineRule="auto"/>
        <w:ind w:left="44"/>
        <w:rPr>
          <w:rFonts w:ascii="仿宋" w:hAnsi="仿宋" w:eastAsia="仿宋" w:cs="仿宋"/>
          <w:color w:val="auto"/>
          <w:spacing w:val="15"/>
          <w:sz w:val="25"/>
          <w:szCs w:val="25"/>
          <w:highlight w:val="none"/>
        </w:rPr>
      </w:pPr>
    </w:p>
    <w:p w14:paraId="4A45B52C">
      <w:pPr>
        <w:spacing w:before="81" w:line="222" w:lineRule="auto"/>
        <w:ind w:left="44"/>
        <w:rPr>
          <w:rFonts w:ascii="仿宋" w:hAnsi="仿宋" w:eastAsia="仿宋" w:cs="仿宋"/>
          <w:color w:val="auto"/>
          <w:spacing w:val="15"/>
          <w:sz w:val="25"/>
          <w:szCs w:val="25"/>
          <w:highlight w:val="none"/>
        </w:rPr>
      </w:pPr>
    </w:p>
    <w:p w14:paraId="6A35000A">
      <w:pPr>
        <w:spacing w:before="81" w:line="222" w:lineRule="auto"/>
        <w:ind w:left="44"/>
        <w:rPr>
          <w:rFonts w:ascii="仿宋" w:hAnsi="仿宋" w:eastAsia="仿宋" w:cs="仿宋"/>
          <w:color w:val="auto"/>
          <w:spacing w:val="15"/>
          <w:sz w:val="25"/>
          <w:szCs w:val="25"/>
          <w:highlight w:val="none"/>
        </w:rPr>
      </w:pPr>
    </w:p>
    <w:p w14:paraId="750E2476">
      <w:pPr>
        <w:spacing w:before="81" w:line="222" w:lineRule="auto"/>
        <w:ind w:left="44"/>
        <w:rPr>
          <w:rFonts w:ascii="仿宋" w:hAnsi="仿宋" w:eastAsia="仿宋" w:cs="仿宋"/>
          <w:color w:val="auto"/>
          <w:spacing w:val="15"/>
          <w:sz w:val="25"/>
          <w:szCs w:val="25"/>
          <w:highlight w:val="none"/>
        </w:rPr>
      </w:pPr>
    </w:p>
    <w:p w14:paraId="2CA593AA">
      <w:pPr>
        <w:spacing w:before="81" w:line="222" w:lineRule="auto"/>
        <w:ind w:left="44"/>
        <w:rPr>
          <w:rFonts w:ascii="仿宋" w:hAnsi="仿宋" w:eastAsia="仿宋" w:cs="仿宋"/>
          <w:color w:val="auto"/>
          <w:spacing w:val="15"/>
          <w:sz w:val="25"/>
          <w:szCs w:val="25"/>
          <w:highlight w:val="none"/>
        </w:rPr>
      </w:pPr>
    </w:p>
    <w:p w14:paraId="280F3176">
      <w:pPr>
        <w:spacing w:before="81" w:line="222" w:lineRule="auto"/>
        <w:ind w:left="44"/>
        <w:rPr>
          <w:rFonts w:ascii="仿宋" w:hAnsi="仿宋" w:eastAsia="仿宋" w:cs="仿宋"/>
          <w:color w:val="auto"/>
          <w:spacing w:val="15"/>
          <w:sz w:val="25"/>
          <w:szCs w:val="25"/>
          <w:highlight w:val="none"/>
        </w:rPr>
      </w:pPr>
    </w:p>
    <w:p w14:paraId="25694625">
      <w:pPr>
        <w:spacing w:before="81" w:line="222" w:lineRule="auto"/>
        <w:ind w:left="44"/>
        <w:rPr>
          <w:rFonts w:ascii="仿宋" w:hAnsi="仿宋" w:eastAsia="仿宋" w:cs="仿宋"/>
          <w:color w:val="auto"/>
          <w:spacing w:val="15"/>
          <w:sz w:val="25"/>
          <w:szCs w:val="25"/>
          <w:highlight w:val="none"/>
        </w:rPr>
      </w:pPr>
    </w:p>
    <w:p w14:paraId="277169EC">
      <w:pPr>
        <w:spacing w:before="81" w:line="222" w:lineRule="auto"/>
        <w:ind w:left="44"/>
        <w:rPr>
          <w:rFonts w:ascii="仿宋" w:hAnsi="仿宋" w:eastAsia="仿宋" w:cs="仿宋"/>
          <w:color w:val="auto"/>
          <w:spacing w:val="15"/>
          <w:sz w:val="25"/>
          <w:szCs w:val="25"/>
          <w:highlight w:val="none"/>
        </w:rPr>
      </w:pPr>
    </w:p>
    <w:p w14:paraId="63EB671D">
      <w:pPr>
        <w:spacing w:before="81" w:line="222" w:lineRule="auto"/>
        <w:ind w:left="44"/>
        <w:rPr>
          <w:rFonts w:ascii="仿宋" w:hAnsi="仿宋" w:eastAsia="仿宋" w:cs="仿宋"/>
          <w:color w:val="auto"/>
          <w:spacing w:val="15"/>
          <w:sz w:val="25"/>
          <w:szCs w:val="25"/>
          <w:highlight w:val="none"/>
        </w:rPr>
      </w:pPr>
    </w:p>
    <w:p w14:paraId="217F7AF0">
      <w:pPr>
        <w:spacing w:before="81" w:line="222" w:lineRule="auto"/>
        <w:ind w:left="44"/>
        <w:rPr>
          <w:rFonts w:ascii="仿宋" w:hAnsi="仿宋" w:eastAsia="仿宋" w:cs="仿宋"/>
          <w:color w:val="auto"/>
          <w:spacing w:val="15"/>
          <w:sz w:val="25"/>
          <w:szCs w:val="25"/>
          <w:highlight w:val="none"/>
        </w:rPr>
      </w:pPr>
    </w:p>
    <w:p w14:paraId="1EE5EA09">
      <w:pPr>
        <w:spacing w:before="81" w:line="222" w:lineRule="auto"/>
        <w:ind w:left="44"/>
        <w:rPr>
          <w:rFonts w:ascii="仿宋" w:hAnsi="仿宋" w:eastAsia="仿宋" w:cs="仿宋"/>
          <w:color w:val="auto"/>
          <w:spacing w:val="15"/>
          <w:sz w:val="25"/>
          <w:szCs w:val="25"/>
          <w:highlight w:val="none"/>
        </w:rPr>
      </w:pPr>
    </w:p>
    <w:p w14:paraId="772A131B">
      <w:pPr>
        <w:spacing w:before="81" w:line="222" w:lineRule="auto"/>
        <w:ind w:left="44"/>
        <w:rPr>
          <w:rFonts w:ascii="仿宋" w:hAnsi="仿宋" w:eastAsia="仿宋" w:cs="仿宋"/>
          <w:color w:val="auto"/>
          <w:spacing w:val="15"/>
          <w:sz w:val="25"/>
          <w:szCs w:val="25"/>
          <w:highlight w:val="none"/>
        </w:rPr>
      </w:pPr>
    </w:p>
    <w:p w14:paraId="725D7624">
      <w:pPr>
        <w:spacing w:before="81" w:line="222" w:lineRule="auto"/>
        <w:ind w:left="44"/>
        <w:rPr>
          <w:rFonts w:ascii="仿宋" w:hAnsi="仿宋" w:eastAsia="仿宋" w:cs="仿宋"/>
          <w:color w:val="auto"/>
          <w:spacing w:val="15"/>
          <w:sz w:val="25"/>
          <w:szCs w:val="25"/>
          <w:highlight w:val="none"/>
        </w:rPr>
      </w:pPr>
    </w:p>
    <w:p w14:paraId="12405B8E">
      <w:pPr>
        <w:spacing w:before="81" w:line="222" w:lineRule="auto"/>
        <w:ind w:left="44"/>
        <w:rPr>
          <w:rFonts w:ascii="仿宋" w:hAnsi="仿宋" w:eastAsia="仿宋" w:cs="仿宋"/>
          <w:color w:val="auto"/>
          <w:spacing w:val="15"/>
          <w:sz w:val="25"/>
          <w:szCs w:val="25"/>
          <w:highlight w:val="none"/>
        </w:rPr>
      </w:pPr>
    </w:p>
    <w:p w14:paraId="3BAADED2">
      <w:pPr>
        <w:spacing w:before="81" w:line="222" w:lineRule="auto"/>
        <w:ind w:left="44"/>
        <w:rPr>
          <w:rFonts w:ascii="仿宋" w:hAnsi="仿宋" w:eastAsia="仿宋" w:cs="仿宋"/>
          <w:color w:val="auto"/>
          <w:spacing w:val="15"/>
          <w:sz w:val="25"/>
          <w:szCs w:val="25"/>
          <w:highlight w:val="none"/>
        </w:rPr>
      </w:pPr>
    </w:p>
    <w:p w14:paraId="427F221B">
      <w:pPr>
        <w:spacing w:before="81" w:line="222" w:lineRule="auto"/>
        <w:ind w:left="44"/>
        <w:rPr>
          <w:rFonts w:ascii="仿宋" w:hAnsi="仿宋" w:eastAsia="仿宋" w:cs="仿宋"/>
          <w:color w:val="auto"/>
          <w:spacing w:val="15"/>
          <w:sz w:val="25"/>
          <w:szCs w:val="25"/>
          <w:highlight w:val="none"/>
        </w:rPr>
      </w:pPr>
    </w:p>
    <w:p w14:paraId="7DA39C6B">
      <w:pPr>
        <w:spacing w:before="81" w:line="222" w:lineRule="auto"/>
        <w:ind w:left="44"/>
        <w:rPr>
          <w:rFonts w:ascii="仿宋" w:hAnsi="仿宋" w:eastAsia="仿宋" w:cs="仿宋"/>
          <w:color w:val="auto"/>
          <w:sz w:val="25"/>
          <w:szCs w:val="25"/>
          <w:highlight w:val="none"/>
        </w:rPr>
      </w:pPr>
      <w:r>
        <w:rPr>
          <w:rFonts w:ascii="仿宋" w:hAnsi="仿宋" w:eastAsia="仿宋" w:cs="仿宋"/>
          <w:color w:val="auto"/>
          <w:spacing w:val="15"/>
          <w:sz w:val="25"/>
          <w:szCs w:val="25"/>
          <w:highlight w:val="none"/>
        </w:rPr>
        <w:t>附件4:</w:t>
      </w:r>
    </w:p>
    <w:p w14:paraId="5C90D2ED">
      <w:pPr>
        <w:spacing w:before="148" w:line="221" w:lineRule="auto"/>
        <w:ind w:left="2365"/>
        <w:outlineLvl w:val="2"/>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rPr>
        <w:t>农民工工资支付保障承诺书</w:t>
      </w:r>
    </w:p>
    <w:p w14:paraId="7A011FE8">
      <w:pPr>
        <w:spacing w:before="197" w:line="222" w:lineRule="auto"/>
        <w:ind w:left="674"/>
        <w:rPr>
          <w:rFonts w:ascii="仿宋" w:hAnsi="仿宋" w:eastAsia="仿宋" w:cs="仿宋"/>
          <w:color w:val="auto"/>
          <w:spacing w:val="-39"/>
          <w:sz w:val="25"/>
          <w:szCs w:val="25"/>
          <w:highlight w:val="none"/>
        </w:rPr>
      </w:pPr>
    </w:p>
    <w:p w14:paraId="68CBAB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致：</w:t>
      </w:r>
      <w:r>
        <w:rPr>
          <w:rFonts w:hint="eastAsia" w:ascii="仿宋" w:hAnsi="仿宋" w:eastAsia="仿宋" w:cs="仿宋"/>
          <w:color w:val="auto"/>
          <w:sz w:val="24"/>
          <w:szCs w:val="24"/>
          <w:highlight w:val="none"/>
          <w:u w:val="single"/>
          <w:lang w:eastAsia="zh-CN"/>
        </w:rPr>
        <w:t>凉山建工置业有限责任公司</w:t>
      </w:r>
      <w:r>
        <w:rPr>
          <w:rFonts w:hint="eastAsia" w:ascii="仿宋" w:hAnsi="仿宋" w:eastAsia="仿宋" w:cs="仿宋"/>
          <w:color w:val="auto"/>
          <w:sz w:val="24"/>
          <w:szCs w:val="24"/>
          <w:highlight w:val="none"/>
          <w:u w:val="single"/>
          <w:lang w:val="en-US" w:eastAsia="zh-CN"/>
        </w:rPr>
        <w:t>：</w:t>
      </w:r>
    </w:p>
    <w:p w14:paraId="09C970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为切实维护保护农民工的合法权益，确保社会和企业稳定，不拖欠农民工工资，本公司郑重承诺：</w:t>
      </w:r>
    </w:p>
    <w:p w14:paraId="466A29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1、按照劳动保障法律法规规定使用农民工。</w:t>
      </w:r>
    </w:p>
    <w:p w14:paraId="278C2B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2、将公司自有资金以及本项目所有结算资金(包含应支付的进度款、工资 等)作为本项目农民工工资的资金来源，优先保证农民工工资及时、足额发放；</w:t>
      </w:r>
    </w:p>
    <w:p w14:paraId="0DFEEA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经我司签字盖章的工资表真实有效(包含但不限于表格形式、现场负责人和班组长签字认可、农民工本人签字、身份证号、身份证复印件、影像),不以虚列人员及工资等方式套取民工工资，不挪用本项目工程款；</w:t>
      </w:r>
    </w:p>
    <w:p w14:paraId="0813C4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4、如果发生违反规定拖欠或克扣农民工工资行为，造成农民工罢工、上访 和恶意讨薪事件发生的，贵部有权使用本公司所有应付资金进行处理，不足部分本公司愿意全额承担；同时，本公司愿意按照合同和相关法律法规约定，接受贵部以及人力资源社会保障、劳动监察等主管部门作出的处理和处罚决定。</w:t>
      </w:r>
    </w:p>
    <w:p w14:paraId="5C70B8DD">
      <w:pPr>
        <w:pStyle w:val="5"/>
        <w:spacing w:line="261" w:lineRule="auto"/>
        <w:rPr>
          <w:color w:val="auto"/>
          <w:highlight w:val="none"/>
        </w:rPr>
      </w:pPr>
    </w:p>
    <w:p w14:paraId="4BA27546">
      <w:pPr>
        <w:pStyle w:val="5"/>
        <w:spacing w:line="261" w:lineRule="auto"/>
        <w:rPr>
          <w:color w:val="auto"/>
          <w:highlight w:val="none"/>
        </w:rPr>
      </w:pPr>
    </w:p>
    <w:p w14:paraId="3E01E886">
      <w:pPr>
        <w:pStyle w:val="5"/>
        <w:spacing w:line="261" w:lineRule="auto"/>
        <w:rPr>
          <w:color w:val="auto"/>
          <w:highlight w:val="none"/>
        </w:rPr>
      </w:pPr>
    </w:p>
    <w:p w14:paraId="4CF98652">
      <w:pPr>
        <w:pStyle w:val="5"/>
        <w:spacing w:line="262" w:lineRule="auto"/>
        <w:rPr>
          <w:color w:val="auto"/>
          <w:highlight w:val="none"/>
        </w:rPr>
      </w:pPr>
    </w:p>
    <w:p w14:paraId="7A16A0CC">
      <w:pPr>
        <w:spacing w:before="81" w:line="221" w:lineRule="auto"/>
        <w:ind w:left="5494"/>
        <w:rPr>
          <w:rFonts w:hint="eastAsia" w:ascii="仿宋" w:hAnsi="仿宋" w:eastAsia="仿宋" w:cs="仿宋"/>
          <w:color w:val="auto"/>
          <w:sz w:val="25"/>
          <w:szCs w:val="25"/>
          <w:highlight w:val="none"/>
          <w:lang w:eastAsia="zh-CN"/>
        </w:rPr>
      </w:pPr>
      <w:r>
        <w:rPr>
          <w:rFonts w:ascii="仿宋" w:hAnsi="仿宋" w:eastAsia="仿宋" w:cs="仿宋"/>
          <w:color w:val="auto"/>
          <w:spacing w:val="21"/>
          <w:sz w:val="25"/>
          <w:szCs w:val="25"/>
          <w:highlight w:val="none"/>
        </w:rPr>
        <w:t>承诺单位</w:t>
      </w:r>
      <w:r>
        <w:rPr>
          <w:rFonts w:hint="eastAsia" w:ascii="仿宋" w:hAnsi="仿宋" w:eastAsia="仿宋" w:cs="仿宋"/>
          <w:color w:val="auto"/>
          <w:spacing w:val="21"/>
          <w:sz w:val="25"/>
          <w:szCs w:val="25"/>
          <w:highlight w:val="none"/>
          <w:lang w:eastAsia="zh-CN"/>
        </w:rPr>
        <w:t>：</w:t>
      </w:r>
    </w:p>
    <w:p w14:paraId="2DC91C05">
      <w:pPr>
        <w:spacing w:before="174" w:line="223" w:lineRule="auto"/>
        <w:ind w:left="5494"/>
        <w:rPr>
          <w:rFonts w:hint="eastAsia" w:ascii="仿宋" w:hAnsi="仿宋" w:eastAsia="仿宋" w:cs="仿宋"/>
          <w:color w:val="auto"/>
          <w:sz w:val="25"/>
          <w:szCs w:val="25"/>
          <w:highlight w:val="none"/>
          <w:lang w:eastAsia="zh-CN"/>
        </w:rPr>
      </w:pPr>
      <w:r>
        <w:rPr>
          <w:rFonts w:ascii="仿宋" w:hAnsi="仿宋" w:eastAsia="仿宋" w:cs="仿宋"/>
          <w:color w:val="auto"/>
          <w:spacing w:val="22"/>
          <w:sz w:val="25"/>
          <w:szCs w:val="25"/>
          <w:highlight w:val="none"/>
        </w:rPr>
        <w:t>法定代表</w:t>
      </w:r>
      <w:r>
        <w:rPr>
          <w:rFonts w:hint="eastAsia" w:ascii="仿宋" w:hAnsi="仿宋" w:eastAsia="仿宋" w:cs="仿宋"/>
          <w:color w:val="auto"/>
          <w:spacing w:val="22"/>
          <w:sz w:val="25"/>
          <w:szCs w:val="25"/>
          <w:highlight w:val="none"/>
          <w:lang w:eastAsia="zh-CN"/>
        </w:rPr>
        <w:t>：</w:t>
      </w:r>
    </w:p>
    <w:p w14:paraId="66B0F993">
      <w:pPr>
        <w:spacing w:before="207" w:line="223" w:lineRule="auto"/>
        <w:ind w:firstLine="4720" w:firstLineChars="2000"/>
        <w:rPr>
          <w:rFonts w:hint="eastAsia" w:ascii="仿宋" w:hAnsi="仿宋" w:eastAsia="仿宋" w:cs="仿宋"/>
          <w:color w:val="auto"/>
          <w:spacing w:val="8"/>
          <w:sz w:val="22"/>
          <w:szCs w:val="22"/>
          <w:highlight w:val="none"/>
          <w:lang w:val="en-US" w:eastAsia="zh-CN"/>
        </w:rPr>
      </w:pPr>
      <w:r>
        <w:rPr>
          <w:rFonts w:ascii="仿宋" w:hAnsi="仿宋" w:eastAsia="仿宋" w:cs="仿宋"/>
          <w:color w:val="auto"/>
          <w:spacing w:val="8"/>
          <w:sz w:val="22"/>
          <w:szCs w:val="22"/>
          <w:highlight w:val="none"/>
        </w:rPr>
        <w:t>时间</w:t>
      </w:r>
      <w:r>
        <w:rPr>
          <w:rFonts w:hint="eastAsia" w:ascii="仿宋" w:hAnsi="仿宋" w:eastAsia="仿宋" w:cs="仿宋"/>
          <w:color w:val="auto"/>
          <w:spacing w:val="8"/>
          <w:sz w:val="22"/>
          <w:szCs w:val="22"/>
          <w:highlight w:val="none"/>
          <w:lang w:eastAsia="zh-CN"/>
        </w:rPr>
        <w:t>：</w:t>
      </w:r>
      <w:r>
        <w:rPr>
          <w:rFonts w:hint="eastAsia" w:ascii="仿宋" w:hAnsi="仿宋" w:eastAsia="仿宋" w:cs="仿宋"/>
          <w:color w:val="auto"/>
          <w:spacing w:val="8"/>
          <w:sz w:val="22"/>
          <w:szCs w:val="22"/>
          <w:highlight w:val="none"/>
          <w:lang w:val="en-US" w:eastAsia="zh-CN"/>
        </w:rPr>
        <w:t xml:space="preserve"> 2026  年  ** 月 ** 日</w:t>
      </w:r>
    </w:p>
    <w:p w14:paraId="5649D776">
      <w:pPr>
        <w:bidi w:val="0"/>
        <w:rPr>
          <w:rFonts w:ascii="Arial" w:hAnsi="Arial" w:eastAsia="Arial" w:cs="Arial"/>
          <w:snapToGrid w:val="0"/>
          <w:color w:val="auto"/>
          <w:kern w:val="0"/>
          <w:sz w:val="21"/>
          <w:szCs w:val="21"/>
          <w:highlight w:val="none"/>
          <w:lang w:val="en-US" w:eastAsia="en-US" w:bidi="ar-SA"/>
        </w:rPr>
      </w:pPr>
    </w:p>
    <w:p w14:paraId="71AD90B9">
      <w:pPr>
        <w:bidi w:val="0"/>
        <w:rPr>
          <w:color w:val="auto"/>
          <w:highlight w:val="none"/>
          <w:lang w:val="en-US" w:eastAsia="en-US"/>
        </w:rPr>
      </w:pPr>
    </w:p>
    <w:p w14:paraId="7E018292">
      <w:pPr>
        <w:bidi w:val="0"/>
        <w:rPr>
          <w:color w:val="auto"/>
          <w:highlight w:val="none"/>
          <w:lang w:val="en-US" w:eastAsia="en-US"/>
        </w:rPr>
      </w:pPr>
    </w:p>
    <w:p w14:paraId="04883636">
      <w:pPr>
        <w:bidi w:val="0"/>
        <w:rPr>
          <w:color w:val="auto"/>
          <w:highlight w:val="none"/>
          <w:lang w:val="en-US" w:eastAsia="en-US"/>
        </w:rPr>
      </w:pPr>
    </w:p>
    <w:p w14:paraId="6D70616F">
      <w:pPr>
        <w:bidi w:val="0"/>
        <w:rPr>
          <w:color w:val="auto"/>
          <w:highlight w:val="none"/>
          <w:lang w:val="en-US" w:eastAsia="en-US"/>
        </w:rPr>
      </w:pPr>
    </w:p>
    <w:p w14:paraId="75E75C89">
      <w:pPr>
        <w:bidi w:val="0"/>
        <w:rPr>
          <w:color w:val="auto"/>
          <w:highlight w:val="none"/>
          <w:lang w:val="en-US" w:eastAsia="en-US"/>
        </w:rPr>
      </w:pPr>
    </w:p>
    <w:p w14:paraId="7F55C79D">
      <w:pPr>
        <w:bidi w:val="0"/>
        <w:rPr>
          <w:color w:val="auto"/>
          <w:highlight w:val="none"/>
          <w:lang w:val="en-US" w:eastAsia="en-US"/>
        </w:rPr>
      </w:pPr>
    </w:p>
    <w:p w14:paraId="0A7FC40D">
      <w:pPr>
        <w:bidi w:val="0"/>
        <w:rPr>
          <w:color w:val="auto"/>
          <w:highlight w:val="none"/>
          <w:lang w:val="en-US" w:eastAsia="en-US"/>
        </w:rPr>
      </w:pPr>
    </w:p>
    <w:p w14:paraId="592EBF3D">
      <w:pPr>
        <w:bidi w:val="0"/>
        <w:rPr>
          <w:color w:val="auto"/>
          <w:highlight w:val="none"/>
          <w:lang w:val="en-US" w:eastAsia="en-US"/>
        </w:rPr>
      </w:pPr>
    </w:p>
    <w:p w14:paraId="31E939E3">
      <w:pPr>
        <w:bidi w:val="0"/>
        <w:rPr>
          <w:color w:val="auto"/>
          <w:highlight w:val="none"/>
          <w:lang w:val="en-US" w:eastAsia="en-US"/>
        </w:rPr>
      </w:pPr>
    </w:p>
    <w:p w14:paraId="46F3C291">
      <w:pPr>
        <w:bidi w:val="0"/>
        <w:rPr>
          <w:color w:val="auto"/>
          <w:highlight w:val="none"/>
          <w:lang w:val="en-US" w:eastAsia="en-US"/>
        </w:rPr>
      </w:pPr>
    </w:p>
    <w:p w14:paraId="2362C3EE">
      <w:pPr>
        <w:bidi w:val="0"/>
        <w:rPr>
          <w:color w:val="auto"/>
          <w:highlight w:val="none"/>
          <w:lang w:val="en-US" w:eastAsia="en-US"/>
        </w:rPr>
      </w:pPr>
    </w:p>
    <w:p w14:paraId="6F36C455">
      <w:pPr>
        <w:bidi w:val="0"/>
        <w:jc w:val="left"/>
        <w:rPr>
          <w:color w:val="auto"/>
          <w:highlight w:val="none"/>
          <w:lang w:val="en-US" w:eastAsia="en-US"/>
        </w:rPr>
      </w:pPr>
    </w:p>
    <w:p w14:paraId="1AC0E7EB">
      <w:pPr>
        <w:spacing w:before="81" w:line="222" w:lineRule="auto"/>
        <w:ind w:left="44"/>
        <w:rPr>
          <w:rFonts w:hint="eastAsia" w:ascii="仿宋" w:hAnsi="仿宋" w:eastAsia="仿宋" w:cs="仿宋"/>
          <w:color w:val="auto"/>
          <w:spacing w:val="15"/>
          <w:sz w:val="25"/>
          <w:szCs w:val="25"/>
          <w:highlight w:val="none"/>
          <w:lang w:val="en-US" w:eastAsia="zh-CN"/>
        </w:rPr>
      </w:pPr>
      <w:bookmarkStart w:id="46" w:name="_Toc693"/>
    </w:p>
    <w:p w14:paraId="150BCB48">
      <w:pPr>
        <w:spacing w:before="81" w:line="222" w:lineRule="auto"/>
        <w:rPr>
          <w:rFonts w:hint="eastAsia" w:ascii="仿宋" w:hAnsi="仿宋" w:eastAsia="仿宋" w:cs="仿宋"/>
          <w:color w:val="auto"/>
          <w:spacing w:val="15"/>
          <w:sz w:val="25"/>
          <w:szCs w:val="25"/>
          <w:highlight w:val="none"/>
          <w:lang w:val="en-US" w:eastAsia="zh-CN"/>
        </w:rPr>
      </w:pPr>
    </w:p>
    <w:p w14:paraId="7875B81E">
      <w:pPr>
        <w:spacing w:before="81" w:line="222" w:lineRule="auto"/>
        <w:ind w:left="44"/>
        <w:rPr>
          <w:rFonts w:hint="default" w:ascii="仿宋" w:hAnsi="仿宋" w:eastAsia="仿宋" w:cs="仿宋"/>
          <w:color w:val="auto"/>
          <w:spacing w:val="15"/>
          <w:sz w:val="25"/>
          <w:szCs w:val="25"/>
          <w:highlight w:val="none"/>
          <w:lang w:val="en-US" w:eastAsia="zh-CN"/>
        </w:rPr>
      </w:pPr>
      <w:r>
        <w:rPr>
          <w:rFonts w:hint="eastAsia" w:ascii="仿宋" w:hAnsi="仿宋" w:eastAsia="仿宋" w:cs="仿宋"/>
          <w:color w:val="auto"/>
          <w:spacing w:val="15"/>
          <w:sz w:val="25"/>
          <w:szCs w:val="25"/>
          <w:highlight w:val="none"/>
          <w:lang w:val="en-US" w:eastAsia="zh-CN"/>
        </w:rPr>
        <w:t>附件5  法人授权书</w:t>
      </w:r>
      <w:bookmarkEnd w:id="46"/>
    </w:p>
    <w:p w14:paraId="7F445E7A">
      <w:pPr>
        <w:pStyle w:val="2"/>
        <w:spacing w:before="360" w:after="360"/>
        <w:jc w:val="center"/>
        <w:outlineLvl w:val="0"/>
        <w:rPr>
          <w:rFonts w:hint="eastAsia" w:eastAsia="仿宋"/>
          <w:color w:val="auto"/>
          <w:sz w:val="32"/>
          <w:szCs w:val="22"/>
          <w:highlight w:val="none"/>
        </w:rPr>
      </w:pPr>
      <w:bookmarkStart w:id="47" w:name="_Toc7837"/>
      <w:r>
        <w:rPr>
          <w:rFonts w:hint="default" w:ascii="Cambria" w:hAnsi="Cambria" w:eastAsia="仿宋"/>
          <w:color w:val="auto"/>
          <w:sz w:val="32"/>
          <w:szCs w:val="22"/>
          <w:highlight w:val="none"/>
        </w:rPr>
        <w:t>授权委托书</w:t>
      </w:r>
      <w:bookmarkEnd w:id="47"/>
    </w:p>
    <w:p w14:paraId="2D5C860F">
      <w:pPr>
        <w:adjustRightInd w:val="0"/>
        <w:snapToGrid w:val="0"/>
        <w:spacing w:line="360" w:lineRule="auto"/>
        <w:ind w:right="0" w:right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凉山建工置业有限责任公司</w:t>
      </w:r>
      <w:r>
        <w:rPr>
          <w:rFonts w:hint="eastAsia" w:ascii="仿宋" w:hAnsi="仿宋" w:eastAsia="仿宋" w:cs="仿宋"/>
          <w:color w:val="auto"/>
          <w:sz w:val="24"/>
          <w:highlight w:val="none"/>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现委托人委托受托人：</w:t>
      </w:r>
      <w:r>
        <w:rPr>
          <w:rFonts w:hint="eastAsia" w:ascii="仿宋" w:hAnsi="仿宋" w:eastAsia="仿宋" w:cs="仿宋"/>
          <w:sz w:val="24"/>
          <w:u w:val="single"/>
          <w:lang w:val="en-US" w:eastAsia="zh-CN"/>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身份证号码</w:t>
      </w:r>
      <w:r>
        <w:rPr>
          <w:rFonts w:hint="eastAsia" w:ascii="仿宋" w:hAnsi="仿宋" w:eastAsia="仿宋" w:cs="仿宋"/>
          <w:sz w:val="24"/>
          <w:u w:val="singl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sz w:val="24"/>
          <w:u w:val="single"/>
          <w:lang w:val="en-US" w:eastAsia="zh-CN"/>
        </w:rPr>
        <w:t>）</w:t>
      </w:r>
      <w:r>
        <w:rPr>
          <w:rFonts w:hint="eastAsia" w:ascii="仿宋" w:hAnsi="仿宋" w:eastAsia="仿宋" w:cs="仿宋"/>
          <w:sz w:val="24"/>
          <w:lang w:val="en-US" w:eastAsia="zh-CN"/>
        </w:rPr>
        <w:t xml:space="preserve"> </w:t>
      </w:r>
      <w:r>
        <w:rPr>
          <w:rFonts w:hint="eastAsia" w:ascii="仿宋" w:hAnsi="仿宋" w:eastAsia="仿宋" w:cs="仿宋"/>
          <w:sz w:val="24"/>
        </w:rPr>
        <w:t>代理</w:t>
      </w:r>
      <w:r>
        <w:rPr>
          <w:rFonts w:hint="eastAsia" w:ascii="仿宋" w:hAnsi="仿宋" w:eastAsia="仿宋" w:cs="仿宋"/>
          <w:sz w:val="24"/>
          <w:lang w:eastAsia="zh-CN"/>
        </w:rPr>
        <w:t>、</w:t>
      </w:r>
      <w:r>
        <w:rPr>
          <w:rFonts w:hint="eastAsia" w:ascii="仿宋" w:hAnsi="仿宋" w:eastAsia="仿宋" w:cs="仿宋"/>
          <w:sz w:val="24"/>
          <w:lang w:val="en-US" w:eastAsia="zh-CN"/>
        </w:rPr>
        <w:t>代表委托人全权决策、处理、执行、履行</w:t>
      </w:r>
      <w:r>
        <w:rPr>
          <w:rFonts w:hint="eastAsia" w:ascii="仿宋" w:hAnsi="仿宋" w:eastAsia="仿宋" w:cs="仿宋"/>
          <w:sz w:val="24"/>
          <w:u w:val="none"/>
          <w:lang w:val="en-US" w:eastAsia="zh-CN"/>
        </w:rPr>
        <w:t>与贵公司所签订的《</w:t>
      </w:r>
      <w:r>
        <w:rPr>
          <w:rFonts w:hint="eastAsia" w:ascii="仿宋" w:hAnsi="仿宋" w:eastAsia="仿宋" w:cs="仿宋"/>
          <w:b/>
          <w:bCs/>
          <w:color w:val="auto"/>
          <w:sz w:val="24"/>
          <w:szCs w:val="24"/>
          <w:highlight w:val="none"/>
          <w:u w:val="single"/>
          <w:lang w:eastAsia="zh-CN"/>
        </w:rPr>
        <w:t>会理市“天府森林四库”产业融合发展示范项目（一期）一标段房建主体劳务</w:t>
      </w:r>
      <w:r>
        <w:rPr>
          <w:rFonts w:hint="eastAsia" w:ascii="仿宋" w:hAnsi="仿宋" w:eastAsia="仿宋" w:cs="仿宋"/>
          <w:b/>
          <w:bCs/>
          <w:color w:val="auto"/>
          <w:sz w:val="24"/>
          <w:szCs w:val="24"/>
          <w:highlight w:val="none"/>
          <w:u w:val="single"/>
        </w:rPr>
        <w:t>分包</w:t>
      </w:r>
      <w:r>
        <w:rPr>
          <w:rFonts w:hint="eastAsia" w:ascii="仿宋" w:hAnsi="仿宋" w:eastAsia="仿宋" w:cs="仿宋"/>
          <w:sz w:val="24"/>
          <w:u w:val="none"/>
          <w:lang w:val="en-US" w:eastAsia="zh-CN"/>
        </w:rPr>
        <w:t>》合同（以下简称上述合同）的全部事宜及上述合同项目现场管理全部</w:t>
      </w:r>
      <w:r>
        <w:rPr>
          <w:rFonts w:hint="eastAsia" w:ascii="仿宋" w:hAnsi="仿宋" w:eastAsia="仿宋" w:cs="仿宋"/>
          <w:sz w:val="24"/>
        </w:rPr>
        <w:t>事宜</w:t>
      </w:r>
      <w:r>
        <w:rPr>
          <w:rFonts w:hint="eastAsia" w:ascii="仿宋" w:hAnsi="仿宋" w:eastAsia="仿宋" w:cs="仿宋"/>
          <w:sz w:val="24"/>
          <w:lang w:eastAsia="zh-CN"/>
        </w:rPr>
        <w:t>；</w:t>
      </w:r>
      <w:r>
        <w:rPr>
          <w:rFonts w:hint="eastAsia" w:ascii="仿宋" w:hAnsi="仿宋" w:eastAsia="仿宋" w:cs="仿宋"/>
          <w:sz w:val="24"/>
          <w:lang w:val="en-US" w:eastAsia="zh-CN"/>
        </w:rPr>
        <w:t>受托人对上述合同的履行及项目现场管理进行全权决策、执行，</w:t>
      </w:r>
      <w:r>
        <w:rPr>
          <w:rFonts w:hint="default" w:ascii="仿宋" w:hAnsi="仿宋" w:eastAsia="仿宋" w:cs="仿宋"/>
          <w:sz w:val="24"/>
          <w:lang w:val="en-US" w:eastAsia="zh-CN"/>
        </w:rPr>
        <w:t>对</w:t>
      </w:r>
      <w:r>
        <w:rPr>
          <w:rFonts w:hint="eastAsia" w:ascii="仿宋" w:hAnsi="仿宋" w:eastAsia="仿宋" w:cs="仿宋"/>
          <w:sz w:val="24"/>
          <w:lang w:val="en-US" w:eastAsia="zh-CN"/>
        </w:rPr>
        <w:t>项目</w:t>
      </w:r>
      <w:r>
        <w:rPr>
          <w:rFonts w:hint="default" w:ascii="仿宋" w:hAnsi="仿宋" w:eastAsia="仿宋" w:cs="仿宋"/>
          <w:sz w:val="24"/>
          <w:lang w:val="en-US" w:eastAsia="zh-CN"/>
        </w:rPr>
        <w:t>工程质量、安全、进度、成本</w:t>
      </w:r>
      <w:r>
        <w:rPr>
          <w:rFonts w:hint="eastAsia" w:ascii="仿宋" w:hAnsi="仿宋" w:eastAsia="仿宋" w:cs="仿宋"/>
          <w:sz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具体委托事项及范围：</w:t>
      </w:r>
    </w:p>
    <w:p w14:paraId="066C0428">
      <w:pPr>
        <w:pageBreakBefore w:val="0"/>
        <w:widowControl w:val="0"/>
        <w:numPr>
          <w:ilvl w:val="0"/>
          <w:numId w:val="4"/>
        </w:numPr>
        <w:kinsoku/>
        <w:wordWrap/>
        <w:overflowPunct/>
        <w:topLinePunct w:val="0"/>
        <w:autoSpaceDE/>
        <w:autoSpaceDN/>
        <w:bidi w:val="0"/>
        <w:adjustRightInd w:val="0"/>
        <w:snapToGrid w:val="0"/>
        <w:spacing w:line="420" w:lineRule="exact"/>
        <w:ind w:left="549" w:leftChars="0" w:firstLine="0" w:firstLineChars="0"/>
        <w:textAlignment w:val="auto"/>
        <w:rPr>
          <w:rFonts w:hint="default" w:ascii="仿宋" w:hAnsi="仿宋" w:eastAsia="仿宋" w:cs="仿宋"/>
          <w:sz w:val="24"/>
          <w:lang w:val="en-US" w:eastAsia="zh-CN"/>
        </w:rPr>
      </w:pPr>
      <w:r>
        <w:rPr>
          <w:rFonts w:hint="default" w:ascii="仿宋" w:hAnsi="仿宋" w:eastAsia="仿宋" w:cs="仿宋"/>
          <w:sz w:val="24"/>
          <w:lang w:val="en-US" w:eastAsia="zh-CN"/>
        </w:rPr>
        <w:t>施工组织实施：全面负责现场人、机、料、</w:t>
      </w:r>
      <w:r>
        <w:rPr>
          <w:rFonts w:hint="eastAsia" w:ascii="仿宋" w:hAnsi="仿宋" w:eastAsia="仿宋" w:cs="仿宋"/>
          <w:sz w:val="24"/>
          <w:lang w:val="en-US" w:eastAsia="zh-CN"/>
        </w:rPr>
        <w:t>资金</w:t>
      </w:r>
      <w:r>
        <w:rPr>
          <w:rFonts w:hint="default" w:ascii="仿宋" w:hAnsi="仿宋" w:eastAsia="仿宋" w:cs="仿宋"/>
          <w:sz w:val="24"/>
          <w:lang w:val="en-US" w:eastAsia="zh-CN"/>
        </w:rPr>
        <w:t>、环</w:t>
      </w:r>
      <w:r>
        <w:rPr>
          <w:rFonts w:hint="eastAsia" w:ascii="仿宋" w:hAnsi="仿宋" w:eastAsia="仿宋" w:cs="仿宋"/>
          <w:sz w:val="24"/>
          <w:lang w:val="en-US" w:eastAsia="zh-CN"/>
        </w:rPr>
        <w:t>保</w:t>
      </w:r>
      <w:r>
        <w:rPr>
          <w:rFonts w:hint="default" w:ascii="仿宋" w:hAnsi="仿宋" w:eastAsia="仿宋" w:cs="仿宋"/>
          <w:sz w:val="24"/>
          <w:lang w:val="en-US" w:eastAsia="zh-CN"/>
        </w:rPr>
        <w:t>的组织与管理，确保按图施工、符合规范。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2. 质量安全第一责任：落实质量安全保障措施，处理质量安全事故。</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3. 技术管理：组织施工方案交底、技术复核、工序验收等。</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4. 进度与成本控制：编制施工计划，控制材料消耗和人工成本。</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5. 日常协调：与总包、监理、其他分包单位进行日常技术、工作协调。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6. </w:t>
      </w:r>
      <w:r>
        <w:rPr>
          <w:rFonts w:hint="eastAsia" w:ascii="仿宋" w:hAnsi="仿宋" w:eastAsia="仿宋" w:cs="仿宋"/>
          <w:sz w:val="24"/>
          <w:lang w:val="en-US" w:eastAsia="zh-CN"/>
        </w:rPr>
        <w:t>合同、协议及</w:t>
      </w:r>
      <w:r>
        <w:rPr>
          <w:rFonts w:hint="default" w:ascii="仿宋" w:hAnsi="仿宋" w:eastAsia="仿宋" w:cs="仿宋"/>
          <w:sz w:val="24"/>
          <w:lang w:val="en-US" w:eastAsia="zh-CN"/>
        </w:rPr>
        <w:t>文件签署：签署施工日志、工序报验、材料进场验收、一般工程联系单等技术性、执行性文件</w:t>
      </w:r>
      <w:r>
        <w:rPr>
          <w:rFonts w:hint="eastAsia" w:ascii="仿宋" w:hAnsi="仿宋" w:eastAsia="仿宋" w:cs="仿宋"/>
          <w:sz w:val="24"/>
          <w:lang w:val="en-US" w:eastAsia="zh-CN"/>
        </w:rPr>
        <w:t>，前述相关合同、协议、变更文件、签证文件及结算文件等</w:t>
      </w:r>
      <w:r>
        <w:rPr>
          <w:rFonts w:hint="default" w:ascii="仿宋" w:hAnsi="仿宋" w:eastAsia="仿宋" w:cs="仿宋"/>
          <w:sz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w:t>
      </w:r>
      <w:r>
        <w:rPr>
          <w:rFonts w:hint="default" w:ascii="仿宋" w:hAnsi="仿宋" w:eastAsia="仿宋" w:cs="仿宋"/>
          <w:sz w:val="24"/>
          <w:lang w:val="en-US" w:eastAsia="zh-CN"/>
        </w:rPr>
        <w:t> 重大决策</w:t>
      </w:r>
      <w:r>
        <w:rPr>
          <w:rFonts w:hint="eastAsia" w:ascii="仿宋" w:hAnsi="仿宋" w:eastAsia="仿宋" w:cs="仿宋"/>
          <w:sz w:val="24"/>
          <w:lang w:val="en-US" w:eastAsia="zh-CN"/>
        </w:rPr>
        <w:t>与</w:t>
      </w:r>
      <w:r>
        <w:rPr>
          <w:rFonts w:hint="default" w:ascii="仿宋" w:hAnsi="仿宋" w:eastAsia="仿宋" w:cs="仿宋"/>
          <w:sz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8.</w:t>
      </w:r>
      <w:r>
        <w:rPr>
          <w:rFonts w:hint="default" w:ascii="仿宋" w:hAnsi="仿宋" w:eastAsia="仿宋" w:cs="仿宋"/>
          <w:sz w:val="24"/>
          <w:lang w:val="en-US" w:eastAsia="zh-CN"/>
        </w:rPr>
        <w:t> 争议解决代表：代表公司参与正式的谈判、调解、仲裁或诉讼活动。</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sz w:val="24"/>
          <w:lang w:eastAsia="zh-CN"/>
        </w:rPr>
      </w:pPr>
      <w:r>
        <w:rPr>
          <w:rFonts w:hint="eastAsia" w:ascii="仿宋" w:hAnsi="仿宋" w:eastAsia="仿宋" w:cs="仿宋"/>
          <w:b/>
          <w:bCs/>
          <w:sz w:val="24"/>
          <w:lang w:val="en-US" w:eastAsia="zh-CN"/>
        </w:rPr>
        <w:t>委托</w:t>
      </w:r>
      <w:r>
        <w:rPr>
          <w:rFonts w:hint="eastAsia" w:ascii="仿宋" w:hAnsi="仿宋" w:eastAsia="仿宋" w:cs="仿宋"/>
          <w:b/>
          <w:bCs/>
          <w:sz w:val="24"/>
        </w:rPr>
        <w:t>期限：</w:t>
      </w:r>
      <w:r>
        <w:rPr>
          <w:rFonts w:hint="eastAsia" w:ascii="仿宋" w:hAnsi="仿宋" w:eastAsia="仿宋" w:cs="仿宋"/>
          <w:sz w:val="24"/>
          <w:lang w:val="en-US" w:eastAsia="zh-CN"/>
        </w:rPr>
        <w:t>自本委托书出具之日起</w:t>
      </w:r>
      <w:r>
        <w:rPr>
          <w:rFonts w:hint="eastAsia" w:ascii="仿宋" w:hAnsi="仿宋" w:eastAsia="仿宋" w:cs="仿宋"/>
          <w:sz w:val="24"/>
        </w:rPr>
        <w:t>至</w:t>
      </w:r>
      <w:r>
        <w:rPr>
          <w:rFonts w:hint="eastAsia" w:ascii="仿宋" w:hAnsi="仿宋" w:eastAsia="仿宋" w:cs="仿宋"/>
          <w:sz w:val="24"/>
          <w:lang w:val="en-US" w:eastAsia="zh-CN"/>
        </w:rPr>
        <w:t>上述合同履行完毕、</w:t>
      </w:r>
      <w:r>
        <w:rPr>
          <w:rFonts w:hint="eastAsia" w:ascii="仿宋" w:hAnsi="仿宋" w:eastAsia="仿宋" w:cs="仿宋"/>
          <w:sz w:val="24"/>
        </w:rPr>
        <w:t>工程</w:t>
      </w:r>
      <w:r>
        <w:rPr>
          <w:rFonts w:hint="eastAsia" w:ascii="仿宋" w:hAnsi="仿宋" w:eastAsia="仿宋" w:cs="仿宋"/>
          <w:sz w:val="24"/>
          <w:lang w:val="en-US" w:eastAsia="zh-CN"/>
        </w:rPr>
        <w:t>竣工验收合格，且</w:t>
      </w:r>
      <w:r>
        <w:rPr>
          <w:rFonts w:hint="eastAsia" w:ascii="仿宋" w:hAnsi="仿宋" w:eastAsia="仿宋" w:cs="仿宋"/>
          <w:sz w:val="24"/>
        </w:rPr>
        <w:t>双方权利义务关系清结之日</w:t>
      </w:r>
      <w:r>
        <w:rPr>
          <w:rFonts w:hint="eastAsia" w:ascii="仿宋" w:hAnsi="仿宋" w:eastAsia="仿宋" w:cs="仿宋"/>
          <w:sz w:val="24"/>
          <w:lang w:val="en-US" w:eastAsia="zh-CN"/>
        </w:rPr>
        <w:t>止</w:t>
      </w:r>
      <w:r>
        <w:rPr>
          <w:rFonts w:hint="eastAsia" w:ascii="仿宋" w:hAnsi="仿宋" w:eastAsia="仿宋" w:cs="仿宋"/>
          <w:sz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lang w:val="en-US" w:eastAsia="zh-CN"/>
        </w:rPr>
        <w:t>受托</w:t>
      </w:r>
      <w:r>
        <w:rPr>
          <w:rFonts w:hint="eastAsia" w:ascii="仿宋" w:hAnsi="仿宋" w:eastAsia="仿宋" w:cs="仿宋"/>
          <w:b/>
          <w:bCs/>
          <w:sz w:val="24"/>
          <w:lang w:eastAsia="zh-CN"/>
        </w:rPr>
        <w:t>人</w:t>
      </w:r>
      <w:r>
        <w:rPr>
          <w:rFonts w:hint="eastAsia" w:ascii="仿宋" w:hAnsi="仿宋" w:eastAsia="仿宋" w:cs="仿宋"/>
          <w:b/>
          <w:bCs/>
          <w:sz w:val="24"/>
        </w:rPr>
        <w:t>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rPr>
      </w:pPr>
      <w:r>
        <w:rPr>
          <w:rFonts w:hint="eastAsia" w:ascii="仿宋" w:hAnsi="仿宋" w:eastAsia="仿宋" w:cs="仿宋"/>
          <w:sz w:val="24"/>
          <w:lang w:val="en-US" w:eastAsia="zh-CN"/>
        </w:rPr>
        <w:t>委托</w:t>
      </w:r>
      <w:r>
        <w:rPr>
          <w:rFonts w:hint="eastAsia" w:ascii="仿宋" w:hAnsi="仿宋" w:eastAsia="仿宋" w:cs="仿宋"/>
          <w:sz w:val="24"/>
        </w:rPr>
        <w:t>单位</w:t>
      </w:r>
      <w:r>
        <w:rPr>
          <w:rFonts w:hint="eastAsia" w:ascii="仿宋" w:hAnsi="仿宋" w:eastAsia="仿宋" w:cs="仿宋"/>
          <w:sz w:val="24"/>
          <w:lang w:eastAsia="zh-CN"/>
        </w:rPr>
        <w:t>（</w:t>
      </w:r>
      <w:r>
        <w:rPr>
          <w:rFonts w:hint="eastAsia" w:ascii="仿宋" w:hAnsi="仿宋" w:eastAsia="仿宋" w:cs="仿宋"/>
          <w:sz w:val="24"/>
          <w:lang w:val="en-US" w:eastAsia="zh-CN"/>
        </w:rPr>
        <w:t>委托人</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sz w:val="24"/>
          <w:u w:val="single"/>
          <w:lang w:val="en-US" w:eastAsia="zh-CN"/>
        </w:rPr>
        <w:t xml:space="preserve"> </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val="en-US" w:eastAsia="zh-CN"/>
        </w:rPr>
        <w:t>统一社会信用代码</w:t>
      </w:r>
      <w:r>
        <w:rPr>
          <w:rFonts w:hint="eastAsia" w:ascii="仿宋" w:hAnsi="仿宋" w:eastAsia="仿宋" w:cs="仿宋"/>
          <w:sz w:val="24"/>
        </w:rPr>
        <w:t>号：</w:t>
      </w:r>
      <w:r>
        <w:rPr>
          <w:rFonts w:hint="eastAsia" w:ascii="仿宋" w:hAnsi="仿宋" w:eastAsia="仿宋" w:cs="仿宋"/>
          <w:color w:val="auto"/>
          <w:sz w:val="24"/>
          <w:highlight w:val="none"/>
          <w:u w:val="single"/>
          <w:lang w:val="en-US" w:eastAsia="zh-CN"/>
        </w:rPr>
        <w:t>****</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lang w:val="en-US" w:eastAsia="zh-CN"/>
        </w:rPr>
        <w:t xml:space="preserve">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eastAsia="zh-CN"/>
        </w:rPr>
        <w:t>代理人</w:t>
      </w:r>
      <w:r>
        <w:rPr>
          <w:rFonts w:hint="eastAsia" w:ascii="仿宋" w:hAnsi="仿宋" w:eastAsia="仿宋" w:cs="仿宋"/>
          <w:sz w:val="24"/>
        </w:rPr>
        <w:t>(</w:t>
      </w:r>
      <w:r>
        <w:rPr>
          <w:rFonts w:hint="eastAsia" w:ascii="仿宋" w:hAnsi="仿宋" w:eastAsia="仿宋" w:cs="仿宋"/>
          <w:sz w:val="24"/>
          <w:lang w:val="en-US" w:eastAsia="zh-CN"/>
        </w:rPr>
        <w:t>受托人</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p>
    <w:p w14:paraId="6ACCD149">
      <w:pPr>
        <w:adjustRightInd w:val="0"/>
        <w:snapToGrid w:val="0"/>
        <w:spacing w:line="360" w:lineRule="auto"/>
        <w:ind w:leftChars="800" w:firstLine="480" w:firstLineChars="200"/>
        <w:rPr>
          <w:rFonts w:hint="eastAsia" w:ascii="仿宋" w:hAnsi="仿宋" w:eastAsia="仿宋" w:cs="仿宋"/>
          <w:color w:val="auto"/>
          <w:sz w:val="24"/>
          <w:highlight w:val="none"/>
        </w:rPr>
        <w:sectPr>
          <w:footerReference r:id="rId9"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4"/>
          <w:highlight w:val="none"/>
          <w:lang w:val="en-US" w:eastAsia="zh-CN"/>
        </w:rPr>
        <w:t xml:space="preserve">  2026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 xml:space="preserve"> ***  </w:t>
      </w:r>
      <w:r>
        <w:rPr>
          <w:rFonts w:hint="eastAsia" w:ascii="仿宋" w:hAnsi="仿宋" w:eastAsia="仿宋" w:cs="仿宋"/>
          <w:color w:val="auto"/>
          <w:sz w:val="24"/>
          <w:highlight w:val="none"/>
        </w:rPr>
        <w:t>日</w:t>
      </w:r>
    </w:p>
    <w:p w14:paraId="2F260B69">
      <w:pPr>
        <w:jc w:val="left"/>
        <w:rPr>
          <w:rFonts w:hint="eastAsia" w:ascii="仿宋" w:hAnsi="仿宋" w:eastAsia="仿宋"/>
          <w:color w:val="auto"/>
          <w:sz w:val="28"/>
          <w:szCs w:val="28"/>
          <w:highlight w:val="none"/>
          <w:lang w:val="en-US" w:eastAsia="zh-CN"/>
        </w:rPr>
      </w:pPr>
    </w:p>
    <w:p w14:paraId="3E95AE32">
      <w:pPr>
        <w:pStyle w:val="2"/>
        <w:spacing w:before="360" w:after="360"/>
        <w:jc w:val="center"/>
        <w:outlineLvl w:val="0"/>
        <w:rPr>
          <w:rFonts w:hint="eastAsia" w:eastAsia="仿宋"/>
          <w:color w:val="auto"/>
          <w:sz w:val="32"/>
          <w:szCs w:val="22"/>
          <w:highlight w:val="none"/>
        </w:rPr>
      </w:pPr>
      <w:bookmarkStart w:id="48" w:name="_Toc13328"/>
      <w:r>
        <w:rPr>
          <w:rFonts w:hint="default" w:ascii="Cambria" w:hAnsi="Cambria" w:eastAsia="仿宋"/>
          <w:color w:val="auto"/>
          <w:sz w:val="32"/>
          <w:szCs w:val="22"/>
          <w:highlight w:val="none"/>
        </w:rPr>
        <w:t>授权委托书</w:t>
      </w:r>
      <w:bookmarkEnd w:id="48"/>
    </w:p>
    <w:p w14:paraId="59DB3904">
      <w:pPr>
        <w:adjustRightInd w:val="0"/>
        <w:snapToGrid w:val="0"/>
        <w:spacing w:line="360" w:lineRule="auto"/>
        <w:ind w:leftChars="800" w:firstLine="480" w:firstLineChars="200"/>
        <w:rPr>
          <w:rFonts w:hint="eastAsia" w:ascii="仿宋" w:hAnsi="仿宋" w:eastAsia="仿宋" w:cs="仿宋"/>
          <w:color w:val="auto"/>
          <w:sz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58"/>
        <w:gridCol w:w="4258"/>
      </w:tblGrid>
      <w:tr w14:paraId="4E691A1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4F7EA1CF">
            <w:pPr>
              <w:adjustRightInd w:val="0"/>
              <w:snapToGrid w:val="0"/>
              <w:spacing w:line="360" w:lineRule="auto"/>
              <w:ind w:firstLine="480" w:firstLineChars="200"/>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身份证复印件：</w:t>
            </w:r>
          </w:p>
        </w:tc>
        <w:tc>
          <w:tcPr>
            <w:tcW w:w="4261" w:type="dxa"/>
            <w:tcBorders>
              <w:tl2br w:val="nil"/>
              <w:tr2bl w:val="nil"/>
            </w:tcBorders>
            <w:noWrap w:val="0"/>
            <w:vAlign w:val="top"/>
          </w:tcPr>
          <w:p w14:paraId="0521620C">
            <w:pPr>
              <w:adjustRightInd w:val="0"/>
              <w:snapToGrid w:val="0"/>
              <w:spacing w:line="360" w:lineRule="auto"/>
              <w:ind w:firstLine="480" w:firstLineChars="200"/>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lang w:eastAsia="zh-CN"/>
              </w:rPr>
              <w:t>委托代理人身份证复印件：</w:t>
            </w:r>
          </w:p>
        </w:tc>
      </w:tr>
      <w:tr w14:paraId="243FD6C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032F3BB1">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c>
          <w:tcPr>
            <w:tcW w:w="4261" w:type="dxa"/>
            <w:tcBorders>
              <w:tl2br w:val="nil"/>
              <w:tr2bl w:val="nil"/>
            </w:tcBorders>
            <w:noWrap w:val="0"/>
            <w:vAlign w:val="top"/>
          </w:tcPr>
          <w:p w14:paraId="20084B80">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r>
      <w:tr w14:paraId="51554C5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3FA7481C">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c>
          <w:tcPr>
            <w:tcW w:w="4261" w:type="dxa"/>
            <w:tcBorders>
              <w:tl2br w:val="nil"/>
              <w:tr2bl w:val="nil"/>
            </w:tcBorders>
            <w:noWrap w:val="0"/>
            <w:vAlign w:val="top"/>
          </w:tcPr>
          <w:p w14:paraId="07E01C91">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r>
    </w:tbl>
    <w:p w14:paraId="708125B6">
      <w:pPr>
        <w:pStyle w:val="3"/>
        <w:numPr>
          <w:ilvl w:val="3"/>
          <w:numId w:val="0"/>
        </w:numPr>
        <w:ind w:leftChars="0"/>
        <w:outlineLvl w:val="9"/>
        <w:rPr>
          <w:color w:val="auto"/>
          <w:highlight w:val="none"/>
          <w:lang w:val="en-US" w:eastAsia="en-US"/>
        </w:rPr>
      </w:pPr>
    </w:p>
    <w:sectPr>
      <w:footerReference r:id="rId10" w:type="default"/>
      <w:pgSz w:w="11900" w:h="1683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7F" w:usb3="00000000" w:csb0="203F01FF" w:csb1="D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7557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34CE">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posOffset>2609850</wp:posOffset>
              </wp:positionH>
              <wp:positionV relativeFrom="paragraph">
                <wp:posOffset>-146050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C7B9C">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5pt;margin-top:-11.5pt;height:144pt;width:144pt;mso-position-horizontal-relative:margin;mso-wrap-style:none;z-index:251659264;mso-width-relative:page;mso-height-relative:page;" filled="f" stroked="f" coordsize="21600,21600" o:gfxdata="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JIwVNdgAAAAL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14:paraId="0EAC7B9C">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4C105">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19801">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FA19801">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90A83">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658E08">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658E08">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6410D">
    <w:pPr>
      <w:pStyle w:val="5"/>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3C5C7">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DC3C5C7">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7FC4">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3"/>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4CDB616F"/>
    <w:multiLevelType w:val="singleLevel"/>
    <w:tmpl w:val="4CDB616F"/>
    <w:lvl w:ilvl="0" w:tentative="0">
      <w:start w:val="11"/>
      <w:numFmt w:val="decimal"/>
      <w:suff w:val="nothing"/>
      <w:lvlText w:val="（%1）"/>
      <w:lvlJc w:val="left"/>
    </w:lvl>
  </w:abstractNum>
  <w:abstractNum w:abstractNumId="2">
    <w:nsid w:val="5DD55FF3"/>
    <w:multiLevelType w:val="singleLevel"/>
    <w:tmpl w:val="5DD55FF3"/>
    <w:lvl w:ilvl="0" w:tentative="0">
      <w:start w:val="1"/>
      <w:numFmt w:val="decimal"/>
      <w:lvlText w:val="%1."/>
      <w:lvlJc w:val="left"/>
      <w:pPr>
        <w:tabs>
          <w:tab w:val="left" w:pos="312"/>
        </w:tabs>
        <w:ind w:left="549" w:leftChars="0" w:firstLine="0" w:firstLineChars="0"/>
      </w:pPr>
    </w:lvl>
  </w:abstractNum>
  <w:abstractNum w:abstractNumId="3">
    <w:nsid w:val="6931165B"/>
    <w:multiLevelType w:val="singleLevel"/>
    <w:tmpl w:val="6931165B"/>
    <w:lvl w:ilvl="0" w:tentative="0">
      <w:start w:val="9"/>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E4ZDUwNzQ5YTNiZjE2YjdkMmE0MzUzNTIyZDJjZTgifQ=="/>
  </w:docVars>
  <w:rsids>
    <w:rsidRoot w:val="00000000"/>
    <w:rsid w:val="00B93F2F"/>
    <w:rsid w:val="019E7EC4"/>
    <w:rsid w:val="02F35C77"/>
    <w:rsid w:val="03085DD0"/>
    <w:rsid w:val="03525361"/>
    <w:rsid w:val="04333FF8"/>
    <w:rsid w:val="0541791E"/>
    <w:rsid w:val="056A63E5"/>
    <w:rsid w:val="059F4D6B"/>
    <w:rsid w:val="06063F44"/>
    <w:rsid w:val="06745EAA"/>
    <w:rsid w:val="070847B9"/>
    <w:rsid w:val="078647D1"/>
    <w:rsid w:val="082E3A4D"/>
    <w:rsid w:val="08500BB1"/>
    <w:rsid w:val="089119C6"/>
    <w:rsid w:val="08D1013D"/>
    <w:rsid w:val="0A7D229F"/>
    <w:rsid w:val="0AA241ED"/>
    <w:rsid w:val="0AE574F8"/>
    <w:rsid w:val="0C117ADF"/>
    <w:rsid w:val="0C2F779B"/>
    <w:rsid w:val="0CB47829"/>
    <w:rsid w:val="0E5A04E5"/>
    <w:rsid w:val="0F3835E7"/>
    <w:rsid w:val="0FCC75A3"/>
    <w:rsid w:val="104135F9"/>
    <w:rsid w:val="10795489"/>
    <w:rsid w:val="10FB1EA8"/>
    <w:rsid w:val="11BF336F"/>
    <w:rsid w:val="12427803"/>
    <w:rsid w:val="12851EC3"/>
    <w:rsid w:val="138959E3"/>
    <w:rsid w:val="13C22CA3"/>
    <w:rsid w:val="13C36036"/>
    <w:rsid w:val="1449672B"/>
    <w:rsid w:val="14B67441"/>
    <w:rsid w:val="16F85B8F"/>
    <w:rsid w:val="171D26F1"/>
    <w:rsid w:val="17F7713C"/>
    <w:rsid w:val="18301BA0"/>
    <w:rsid w:val="18E41CD3"/>
    <w:rsid w:val="19506F0E"/>
    <w:rsid w:val="198E220F"/>
    <w:rsid w:val="19902A83"/>
    <w:rsid w:val="19BB08C0"/>
    <w:rsid w:val="19F015EC"/>
    <w:rsid w:val="1A4C648D"/>
    <w:rsid w:val="1A5B5BFF"/>
    <w:rsid w:val="1ABF40EE"/>
    <w:rsid w:val="1ADC0ECC"/>
    <w:rsid w:val="1B1D271F"/>
    <w:rsid w:val="1D124E97"/>
    <w:rsid w:val="1DEC7ECD"/>
    <w:rsid w:val="1E3173A3"/>
    <w:rsid w:val="1E893BEF"/>
    <w:rsid w:val="1EE753C6"/>
    <w:rsid w:val="1F6F0182"/>
    <w:rsid w:val="20E06E5E"/>
    <w:rsid w:val="226D4721"/>
    <w:rsid w:val="23645B24"/>
    <w:rsid w:val="24554E2A"/>
    <w:rsid w:val="26CE78E3"/>
    <w:rsid w:val="27070CA1"/>
    <w:rsid w:val="280779EC"/>
    <w:rsid w:val="288C5086"/>
    <w:rsid w:val="29F4123D"/>
    <w:rsid w:val="2A226CB0"/>
    <w:rsid w:val="2B2C517A"/>
    <w:rsid w:val="2B3908CA"/>
    <w:rsid w:val="2C990CD2"/>
    <w:rsid w:val="2D1C72A9"/>
    <w:rsid w:val="2D63452A"/>
    <w:rsid w:val="301914A6"/>
    <w:rsid w:val="309612E7"/>
    <w:rsid w:val="314B2CC8"/>
    <w:rsid w:val="31EF0CAF"/>
    <w:rsid w:val="32072A6F"/>
    <w:rsid w:val="332D35E6"/>
    <w:rsid w:val="33591E7C"/>
    <w:rsid w:val="33AC647C"/>
    <w:rsid w:val="34F8431E"/>
    <w:rsid w:val="354E2190"/>
    <w:rsid w:val="358E6F9F"/>
    <w:rsid w:val="370E5DF7"/>
    <w:rsid w:val="3814321D"/>
    <w:rsid w:val="396925D9"/>
    <w:rsid w:val="3A01188D"/>
    <w:rsid w:val="3ACC7DDF"/>
    <w:rsid w:val="3BF05C51"/>
    <w:rsid w:val="3C402634"/>
    <w:rsid w:val="3D433E1D"/>
    <w:rsid w:val="3D460D42"/>
    <w:rsid w:val="3D6912FC"/>
    <w:rsid w:val="3DF70AA7"/>
    <w:rsid w:val="3E6529E7"/>
    <w:rsid w:val="3E916A5A"/>
    <w:rsid w:val="3F6371D0"/>
    <w:rsid w:val="41A35612"/>
    <w:rsid w:val="41F670F3"/>
    <w:rsid w:val="42140081"/>
    <w:rsid w:val="42EE557E"/>
    <w:rsid w:val="430D7573"/>
    <w:rsid w:val="44AD7979"/>
    <w:rsid w:val="44E75C82"/>
    <w:rsid w:val="4545490C"/>
    <w:rsid w:val="45871346"/>
    <w:rsid w:val="45886FF9"/>
    <w:rsid w:val="459040FF"/>
    <w:rsid w:val="45BD3146"/>
    <w:rsid w:val="461F6DC5"/>
    <w:rsid w:val="46D5596E"/>
    <w:rsid w:val="46F87C7E"/>
    <w:rsid w:val="47193AE7"/>
    <w:rsid w:val="474515C9"/>
    <w:rsid w:val="49411BD7"/>
    <w:rsid w:val="49B94735"/>
    <w:rsid w:val="4A21138B"/>
    <w:rsid w:val="4C150230"/>
    <w:rsid w:val="4C2500C8"/>
    <w:rsid w:val="4C5F329A"/>
    <w:rsid w:val="4D5970B4"/>
    <w:rsid w:val="4E340BD7"/>
    <w:rsid w:val="4F132EA1"/>
    <w:rsid w:val="4F42646A"/>
    <w:rsid w:val="4FE903EE"/>
    <w:rsid w:val="4FF37A73"/>
    <w:rsid w:val="50483726"/>
    <w:rsid w:val="51037C6A"/>
    <w:rsid w:val="51B12745"/>
    <w:rsid w:val="51D0201A"/>
    <w:rsid w:val="540D34EB"/>
    <w:rsid w:val="55602E78"/>
    <w:rsid w:val="55EB08B5"/>
    <w:rsid w:val="55F31B09"/>
    <w:rsid w:val="565A24B9"/>
    <w:rsid w:val="567262DE"/>
    <w:rsid w:val="56B57E6A"/>
    <w:rsid w:val="56ED13B1"/>
    <w:rsid w:val="57407733"/>
    <w:rsid w:val="592948B1"/>
    <w:rsid w:val="594C6024"/>
    <w:rsid w:val="59723DF0"/>
    <w:rsid w:val="59BC7E98"/>
    <w:rsid w:val="59D979CB"/>
    <w:rsid w:val="5A1B30C4"/>
    <w:rsid w:val="5A821C9B"/>
    <w:rsid w:val="5AC74C0A"/>
    <w:rsid w:val="5B8935B6"/>
    <w:rsid w:val="5B8E543E"/>
    <w:rsid w:val="5CA3645E"/>
    <w:rsid w:val="5CB8303A"/>
    <w:rsid w:val="5CF02414"/>
    <w:rsid w:val="5D7719D5"/>
    <w:rsid w:val="5DC51E56"/>
    <w:rsid w:val="5DCC7F73"/>
    <w:rsid w:val="5E0F7E5F"/>
    <w:rsid w:val="5E6E721E"/>
    <w:rsid w:val="5EB23444"/>
    <w:rsid w:val="5EDB5F93"/>
    <w:rsid w:val="5F29437A"/>
    <w:rsid w:val="5F5F0972"/>
    <w:rsid w:val="60221EE9"/>
    <w:rsid w:val="612B1454"/>
    <w:rsid w:val="61D86637"/>
    <w:rsid w:val="620E6BC4"/>
    <w:rsid w:val="624A3B5C"/>
    <w:rsid w:val="633617DC"/>
    <w:rsid w:val="63BA4541"/>
    <w:rsid w:val="63CA273A"/>
    <w:rsid w:val="65C141DD"/>
    <w:rsid w:val="660B3602"/>
    <w:rsid w:val="66916A11"/>
    <w:rsid w:val="66984178"/>
    <w:rsid w:val="67A26950"/>
    <w:rsid w:val="681271D2"/>
    <w:rsid w:val="68727968"/>
    <w:rsid w:val="6ADE7537"/>
    <w:rsid w:val="6B84704B"/>
    <w:rsid w:val="6BDD77EF"/>
    <w:rsid w:val="6C4671C6"/>
    <w:rsid w:val="6D446720"/>
    <w:rsid w:val="6E023D8A"/>
    <w:rsid w:val="6E3C2B6A"/>
    <w:rsid w:val="6F213E96"/>
    <w:rsid w:val="70DC0075"/>
    <w:rsid w:val="71AF5789"/>
    <w:rsid w:val="72646574"/>
    <w:rsid w:val="729D55E2"/>
    <w:rsid w:val="7354211B"/>
    <w:rsid w:val="73B021A3"/>
    <w:rsid w:val="73F34EE8"/>
    <w:rsid w:val="73F35C51"/>
    <w:rsid w:val="747B7BA5"/>
    <w:rsid w:val="764D6FDD"/>
    <w:rsid w:val="76911902"/>
    <w:rsid w:val="76F25221"/>
    <w:rsid w:val="774626EC"/>
    <w:rsid w:val="78D5109F"/>
    <w:rsid w:val="794404C5"/>
    <w:rsid w:val="7A884DCA"/>
    <w:rsid w:val="7A9D0EE8"/>
    <w:rsid w:val="7AD56C4A"/>
    <w:rsid w:val="7B4753CF"/>
    <w:rsid w:val="7BAB10BE"/>
    <w:rsid w:val="7BB57A17"/>
    <w:rsid w:val="7C6D4277"/>
    <w:rsid w:val="7D85227D"/>
    <w:rsid w:val="7DBC30CC"/>
    <w:rsid w:val="7DC12057"/>
    <w:rsid w:val="7DCB0A32"/>
    <w:rsid w:val="7E9957F7"/>
    <w:rsid w:val="7EE30820"/>
    <w:rsid w:val="7F371343"/>
    <w:rsid w:val="7FE17E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18"/>
      <w:szCs w:val="18"/>
      <w:lang w:val="en-US" w:eastAsia="en-US" w:bidi="ar-SA"/>
    </w:rPr>
  </w:style>
  <w:style w:type="paragraph" w:customStyle="1" w:styleId="16">
    <w:name w:val="正文 A"/>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3"/>
    <w:qFormat/>
    <w:uiPriority w:val="0"/>
    <w:pPr>
      <w:ind w:leftChars="400"/>
    </w:pPr>
    <w:rPr>
      <w:rFonts w:ascii="Times New Roman" w:hAnsi="Times New Roman" w:eastAsia="宋体" w:cs="Times New Roman"/>
      <w:sz w:val="20"/>
      <w:szCs w:val="20"/>
    </w:rPr>
  </w:style>
  <w:style w:type="character" w:customStyle="1" w:styleId="20">
    <w:name w:val="font61"/>
    <w:basedOn w:val="13"/>
    <w:qFormat/>
    <w:uiPriority w:val="0"/>
    <w:rPr>
      <w:rFonts w:hint="eastAsia" w:ascii="宋体" w:hAnsi="宋体" w:eastAsia="宋体" w:cs="宋体"/>
      <w:color w:val="000000"/>
      <w:sz w:val="18"/>
      <w:szCs w:val="18"/>
      <w:u w:val="none"/>
    </w:rPr>
  </w:style>
  <w:style w:type="character" w:customStyle="1" w:styleId="21">
    <w:name w:val="font122"/>
    <w:basedOn w:val="13"/>
    <w:qFormat/>
    <w:uiPriority w:val="0"/>
    <w:rPr>
      <w:rFonts w:hint="eastAsia" w:ascii="宋体" w:hAnsi="宋体" w:eastAsia="宋体" w:cs="宋体"/>
      <w:color w:val="000000"/>
      <w:sz w:val="18"/>
      <w:szCs w:val="18"/>
      <w:u w:val="none"/>
      <w:vertAlign w:val="superscript"/>
    </w:rPr>
  </w:style>
  <w:style w:type="character" w:customStyle="1" w:styleId="22">
    <w:name w:val="font21"/>
    <w:basedOn w:val="13"/>
    <w:qFormat/>
    <w:uiPriority w:val="0"/>
    <w:rPr>
      <w:rFonts w:hint="eastAsia" w:ascii="宋体" w:hAnsi="宋体" w:eastAsia="宋体" w:cs="宋体"/>
      <w:b/>
      <w:bCs/>
      <w:color w:val="000000"/>
      <w:sz w:val="32"/>
      <w:szCs w:val="32"/>
      <w:u w:val="none"/>
    </w:rPr>
  </w:style>
  <w:style w:type="character" w:customStyle="1" w:styleId="23">
    <w:name w:val="font161"/>
    <w:basedOn w:val="13"/>
    <w:qFormat/>
    <w:uiPriority w:val="0"/>
    <w:rPr>
      <w:rFonts w:hint="eastAsia" w:ascii="宋体" w:hAnsi="宋体" w:eastAsia="宋体" w:cs="宋体"/>
      <w:b/>
      <w:bCs/>
      <w:color w:val="000000"/>
      <w:sz w:val="24"/>
      <w:szCs w:val="24"/>
      <w:u w:val="none"/>
    </w:rPr>
  </w:style>
  <w:style w:type="character" w:customStyle="1" w:styleId="24">
    <w:name w:val="font41"/>
    <w:basedOn w:val="13"/>
    <w:qFormat/>
    <w:uiPriority w:val="0"/>
    <w:rPr>
      <w:rFonts w:hint="eastAsia" w:ascii="宋体" w:hAnsi="宋体" w:eastAsia="宋体" w:cs="宋体"/>
      <w:color w:val="000000"/>
      <w:sz w:val="28"/>
      <w:szCs w:val="28"/>
      <w:u w:val="none"/>
    </w:rPr>
  </w:style>
  <w:style w:type="character" w:customStyle="1" w:styleId="25">
    <w:name w:val="font01"/>
    <w:basedOn w:val="13"/>
    <w:qFormat/>
    <w:uiPriority w:val="0"/>
    <w:rPr>
      <w:rFonts w:hint="eastAsia" w:ascii="宋体" w:hAnsi="宋体" w:eastAsia="宋体" w:cs="宋体"/>
      <w:color w:val="000000"/>
      <w:sz w:val="24"/>
      <w:szCs w:val="24"/>
      <w:u w:val="none"/>
    </w:rPr>
  </w:style>
  <w:style w:type="character" w:customStyle="1" w:styleId="26">
    <w:name w:val="font71"/>
    <w:basedOn w:val="13"/>
    <w:qFormat/>
    <w:uiPriority w:val="0"/>
    <w:rPr>
      <w:rFonts w:ascii="黑体" w:hAnsi="宋体" w:eastAsia="黑体" w:cs="黑体"/>
      <w:color w:val="000000"/>
      <w:sz w:val="24"/>
      <w:szCs w:val="24"/>
      <w:u w:val="none"/>
    </w:rPr>
  </w:style>
  <w:style w:type="character" w:customStyle="1" w:styleId="27">
    <w:name w:val="font11"/>
    <w:basedOn w:val="1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30824</Words>
  <Characters>31880</Characters>
  <TotalTime>54</TotalTime>
  <ScaleCrop>false</ScaleCrop>
  <LinksUpToDate>false</LinksUpToDate>
  <CharactersWithSpaces>32287</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企业用户_754472905</cp:lastModifiedBy>
  <dcterms:modified xsi:type="dcterms:W3CDTF">2026-04-16T14:44:58Z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2052-12.1.0.20305</vt:lpwstr>
  </property>
  <property fmtid="{D5CDD505-2E9C-101B-9397-08002B2CF9AE}" pid="6" name="ICV">
    <vt:lpwstr>BF72C0A7EA7948E0A455A9AF911CEEFE_13</vt:lpwstr>
  </property>
  <property fmtid="{D5CDD505-2E9C-101B-9397-08002B2CF9AE}" pid="7" name="KSOTemplateDocerSaveRecord">
    <vt:lpwstr>eyJoZGlkIjoiOTNmOTAwOTEyOTdiNzRkNWYxZWU5YmFlMzhhYjcwMTEiLCJ1c2VySWQiOiIxNjYwNDM3MTQ4In0=</vt:lpwstr>
  </property>
</Properties>
</file>