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D00B1F">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凉山州现代房屋建筑集成制造有限公司</w:t>
      </w:r>
    </w:p>
    <w:p w14:paraId="7147807F">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西昌市川兴中学校本部新建项目（</w:t>
      </w:r>
      <w:r>
        <w:rPr>
          <w:rFonts w:hint="eastAsia" w:ascii="仿宋" w:hAnsi="仿宋" w:eastAsia="仿宋" w:cs="仿宋"/>
          <w:b/>
          <w:bCs/>
          <w:sz w:val="28"/>
          <w:szCs w:val="28"/>
          <w:lang w:val="en-US" w:eastAsia="zh-CN"/>
        </w:rPr>
        <w:t>瓷砖</w:t>
      </w:r>
      <w:r>
        <w:rPr>
          <w:rFonts w:hint="eastAsia" w:ascii="仿宋" w:hAnsi="仿宋" w:eastAsia="仿宋" w:cs="仿宋"/>
          <w:b/>
          <w:bCs/>
          <w:sz w:val="28"/>
          <w:szCs w:val="28"/>
        </w:rPr>
        <w:t>采购合同）</w:t>
      </w:r>
    </w:p>
    <w:p w14:paraId="5F1978FA">
      <w:pPr>
        <w:adjustRightInd w:val="0"/>
        <w:snapToGrid w:val="0"/>
        <w:spacing w:line="400" w:lineRule="atLeast"/>
        <w:jc w:val="center"/>
        <w:rPr>
          <w:rFonts w:hint="eastAsia" w:ascii="宋体" w:hAnsi="宋体" w:cs="宋体"/>
          <w:b/>
          <w:szCs w:val="21"/>
        </w:rPr>
      </w:pPr>
    </w:p>
    <w:p w14:paraId="6F42FDF0">
      <w:pPr>
        <w:snapToGrid w:val="0"/>
        <w:spacing w:line="500" w:lineRule="exact"/>
        <w:jc w:val="center"/>
        <w:rPr>
          <w:rFonts w:hint="eastAsia" w:ascii="仿宋" w:hAnsi="仿宋" w:eastAsia="仿宋" w:cs="仿宋"/>
          <w:sz w:val="28"/>
          <w:szCs w:val="28"/>
        </w:rPr>
      </w:pPr>
    </w:p>
    <w:p w14:paraId="7814C856">
      <w:pPr>
        <w:snapToGrid w:val="0"/>
        <w:spacing w:line="500" w:lineRule="exact"/>
        <w:jc w:val="center"/>
        <w:rPr>
          <w:rFonts w:hint="eastAsia" w:ascii="仿宋" w:hAnsi="仿宋" w:eastAsia="仿宋" w:cs="仿宋"/>
          <w:sz w:val="28"/>
          <w:szCs w:val="28"/>
        </w:rPr>
      </w:pPr>
    </w:p>
    <w:p w14:paraId="505677AA">
      <w:pPr>
        <w:snapToGrid w:val="0"/>
        <w:spacing w:line="500" w:lineRule="exact"/>
        <w:jc w:val="center"/>
        <w:rPr>
          <w:rFonts w:hint="eastAsia" w:ascii="仿宋" w:hAnsi="仿宋" w:eastAsia="仿宋" w:cs="仿宋"/>
          <w:sz w:val="28"/>
          <w:szCs w:val="28"/>
        </w:rPr>
      </w:pPr>
    </w:p>
    <w:p w14:paraId="2039884E">
      <w:pPr>
        <w:snapToGrid w:val="0"/>
        <w:spacing w:line="500" w:lineRule="exact"/>
        <w:jc w:val="center"/>
        <w:rPr>
          <w:rFonts w:hint="eastAsia" w:ascii="仿宋" w:hAnsi="仿宋" w:eastAsia="仿宋" w:cs="仿宋"/>
          <w:sz w:val="28"/>
          <w:szCs w:val="28"/>
          <w:u w:val="single"/>
        </w:rPr>
      </w:pPr>
    </w:p>
    <w:p w14:paraId="5A2EE01E">
      <w:pPr>
        <w:widowControl/>
        <w:jc w:val="center"/>
        <w:textAlignment w:val="center"/>
        <w:rPr>
          <w:rFonts w:hint="eastAsia" w:ascii="仿宋" w:hAnsi="仿宋" w:eastAsia="仿宋" w:cs="仿宋"/>
          <w:sz w:val="28"/>
          <w:szCs w:val="28"/>
          <w:u w:val="single"/>
        </w:rPr>
      </w:pPr>
      <w:r>
        <w:rPr>
          <w:rFonts w:hint="eastAsia" w:ascii="仿宋" w:hAnsi="仿宋" w:eastAsia="仿宋" w:cs="仿宋"/>
          <w:sz w:val="28"/>
          <w:szCs w:val="28"/>
        </w:rPr>
        <w:t>工程名称</w:t>
      </w:r>
      <w:r>
        <w:rPr>
          <w:rFonts w:hint="eastAsia" w:ascii="仿宋" w:hAnsi="仿宋" w:eastAsia="仿宋" w:cs="仿宋"/>
          <w:sz w:val="28"/>
          <w:szCs w:val="28"/>
          <w:u w:val="single"/>
        </w:rPr>
        <w:t>：西昌市川兴中学校本部新建项目</w:t>
      </w:r>
    </w:p>
    <w:p w14:paraId="5358B930">
      <w:pPr>
        <w:adjustRightInd w:val="0"/>
        <w:snapToGrid w:val="0"/>
        <w:spacing w:line="400" w:lineRule="atLeast"/>
        <w:jc w:val="center"/>
        <w:rPr>
          <w:rFonts w:hint="eastAsia" w:ascii="仿宋" w:hAnsi="仿宋" w:eastAsia="仿宋" w:cs="仿宋"/>
          <w:b/>
          <w:sz w:val="32"/>
          <w:szCs w:val="32"/>
        </w:rPr>
      </w:pPr>
    </w:p>
    <w:p w14:paraId="0DC53B8F">
      <w:pPr>
        <w:tabs>
          <w:tab w:val="left" w:pos="840"/>
        </w:tabs>
        <w:snapToGrid w:val="0"/>
        <w:spacing w:line="500" w:lineRule="exact"/>
        <w:jc w:val="center"/>
        <w:rPr>
          <w:rFonts w:hint="eastAsia" w:ascii="仿宋" w:hAnsi="仿宋" w:eastAsia="仿宋" w:cs="仿宋"/>
          <w:sz w:val="32"/>
          <w:szCs w:val="32"/>
          <w:u w:val="single"/>
        </w:rPr>
      </w:pPr>
    </w:p>
    <w:p w14:paraId="628A9D9C">
      <w:pPr>
        <w:tabs>
          <w:tab w:val="left" w:pos="840"/>
        </w:tabs>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7ACD6081">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33FC3837">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6E05597D">
      <w:pPr>
        <w:tabs>
          <w:tab w:val="left" w:pos="840"/>
        </w:tabs>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5E470380">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655E1F56">
      <w:pPr>
        <w:tabs>
          <w:tab w:val="left" w:pos="840"/>
        </w:tabs>
        <w:snapToGrid w:val="0"/>
        <w:spacing w:line="500" w:lineRule="exact"/>
        <w:ind w:left="1050" w:leftChars="500" w:firstLine="560" w:firstLineChars="200"/>
        <w:rPr>
          <w:rFonts w:hint="eastAsia" w:ascii="仿宋" w:hAnsi="仿宋" w:eastAsia="仿宋" w:cs="仿宋"/>
          <w:sz w:val="28"/>
          <w:szCs w:val="28"/>
        </w:rPr>
      </w:pPr>
    </w:p>
    <w:p w14:paraId="66E51E46">
      <w:pPr>
        <w:spacing w:line="500" w:lineRule="exact"/>
        <w:ind w:firstLine="560" w:firstLineChars="200"/>
        <w:jc w:val="left"/>
        <w:rPr>
          <w:rFonts w:hint="eastAsia" w:ascii="仿宋" w:hAnsi="仿宋" w:eastAsia="仿宋" w:cs="仿宋"/>
          <w:sz w:val="28"/>
          <w:szCs w:val="28"/>
          <w:u w:val="single"/>
        </w:rPr>
      </w:pPr>
      <w:r>
        <w:rPr>
          <w:rFonts w:hint="eastAsia" w:ascii="仿宋" w:hAnsi="仿宋" w:eastAsia="仿宋" w:cs="仿宋"/>
          <w:sz w:val="28"/>
          <w:szCs w:val="28"/>
        </w:rPr>
        <w:t>甲方（买方）：</w:t>
      </w:r>
      <w:r>
        <w:rPr>
          <w:rFonts w:hint="eastAsia" w:ascii="仿宋" w:hAnsi="仿宋" w:eastAsia="仿宋" w:cs="仿宋"/>
          <w:sz w:val="28"/>
          <w:szCs w:val="28"/>
          <w:u w:val="single"/>
        </w:rPr>
        <w:t>凉山州现代房屋建筑集成制造有限公司</w:t>
      </w:r>
    </w:p>
    <w:p w14:paraId="7EC7632E">
      <w:pPr>
        <w:spacing w:line="500" w:lineRule="exact"/>
        <w:jc w:val="center"/>
        <w:rPr>
          <w:rFonts w:hint="eastAsia" w:ascii="仿宋" w:hAnsi="仿宋" w:eastAsia="仿宋" w:cs="仿宋"/>
          <w:b/>
          <w:bCs/>
          <w:sz w:val="28"/>
          <w:szCs w:val="28"/>
        </w:rPr>
      </w:pPr>
    </w:p>
    <w:p w14:paraId="4234D04D">
      <w:pPr>
        <w:spacing w:line="500" w:lineRule="exact"/>
        <w:ind w:firstLine="560" w:firstLineChars="200"/>
        <w:rPr>
          <w:rFonts w:hint="eastAsia" w:ascii="仿宋" w:hAnsi="仿宋" w:eastAsia="仿宋" w:cs="仿宋"/>
          <w:b w:val="0"/>
          <w:bCs w:val="0"/>
          <w:color w:val="000000" w:themeColor="text1"/>
          <w:w w:val="99"/>
          <w:sz w:val="28"/>
          <w:szCs w:val="28"/>
          <w:u w:val="single"/>
          <w14:textFill>
            <w14:solidFill>
              <w14:schemeClr w14:val="tx1"/>
            </w14:solidFill>
          </w14:textFill>
        </w:rPr>
      </w:pPr>
      <w:r>
        <w:rPr>
          <w:rFonts w:hint="eastAsia" w:ascii="仿宋" w:hAnsi="仿宋" w:eastAsia="仿宋" w:cs="仿宋"/>
          <w:sz w:val="28"/>
          <w:szCs w:val="28"/>
        </w:rPr>
        <w:t>乙方（卖方）：</w:t>
      </w:r>
    </w:p>
    <w:p w14:paraId="7F27E5B9">
      <w:pPr>
        <w:spacing w:line="500" w:lineRule="exact"/>
        <w:ind w:firstLine="1400" w:firstLineChars="500"/>
        <w:rPr>
          <w:rFonts w:hint="eastAsia" w:ascii="仿宋" w:hAnsi="仿宋" w:eastAsia="仿宋" w:cs="仿宋"/>
          <w:b w:val="0"/>
          <w:bCs w:val="0"/>
          <w:sz w:val="28"/>
          <w:szCs w:val="28"/>
          <w:u w:val="single"/>
        </w:rPr>
      </w:pPr>
    </w:p>
    <w:p w14:paraId="38A4DC8C">
      <w:pPr>
        <w:tabs>
          <w:tab w:val="left" w:pos="840"/>
        </w:tabs>
        <w:snapToGrid w:val="0"/>
        <w:spacing w:line="500" w:lineRule="exact"/>
        <w:ind w:firstLine="560" w:firstLineChars="200"/>
        <w:rPr>
          <w:rFonts w:hint="eastAsia" w:ascii="仿宋" w:hAnsi="仿宋" w:eastAsia="仿宋" w:cs="仿宋"/>
          <w:color w:val="FFFFFF"/>
          <w:sz w:val="28"/>
          <w:szCs w:val="28"/>
          <w:u w:val="single"/>
        </w:rPr>
      </w:pPr>
      <w:r>
        <w:rPr>
          <w:rFonts w:hint="eastAsia" w:ascii="仿宋" w:hAnsi="仿宋" w:eastAsia="仿宋" w:cs="仿宋"/>
          <w:sz w:val="28"/>
          <w:szCs w:val="28"/>
        </w:rPr>
        <w:t xml:space="preserve">签 订 时 间： </w:t>
      </w:r>
      <w:r>
        <w:rPr>
          <w:rFonts w:hint="eastAsia" w:ascii="仿宋" w:hAnsi="仿宋" w:eastAsia="仿宋" w:cs="仿宋"/>
          <w:sz w:val="28"/>
          <w:szCs w:val="28"/>
          <w:u w:val="single"/>
        </w:rPr>
        <w:t xml:space="preserve">    202</w:t>
      </w:r>
      <w:r>
        <w:rPr>
          <w:rFonts w:hint="eastAsia" w:ascii="仿宋" w:hAnsi="仿宋" w:eastAsia="仿宋" w:cs="仿宋"/>
          <w:sz w:val="28"/>
          <w:szCs w:val="28"/>
          <w:u w:val="single"/>
          <w:lang w:val="en-US" w:eastAsia="zh-CN"/>
        </w:rPr>
        <w:t xml:space="preserve">6 </w:t>
      </w:r>
      <w:r>
        <w:rPr>
          <w:rFonts w:hint="eastAsia" w:ascii="仿宋" w:hAnsi="仿宋" w:eastAsia="仿宋" w:cs="仿宋"/>
          <w:sz w:val="28"/>
          <w:szCs w:val="28"/>
          <w:u w:val="single"/>
        </w:rPr>
        <w:t>年</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月 </w:t>
      </w:r>
      <w:r>
        <w:rPr>
          <w:rFonts w:hint="eastAsia" w:ascii="仿宋" w:hAnsi="仿宋" w:eastAsia="仿宋" w:cs="仿宋"/>
          <w:sz w:val="28"/>
          <w:szCs w:val="28"/>
          <w:u w:val="single"/>
          <w:lang w:val="en-US" w:eastAsia="zh-CN"/>
        </w:rPr>
        <w:t xml:space="preserve"> </w:t>
      </w:r>
      <w:r>
        <w:rPr>
          <w:rFonts w:hint="eastAsia" w:ascii="仿宋" w:hAnsi="仿宋" w:eastAsia="仿宋" w:cs="仿宋"/>
          <w:sz w:val="28"/>
          <w:szCs w:val="28"/>
          <w:u w:val="single"/>
        </w:rPr>
        <w:t xml:space="preserve">日         </w:t>
      </w:r>
      <w:r>
        <w:rPr>
          <w:rFonts w:hint="eastAsia" w:ascii="仿宋" w:hAnsi="仿宋" w:eastAsia="仿宋" w:cs="仿宋"/>
          <w:color w:val="FFFFFF"/>
          <w:sz w:val="28"/>
          <w:szCs w:val="28"/>
          <w:u w:val="single"/>
        </w:rPr>
        <w:t>。</w:t>
      </w:r>
    </w:p>
    <w:p w14:paraId="27ADC7E5">
      <w:pPr>
        <w:tabs>
          <w:tab w:val="left" w:pos="840"/>
        </w:tabs>
        <w:snapToGrid w:val="0"/>
        <w:spacing w:line="500" w:lineRule="exact"/>
        <w:jc w:val="center"/>
        <w:rPr>
          <w:rFonts w:hint="eastAsia" w:ascii="仿宋" w:hAnsi="仿宋" w:eastAsia="仿宋" w:cs="仿宋"/>
          <w:color w:val="FFFFFF"/>
          <w:sz w:val="28"/>
          <w:szCs w:val="28"/>
          <w:u w:val="single"/>
        </w:rPr>
      </w:pPr>
    </w:p>
    <w:p w14:paraId="50DA5848">
      <w:pPr>
        <w:tabs>
          <w:tab w:val="left" w:pos="840"/>
        </w:tabs>
        <w:snapToGrid w:val="0"/>
        <w:spacing w:line="500" w:lineRule="exact"/>
        <w:jc w:val="center"/>
        <w:rPr>
          <w:rFonts w:hint="eastAsia" w:ascii="仿宋" w:hAnsi="仿宋" w:eastAsia="仿宋" w:cs="仿宋"/>
          <w:color w:val="FFFFFF"/>
          <w:sz w:val="28"/>
          <w:szCs w:val="28"/>
          <w:u w:val="single"/>
        </w:rPr>
      </w:pPr>
    </w:p>
    <w:p w14:paraId="6379B5EB">
      <w:pPr>
        <w:tabs>
          <w:tab w:val="left" w:pos="840"/>
        </w:tabs>
        <w:snapToGrid w:val="0"/>
        <w:spacing w:line="500" w:lineRule="exact"/>
        <w:jc w:val="center"/>
        <w:rPr>
          <w:rFonts w:hint="eastAsia" w:ascii="仿宋" w:hAnsi="仿宋" w:eastAsia="仿宋" w:cs="仿宋"/>
          <w:color w:val="FFFFFF"/>
          <w:sz w:val="28"/>
          <w:szCs w:val="28"/>
          <w:u w:val="single"/>
        </w:rPr>
      </w:pPr>
    </w:p>
    <w:p w14:paraId="4F44EA90">
      <w:pPr>
        <w:tabs>
          <w:tab w:val="left" w:pos="840"/>
        </w:tabs>
        <w:snapToGrid w:val="0"/>
        <w:spacing w:line="500" w:lineRule="exact"/>
        <w:jc w:val="center"/>
        <w:rPr>
          <w:rFonts w:hint="eastAsia" w:ascii="仿宋" w:hAnsi="仿宋" w:eastAsia="仿宋" w:cs="仿宋"/>
          <w:color w:val="FFFFFF"/>
          <w:sz w:val="28"/>
          <w:szCs w:val="28"/>
          <w:u w:val="single"/>
        </w:rPr>
      </w:pPr>
    </w:p>
    <w:p w14:paraId="21E76943">
      <w:pPr>
        <w:tabs>
          <w:tab w:val="left" w:pos="840"/>
        </w:tabs>
        <w:snapToGrid w:val="0"/>
        <w:spacing w:line="500" w:lineRule="exact"/>
        <w:jc w:val="center"/>
        <w:rPr>
          <w:rFonts w:hint="eastAsia" w:ascii="仿宋" w:hAnsi="仿宋" w:eastAsia="仿宋" w:cs="仿宋"/>
          <w:color w:val="FFFFFF"/>
          <w:sz w:val="28"/>
          <w:szCs w:val="28"/>
          <w:u w:val="single"/>
        </w:rPr>
      </w:pPr>
    </w:p>
    <w:p w14:paraId="45BDE5BD">
      <w:pPr>
        <w:tabs>
          <w:tab w:val="left" w:pos="840"/>
        </w:tabs>
        <w:snapToGrid w:val="0"/>
        <w:spacing w:line="500" w:lineRule="exact"/>
        <w:jc w:val="center"/>
        <w:rPr>
          <w:rFonts w:hint="eastAsia" w:ascii="仿宋" w:hAnsi="仿宋" w:eastAsia="仿宋" w:cs="仿宋"/>
          <w:color w:val="FFFFFF"/>
          <w:sz w:val="28"/>
          <w:szCs w:val="28"/>
          <w:u w:val="single"/>
        </w:rPr>
      </w:pPr>
    </w:p>
    <w:p w14:paraId="2123588E">
      <w:pPr>
        <w:tabs>
          <w:tab w:val="left" w:pos="840"/>
        </w:tabs>
        <w:snapToGrid w:val="0"/>
        <w:spacing w:line="500" w:lineRule="exact"/>
        <w:jc w:val="center"/>
        <w:rPr>
          <w:rFonts w:hint="eastAsia" w:ascii="仿宋" w:hAnsi="仿宋" w:eastAsia="仿宋" w:cs="仿宋"/>
          <w:color w:val="FFFFFF"/>
          <w:sz w:val="28"/>
          <w:szCs w:val="28"/>
          <w:u w:val="single"/>
        </w:rPr>
      </w:pPr>
    </w:p>
    <w:p w14:paraId="4AF92997">
      <w:pPr>
        <w:tabs>
          <w:tab w:val="left" w:pos="840"/>
        </w:tabs>
        <w:snapToGrid w:val="0"/>
        <w:spacing w:line="500" w:lineRule="exact"/>
        <w:rPr>
          <w:rFonts w:hint="eastAsia" w:ascii="仿宋" w:hAnsi="仿宋" w:eastAsia="仿宋" w:cs="仿宋"/>
          <w:color w:val="FFFFFF"/>
          <w:sz w:val="28"/>
          <w:szCs w:val="28"/>
          <w:u w:val="single"/>
        </w:rPr>
      </w:pPr>
    </w:p>
    <w:p w14:paraId="53BD61B7">
      <w:pPr>
        <w:widowControl/>
        <w:jc w:val="center"/>
        <w:textAlignment w:val="center"/>
        <w:rPr>
          <w:rFonts w:hint="eastAsia" w:ascii="宋体" w:hAnsi="宋体" w:cs="宋体"/>
          <w:b/>
          <w:bCs/>
          <w:color w:val="000000"/>
          <w:kern w:val="0"/>
          <w:sz w:val="28"/>
          <w:szCs w:val="28"/>
          <w:lang w:bidi="ar"/>
        </w:rPr>
      </w:pPr>
      <w:r>
        <w:rPr>
          <w:rFonts w:hint="eastAsia" w:ascii="宋体" w:hAnsi="宋体" w:cs="宋体"/>
          <w:b/>
          <w:bCs/>
          <w:color w:val="000000"/>
          <w:kern w:val="0"/>
          <w:sz w:val="28"/>
          <w:szCs w:val="28"/>
          <w:lang w:bidi="ar"/>
        </w:rPr>
        <w:t>西昌市川兴中学校本部新建项目</w:t>
      </w:r>
    </w:p>
    <w:p w14:paraId="235A9DD9">
      <w:pPr>
        <w:snapToGrid w:val="0"/>
        <w:spacing w:line="500" w:lineRule="exact"/>
        <w:jc w:val="center"/>
        <w:rPr>
          <w:rFonts w:hint="eastAsia" w:ascii="仿宋" w:hAnsi="仿宋" w:eastAsia="仿宋" w:cs="仿宋"/>
          <w:b/>
          <w:bCs/>
          <w:sz w:val="28"/>
          <w:szCs w:val="28"/>
        </w:rPr>
      </w:pPr>
      <w:r>
        <w:rPr>
          <w:rFonts w:hint="eastAsia" w:ascii="仿宋" w:hAnsi="仿宋" w:eastAsia="仿宋" w:cs="仿宋"/>
          <w:b/>
          <w:bCs/>
          <w:sz w:val="28"/>
          <w:szCs w:val="28"/>
        </w:rPr>
        <w:t>工程物资采购合同</w:t>
      </w:r>
    </w:p>
    <w:p w14:paraId="666644AD">
      <w:pPr>
        <w:snapToGrid w:val="0"/>
        <w:spacing w:line="500" w:lineRule="exact"/>
        <w:rPr>
          <w:rFonts w:hint="eastAsia" w:ascii="仿宋" w:hAnsi="仿宋" w:eastAsia="仿宋" w:cs="仿宋"/>
          <w:sz w:val="28"/>
          <w:szCs w:val="28"/>
        </w:rPr>
      </w:pPr>
    </w:p>
    <w:p w14:paraId="7C659F8C">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甲方：</w:t>
      </w:r>
      <w:r>
        <w:rPr>
          <w:rFonts w:hint="eastAsia" w:ascii="仿宋" w:hAnsi="仿宋" w:eastAsia="仿宋" w:cs="仿宋"/>
          <w:sz w:val="28"/>
          <w:szCs w:val="28"/>
          <w:u w:val="single"/>
        </w:rPr>
        <w:t>凉山州现代房屋建筑集成制造有限公司</w:t>
      </w:r>
      <w:r>
        <w:rPr>
          <w:rFonts w:hint="eastAsia" w:ascii="仿宋" w:hAnsi="仿宋" w:eastAsia="仿宋" w:cs="仿宋"/>
          <w:sz w:val="28"/>
          <w:szCs w:val="28"/>
        </w:rPr>
        <w:t xml:space="preserve">    </w:t>
      </w:r>
      <w:r>
        <w:rPr>
          <w:rFonts w:ascii="仿宋" w:hAnsi="仿宋" w:eastAsia="仿宋" w:cs="仿宋"/>
          <w:sz w:val="28"/>
          <w:szCs w:val="28"/>
        </w:rPr>
        <w:t xml:space="preserve">  </w:t>
      </w:r>
      <w:r>
        <w:rPr>
          <w:rFonts w:hint="eastAsia" w:ascii="仿宋" w:hAnsi="仿宋" w:eastAsia="仿宋" w:cs="仿宋"/>
          <w:sz w:val="28"/>
          <w:szCs w:val="28"/>
        </w:rPr>
        <w:t xml:space="preserve">合同编号： </w:t>
      </w:r>
    </w:p>
    <w:p w14:paraId="61A6C3FB">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 xml:space="preserve">            </w:t>
      </w:r>
    </w:p>
    <w:p w14:paraId="55B9536B">
      <w:pPr>
        <w:snapToGrid w:val="0"/>
        <w:spacing w:line="500" w:lineRule="exact"/>
        <w:rPr>
          <w:rFonts w:hint="eastAsia" w:ascii="仿宋" w:hAnsi="仿宋" w:eastAsia="仿宋" w:cs="仿宋"/>
          <w:sz w:val="28"/>
          <w:szCs w:val="28"/>
        </w:rPr>
      </w:pPr>
      <w:r>
        <w:rPr>
          <w:rFonts w:hint="eastAsia" w:ascii="仿宋" w:hAnsi="仿宋" w:eastAsia="仿宋" w:cs="仿宋"/>
          <w:sz w:val="28"/>
          <w:szCs w:val="28"/>
        </w:rPr>
        <w:t>乙方：</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签订地点：西昌市</w:t>
      </w:r>
    </w:p>
    <w:p w14:paraId="4B3505B6">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依照《中华人民共和国民法典》及其它相关法律法规的规定，遵循平等、自愿、公平和诚实信用的原则，经双方协商一致，订立本合同，以资共同遵照执行。</w:t>
      </w:r>
    </w:p>
    <w:p w14:paraId="4C290051">
      <w:pPr>
        <w:numPr>
          <w:ilvl w:val="0"/>
          <w:numId w:val="1"/>
        </w:numPr>
        <w:spacing w:line="500" w:lineRule="exact"/>
        <w:rPr>
          <w:rFonts w:hint="eastAsia" w:ascii="仿宋" w:hAnsi="仿宋" w:eastAsia="仿宋" w:cs="仿宋"/>
          <w:b/>
          <w:kern w:val="0"/>
          <w:sz w:val="28"/>
          <w:szCs w:val="28"/>
        </w:rPr>
      </w:pPr>
      <w:r>
        <w:rPr>
          <w:rFonts w:hint="eastAsia" w:ascii="仿宋" w:hAnsi="仿宋" w:eastAsia="仿宋" w:cs="仿宋"/>
          <w:b/>
          <w:kern w:val="0"/>
          <w:sz w:val="28"/>
          <w:szCs w:val="28"/>
        </w:rPr>
        <w:t>物资描述：</w:t>
      </w:r>
    </w:p>
    <w:tbl>
      <w:tblPr>
        <w:tblStyle w:val="4"/>
        <w:tblW w:w="9728" w:type="dxa"/>
        <w:tblInd w:w="118" w:type="dxa"/>
        <w:tblLayout w:type="fixed"/>
        <w:tblCellMar>
          <w:top w:w="0" w:type="dxa"/>
          <w:left w:w="108" w:type="dxa"/>
          <w:bottom w:w="0" w:type="dxa"/>
          <w:right w:w="108" w:type="dxa"/>
        </w:tblCellMar>
      </w:tblPr>
      <w:tblGrid>
        <w:gridCol w:w="821"/>
        <w:gridCol w:w="1635"/>
        <w:gridCol w:w="1470"/>
        <w:gridCol w:w="990"/>
        <w:gridCol w:w="1470"/>
        <w:gridCol w:w="1117"/>
        <w:gridCol w:w="1410"/>
        <w:gridCol w:w="815"/>
      </w:tblGrid>
      <w:tr w14:paraId="037731C5">
        <w:tblPrEx>
          <w:tblCellMar>
            <w:top w:w="0" w:type="dxa"/>
            <w:left w:w="108" w:type="dxa"/>
            <w:bottom w:w="0" w:type="dxa"/>
            <w:right w:w="108" w:type="dxa"/>
          </w:tblCellMar>
        </w:tblPrEx>
        <w:trPr>
          <w:trHeight w:val="610" w:hRule="atLeast"/>
        </w:trPr>
        <w:tc>
          <w:tcPr>
            <w:tcW w:w="821" w:type="dxa"/>
            <w:vMerge w:val="restart"/>
            <w:tcBorders>
              <w:top w:val="single" w:color="auto" w:sz="8" w:space="0"/>
              <w:left w:val="single" w:color="auto" w:sz="8" w:space="0"/>
              <w:bottom w:val="single" w:color="auto" w:sz="8" w:space="0"/>
              <w:right w:val="single" w:color="auto" w:sz="8" w:space="0"/>
            </w:tcBorders>
            <w:vAlign w:val="center"/>
          </w:tcPr>
          <w:p w14:paraId="5BFDFE2A">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序号</w:t>
            </w:r>
          </w:p>
        </w:tc>
        <w:tc>
          <w:tcPr>
            <w:tcW w:w="1635" w:type="dxa"/>
            <w:vMerge w:val="restart"/>
            <w:tcBorders>
              <w:top w:val="single" w:color="auto" w:sz="8" w:space="0"/>
              <w:left w:val="single" w:color="auto" w:sz="8" w:space="0"/>
              <w:bottom w:val="single" w:color="auto" w:sz="8" w:space="0"/>
              <w:right w:val="single" w:color="auto" w:sz="8" w:space="0"/>
            </w:tcBorders>
            <w:vAlign w:val="center"/>
          </w:tcPr>
          <w:p w14:paraId="35867E7D">
            <w:pPr>
              <w:widowControl/>
              <w:jc w:val="center"/>
              <w:rPr>
                <w:rFonts w:hint="eastAsia" w:ascii="宋体" w:hAnsi="宋体" w:cs="宋体"/>
                <w:b/>
                <w:bCs/>
                <w:color w:val="000000"/>
                <w:kern w:val="0"/>
                <w:sz w:val="24"/>
              </w:rPr>
            </w:pPr>
            <w:r>
              <w:rPr>
                <w:rFonts w:hint="eastAsia" w:ascii="宋体" w:hAnsi="宋体" w:cs="宋体"/>
                <w:b/>
                <w:bCs/>
                <w:color w:val="000000"/>
                <w:kern w:val="0"/>
                <w:sz w:val="24"/>
              </w:rPr>
              <w:t>材料</w:t>
            </w:r>
          </w:p>
          <w:p w14:paraId="3A0C69D3">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名称</w:t>
            </w:r>
          </w:p>
        </w:tc>
        <w:tc>
          <w:tcPr>
            <w:tcW w:w="1470" w:type="dxa"/>
            <w:vMerge w:val="restart"/>
            <w:tcBorders>
              <w:top w:val="single" w:color="auto" w:sz="8" w:space="0"/>
              <w:left w:val="single" w:color="auto" w:sz="8" w:space="0"/>
              <w:bottom w:val="single" w:color="auto" w:sz="8" w:space="0"/>
              <w:right w:val="single" w:color="auto" w:sz="8" w:space="0"/>
            </w:tcBorders>
            <w:vAlign w:val="center"/>
          </w:tcPr>
          <w:p w14:paraId="094491F5">
            <w:pPr>
              <w:widowControl/>
              <w:jc w:val="center"/>
              <w:rPr>
                <w:rFonts w:hint="eastAsia" w:ascii="宋体" w:hAnsi="宋体" w:cs="宋体"/>
                <w:b/>
                <w:bCs/>
                <w:color w:val="000000"/>
                <w:kern w:val="0"/>
                <w:sz w:val="24"/>
              </w:rPr>
            </w:pPr>
            <w:r>
              <w:rPr>
                <w:rFonts w:hint="eastAsia" w:ascii="宋体" w:hAnsi="宋体" w:cs="宋体"/>
                <w:b/>
                <w:bCs/>
                <w:color w:val="000000"/>
                <w:kern w:val="0"/>
                <w:sz w:val="24"/>
              </w:rPr>
              <w:t>规格、型号</w:t>
            </w:r>
          </w:p>
        </w:tc>
        <w:tc>
          <w:tcPr>
            <w:tcW w:w="990" w:type="dxa"/>
            <w:vMerge w:val="restart"/>
            <w:tcBorders>
              <w:top w:val="single" w:color="auto" w:sz="8" w:space="0"/>
              <w:left w:val="single" w:color="auto" w:sz="8" w:space="0"/>
              <w:bottom w:val="single" w:color="auto" w:sz="8" w:space="0"/>
              <w:right w:val="single" w:color="auto" w:sz="8" w:space="0"/>
            </w:tcBorders>
            <w:vAlign w:val="center"/>
          </w:tcPr>
          <w:p w14:paraId="26A0105D">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单位</w:t>
            </w:r>
          </w:p>
        </w:tc>
        <w:tc>
          <w:tcPr>
            <w:tcW w:w="1470" w:type="dxa"/>
            <w:vMerge w:val="restart"/>
            <w:tcBorders>
              <w:top w:val="single" w:color="auto" w:sz="8" w:space="0"/>
              <w:left w:val="single" w:color="auto" w:sz="8" w:space="0"/>
              <w:bottom w:val="single" w:color="auto" w:sz="8" w:space="0"/>
              <w:right w:val="single" w:color="auto" w:sz="8" w:space="0"/>
            </w:tcBorders>
            <w:vAlign w:val="center"/>
          </w:tcPr>
          <w:p w14:paraId="65A087A4">
            <w:pPr>
              <w:widowControl/>
              <w:jc w:val="center"/>
              <w:rPr>
                <w:rFonts w:hint="eastAsia" w:ascii="宋体" w:hAnsi="宋体" w:cs="宋体"/>
                <w:b/>
                <w:bCs/>
                <w:color w:val="000000"/>
                <w:kern w:val="0"/>
                <w:sz w:val="24"/>
              </w:rPr>
            </w:pPr>
            <w:r>
              <w:rPr>
                <w:rFonts w:hint="eastAsia" w:ascii="宋体" w:hAnsi="宋体" w:cs="宋体"/>
                <w:b/>
                <w:bCs/>
                <w:color w:val="000000"/>
                <w:kern w:val="0"/>
                <w:sz w:val="24"/>
              </w:rPr>
              <w:t>暂定量</w:t>
            </w:r>
          </w:p>
        </w:tc>
        <w:tc>
          <w:tcPr>
            <w:tcW w:w="1117" w:type="dxa"/>
            <w:vMerge w:val="restart"/>
            <w:tcBorders>
              <w:top w:val="single" w:color="auto" w:sz="8" w:space="0"/>
              <w:left w:val="single" w:color="auto" w:sz="8" w:space="0"/>
              <w:bottom w:val="single" w:color="auto" w:sz="8" w:space="0"/>
              <w:right w:val="single" w:color="auto" w:sz="8" w:space="0"/>
            </w:tcBorders>
            <w:vAlign w:val="center"/>
          </w:tcPr>
          <w:p w14:paraId="5A807FD5">
            <w:pPr>
              <w:widowControl/>
              <w:rPr>
                <w:rFonts w:hint="eastAsia" w:ascii="宋体" w:hAnsi="宋体" w:cs="宋体"/>
                <w:b/>
                <w:bCs/>
                <w:color w:val="000000"/>
                <w:kern w:val="0"/>
                <w:sz w:val="24"/>
              </w:rPr>
            </w:pPr>
            <w:r>
              <w:rPr>
                <w:rFonts w:hint="eastAsia" w:ascii="宋体" w:hAnsi="宋体" w:cs="宋体"/>
                <w:b/>
                <w:bCs/>
                <w:color w:val="000000"/>
                <w:kern w:val="0"/>
                <w:sz w:val="24"/>
              </w:rPr>
              <w:t>含税单价</w:t>
            </w:r>
          </w:p>
        </w:tc>
        <w:tc>
          <w:tcPr>
            <w:tcW w:w="1410" w:type="dxa"/>
            <w:tcBorders>
              <w:top w:val="single" w:color="auto" w:sz="8" w:space="0"/>
              <w:left w:val="nil"/>
              <w:bottom w:val="single" w:color="auto" w:sz="8" w:space="0"/>
              <w:right w:val="single" w:color="auto" w:sz="8" w:space="0"/>
            </w:tcBorders>
            <w:vAlign w:val="center"/>
          </w:tcPr>
          <w:p w14:paraId="0EB505BE">
            <w:pPr>
              <w:widowControl/>
              <w:jc w:val="center"/>
              <w:rPr>
                <w:rFonts w:hint="eastAsia" w:ascii="宋体" w:hAnsi="宋体" w:cs="宋体"/>
                <w:b/>
                <w:bCs/>
                <w:color w:val="000000"/>
                <w:kern w:val="0"/>
                <w:sz w:val="24"/>
              </w:rPr>
            </w:pPr>
            <w:r>
              <w:rPr>
                <w:rFonts w:hint="eastAsia" w:ascii="宋体" w:hAnsi="宋体" w:cs="宋体"/>
                <w:b/>
                <w:bCs/>
                <w:color w:val="000000"/>
                <w:kern w:val="0"/>
                <w:sz w:val="24"/>
              </w:rPr>
              <w:t>暂定总价</w:t>
            </w:r>
          </w:p>
        </w:tc>
        <w:tc>
          <w:tcPr>
            <w:tcW w:w="815" w:type="dxa"/>
            <w:vMerge w:val="restart"/>
            <w:tcBorders>
              <w:top w:val="single" w:color="auto" w:sz="8" w:space="0"/>
              <w:left w:val="single" w:color="auto" w:sz="8" w:space="0"/>
              <w:bottom w:val="single" w:color="auto" w:sz="8" w:space="0"/>
              <w:right w:val="single" w:color="auto" w:sz="8" w:space="0"/>
            </w:tcBorders>
            <w:noWrap/>
            <w:vAlign w:val="center"/>
          </w:tcPr>
          <w:p w14:paraId="51AA0B0F">
            <w:pPr>
              <w:widowControl/>
              <w:jc w:val="center"/>
              <w:rPr>
                <w:rFonts w:hint="eastAsia" w:ascii="宋体" w:hAnsi="宋体" w:cs="宋体"/>
                <w:b/>
                <w:bCs/>
                <w:color w:val="000000"/>
                <w:kern w:val="0"/>
                <w:sz w:val="22"/>
                <w:szCs w:val="22"/>
              </w:rPr>
            </w:pPr>
            <w:r>
              <w:rPr>
                <w:rFonts w:hint="eastAsia" w:ascii="宋体" w:hAnsi="宋体" w:cs="宋体"/>
                <w:b/>
                <w:bCs/>
                <w:color w:val="000000"/>
                <w:kern w:val="0"/>
                <w:sz w:val="22"/>
                <w:szCs w:val="22"/>
              </w:rPr>
              <w:t>备注</w:t>
            </w:r>
          </w:p>
        </w:tc>
      </w:tr>
      <w:tr w14:paraId="652CF8BA">
        <w:tblPrEx>
          <w:tblCellMar>
            <w:top w:w="0" w:type="dxa"/>
            <w:left w:w="108" w:type="dxa"/>
            <w:bottom w:w="0" w:type="dxa"/>
            <w:right w:w="108" w:type="dxa"/>
          </w:tblCellMar>
        </w:tblPrEx>
        <w:trPr>
          <w:trHeight w:val="310" w:hRule="atLeast"/>
        </w:trPr>
        <w:tc>
          <w:tcPr>
            <w:tcW w:w="821" w:type="dxa"/>
            <w:vMerge w:val="continue"/>
            <w:tcBorders>
              <w:top w:val="single" w:color="auto" w:sz="8" w:space="0"/>
              <w:left w:val="single" w:color="auto" w:sz="8" w:space="0"/>
              <w:bottom w:val="single" w:color="auto" w:sz="8" w:space="0"/>
              <w:right w:val="single" w:color="auto" w:sz="8" w:space="0"/>
            </w:tcBorders>
            <w:vAlign w:val="center"/>
          </w:tcPr>
          <w:p w14:paraId="0EBCF496">
            <w:pPr>
              <w:widowControl/>
              <w:jc w:val="left"/>
              <w:rPr>
                <w:rFonts w:hint="eastAsia" w:ascii="宋体" w:hAnsi="宋体" w:cs="宋体"/>
                <w:b/>
                <w:bCs/>
                <w:color w:val="000000"/>
                <w:kern w:val="0"/>
                <w:sz w:val="24"/>
              </w:rPr>
            </w:pPr>
          </w:p>
        </w:tc>
        <w:tc>
          <w:tcPr>
            <w:tcW w:w="1635" w:type="dxa"/>
            <w:vMerge w:val="continue"/>
            <w:tcBorders>
              <w:top w:val="single" w:color="auto" w:sz="8" w:space="0"/>
              <w:left w:val="single" w:color="auto" w:sz="8" w:space="0"/>
              <w:bottom w:val="single" w:color="auto" w:sz="8" w:space="0"/>
              <w:right w:val="single" w:color="auto" w:sz="8" w:space="0"/>
            </w:tcBorders>
            <w:vAlign w:val="center"/>
          </w:tcPr>
          <w:p w14:paraId="01FFE3CE">
            <w:pPr>
              <w:widowControl/>
              <w:jc w:val="left"/>
              <w:rPr>
                <w:rFonts w:hint="eastAsia" w:ascii="宋体" w:hAnsi="宋体" w:cs="宋体"/>
                <w:b/>
                <w:bCs/>
                <w:color w:val="000000"/>
                <w:kern w:val="0"/>
                <w:sz w:val="24"/>
              </w:rPr>
            </w:pPr>
          </w:p>
        </w:tc>
        <w:tc>
          <w:tcPr>
            <w:tcW w:w="1470" w:type="dxa"/>
            <w:vMerge w:val="continue"/>
            <w:tcBorders>
              <w:top w:val="single" w:color="auto" w:sz="8" w:space="0"/>
              <w:left w:val="single" w:color="auto" w:sz="8" w:space="0"/>
              <w:bottom w:val="single" w:color="auto" w:sz="8" w:space="0"/>
              <w:right w:val="single" w:color="auto" w:sz="8" w:space="0"/>
            </w:tcBorders>
            <w:vAlign w:val="center"/>
          </w:tcPr>
          <w:p w14:paraId="50D309FC">
            <w:pPr>
              <w:widowControl/>
              <w:jc w:val="left"/>
              <w:rPr>
                <w:rFonts w:hint="eastAsia" w:ascii="宋体" w:hAnsi="宋体" w:cs="宋体"/>
                <w:b/>
                <w:bCs/>
                <w:color w:val="000000"/>
                <w:kern w:val="0"/>
                <w:sz w:val="24"/>
              </w:rPr>
            </w:pPr>
          </w:p>
        </w:tc>
        <w:tc>
          <w:tcPr>
            <w:tcW w:w="990" w:type="dxa"/>
            <w:vMerge w:val="continue"/>
            <w:tcBorders>
              <w:top w:val="single" w:color="auto" w:sz="8" w:space="0"/>
              <w:left w:val="single" w:color="auto" w:sz="8" w:space="0"/>
              <w:bottom w:val="single" w:color="auto" w:sz="8" w:space="0"/>
              <w:right w:val="single" w:color="auto" w:sz="8" w:space="0"/>
            </w:tcBorders>
            <w:vAlign w:val="center"/>
          </w:tcPr>
          <w:p w14:paraId="4B32F293">
            <w:pPr>
              <w:widowControl/>
              <w:jc w:val="left"/>
              <w:rPr>
                <w:rFonts w:hint="eastAsia" w:ascii="宋体" w:hAnsi="宋体" w:cs="宋体"/>
                <w:b/>
                <w:bCs/>
                <w:color w:val="000000"/>
                <w:kern w:val="0"/>
                <w:sz w:val="24"/>
              </w:rPr>
            </w:pPr>
          </w:p>
        </w:tc>
        <w:tc>
          <w:tcPr>
            <w:tcW w:w="1470" w:type="dxa"/>
            <w:vMerge w:val="continue"/>
            <w:tcBorders>
              <w:top w:val="single" w:color="auto" w:sz="8" w:space="0"/>
              <w:left w:val="single" w:color="auto" w:sz="8" w:space="0"/>
              <w:bottom w:val="single" w:color="auto" w:sz="8" w:space="0"/>
              <w:right w:val="single" w:color="auto" w:sz="8" w:space="0"/>
            </w:tcBorders>
            <w:vAlign w:val="center"/>
          </w:tcPr>
          <w:p w14:paraId="7C90BCB4">
            <w:pPr>
              <w:widowControl/>
              <w:jc w:val="left"/>
              <w:rPr>
                <w:rFonts w:hint="eastAsia" w:ascii="宋体" w:hAnsi="宋体" w:cs="宋体"/>
                <w:b/>
                <w:bCs/>
                <w:color w:val="000000"/>
                <w:kern w:val="0"/>
                <w:sz w:val="24"/>
              </w:rPr>
            </w:pPr>
          </w:p>
        </w:tc>
        <w:tc>
          <w:tcPr>
            <w:tcW w:w="1117" w:type="dxa"/>
            <w:vMerge w:val="continue"/>
            <w:tcBorders>
              <w:top w:val="single" w:color="auto" w:sz="8" w:space="0"/>
              <w:left w:val="single" w:color="auto" w:sz="8" w:space="0"/>
              <w:bottom w:val="single" w:color="auto" w:sz="8" w:space="0"/>
              <w:right w:val="single" w:color="auto" w:sz="8" w:space="0"/>
            </w:tcBorders>
            <w:vAlign w:val="center"/>
          </w:tcPr>
          <w:p w14:paraId="57A43449">
            <w:pPr>
              <w:widowControl/>
              <w:jc w:val="left"/>
              <w:rPr>
                <w:rFonts w:hint="eastAsia" w:ascii="宋体" w:hAnsi="宋体" w:cs="宋体"/>
                <w:b/>
                <w:bCs/>
                <w:color w:val="000000"/>
                <w:kern w:val="0"/>
                <w:sz w:val="24"/>
              </w:rPr>
            </w:pPr>
          </w:p>
        </w:tc>
        <w:tc>
          <w:tcPr>
            <w:tcW w:w="1410" w:type="dxa"/>
            <w:tcBorders>
              <w:top w:val="nil"/>
              <w:left w:val="nil"/>
              <w:bottom w:val="single" w:color="auto" w:sz="8" w:space="0"/>
              <w:right w:val="single" w:color="auto" w:sz="8" w:space="0"/>
            </w:tcBorders>
            <w:vAlign w:val="center"/>
          </w:tcPr>
          <w:p w14:paraId="5176A7C4">
            <w:pPr>
              <w:widowControl/>
              <w:jc w:val="center"/>
              <w:rPr>
                <w:rFonts w:hint="eastAsia" w:ascii="宋体" w:hAnsi="宋体" w:cs="宋体"/>
                <w:b/>
                <w:bCs/>
                <w:color w:val="000000"/>
                <w:kern w:val="0"/>
                <w:sz w:val="24"/>
              </w:rPr>
            </w:pPr>
            <w:r>
              <w:rPr>
                <w:rFonts w:hint="eastAsia" w:ascii="宋体" w:hAnsi="宋体" w:cs="宋体"/>
                <w:b/>
                <w:bCs/>
                <w:color w:val="000000"/>
                <w:kern w:val="0"/>
                <w:sz w:val="24"/>
              </w:rPr>
              <w:t>（元）</w:t>
            </w:r>
          </w:p>
        </w:tc>
        <w:tc>
          <w:tcPr>
            <w:tcW w:w="815" w:type="dxa"/>
            <w:vMerge w:val="continue"/>
            <w:tcBorders>
              <w:top w:val="single" w:color="auto" w:sz="8" w:space="0"/>
              <w:left w:val="single" w:color="auto" w:sz="8" w:space="0"/>
              <w:bottom w:val="single" w:color="auto" w:sz="8" w:space="0"/>
              <w:right w:val="single" w:color="auto" w:sz="8" w:space="0"/>
            </w:tcBorders>
            <w:vAlign w:val="center"/>
          </w:tcPr>
          <w:p w14:paraId="500EDC79">
            <w:pPr>
              <w:widowControl/>
              <w:jc w:val="left"/>
              <w:rPr>
                <w:rFonts w:hint="eastAsia" w:ascii="宋体" w:hAnsi="宋体" w:cs="宋体"/>
                <w:b/>
                <w:bCs/>
                <w:color w:val="000000"/>
                <w:kern w:val="0"/>
                <w:sz w:val="22"/>
                <w:szCs w:val="22"/>
              </w:rPr>
            </w:pPr>
          </w:p>
        </w:tc>
      </w:tr>
      <w:tr w14:paraId="281BFE19">
        <w:tblPrEx>
          <w:tblCellMar>
            <w:top w:w="0" w:type="dxa"/>
            <w:left w:w="108" w:type="dxa"/>
            <w:bottom w:w="0" w:type="dxa"/>
            <w:right w:w="108" w:type="dxa"/>
          </w:tblCellMar>
        </w:tblPrEx>
        <w:trPr>
          <w:trHeight w:val="850" w:hRule="atLeast"/>
        </w:trPr>
        <w:tc>
          <w:tcPr>
            <w:tcW w:w="821" w:type="dxa"/>
            <w:tcBorders>
              <w:top w:val="nil"/>
              <w:left w:val="single" w:color="auto" w:sz="8" w:space="0"/>
              <w:bottom w:val="single" w:color="auto" w:sz="8" w:space="0"/>
              <w:right w:val="single" w:color="auto" w:sz="8" w:space="0"/>
            </w:tcBorders>
            <w:vAlign w:val="center"/>
          </w:tcPr>
          <w:p w14:paraId="094EF18F">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lang w:bidi="ar"/>
              </w:rPr>
              <w:t>1</w:t>
            </w:r>
          </w:p>
        </w:tc>
        <w:tc>
          <w:tcPr>
            <w:tcW w:w="1635" w:type="dxa"/>
            <w:tcBorders>
              <w:top w:val="nil"/>
              <w:left w:val="nil"/>
              <w:bottom w:val="single" w:color="auto" w:sz="8" w:space="0"/>
              <w:right w:val="single" w:color="auto" w:sz="8" w:space="0"/>
            </w:tcBorders>
            <w:noWrap/>
            <w:vAlign w:val="center"/>
          </w:tcPr>
          <w:p w14:paraId="3495A356">
            <w:pPr>
              <w:widowControl/>
              <w:jc w:val="center"/>
              <w:textAlignment w:val="center"/>
              <w:rPr>
                <w:rFonts w:hint="default" w:ascii="宋体" w:hAnsi="宋体" w:cs="宋体"/>
                <w:color w:val="000000"/>
                <w:kern w:val="0"/>
                <w:sz w:val="22"/>
                <w:szCs w:val="22"/>
                <w:lang w:val="en-US"/>
              </w:rPr>
            </w:pPr>
            <w:r>
              <w:rPr>
                <w:rFonts w:hint="eastAsia" w:ascii="微软雅黑" w:hAnsi="微软雅黑" w:eastAsia="微软雅黑" w:cs="微软雅黑"/>
                <w:i w:val="0"/>
                <w:iCs w:val="0"/>
                <w:color w:val="000000"/>
                <w:sz w:val="20"/>
                <w:szCs w:val="20"/>
                <w:u w:val="none"/>
                <w:lang w:val="en-US" w:eastAsia="zh-CN"/>
              </w:rPr>
              <w:t>全瓷防滑地砖</w:t>
            </w:r>
          </w:p>
        </w:tc>
        <w:tc>
          <w:tcPr>
            <w:tcW w:w="1470" w:type="dxa"/>
            <w:tcBorders>
              <w:top w:val="nil"/>
              <w:left w:val="nil"/>
              <w:bottom w:val="single" w:color="auto" w:sz="8" w:space="0"/>
              <w:right w:val="single" w:color="auto" w:sz="8" w:space="0"/>
            </w:tcBorders>
            <w:vAlign w:val="center"/>
          </w:tcPr>
          <w:p w14:paraId="6BA7F068">
            <w:pPr>
              <w:widowControl/>
              <w:jc w:val="center"/>
              <w:textAlignment w:val="center"/>
              <w:rPr>
                <w:rFonts w:hint="default" w:ascii="宋体" w:hAnsi="宋体" w:eastAsia="宋体" w:cs="宋体"/>
                <w:color w:val="000000"/>
                <w:kern w:val="0"/>
                <w:sz w:val="22"/>
                <w:szCs w:val="22"/>
                <w:lang w:val="en-US" w:eastAsia="zh-CN"/>
              </w:rPr>
            </w:pPr>
            <w:r>
              <w:rPr>
                <w:rFonts w:hint="default" w:ascii="微软雅黑" w:hAnsi="微软雅黑" w:eastAsia="微软雅黑" w:cs="微软雅黑"/>
                <w:i w:val="0"/>
                <w:iCs w:val="0"/>
                <w:color w:val="000000"/>
                <w:sz w:val="20"/>
                <w:szCs w:val="20"/>
                <w:u w:val="none"/>
                <w:lang w:val="en-US" w:eastAsia="zh-CN"/>
              </w:rPr>
              <w:t>800*800</w:t>
            </w:r>
          </w:p>
        </w:tc>
        <w:tc>
          <w:tcPr>
            <w:tcW w:w="990" w:type="dxa"/>
            <w:tcBorders>
              <w:top w:val="nil"/>
              <w:left w:val="nil"/>
              <w:bottom w:val="single" w:color="auto" w:sz="8" w:space="0"/>
              <w:right w:val="single" w:color="auto" w:sz="8" w:space="0"/>
            </w:tcBorders>
            <w:noWrap/>
            <w:vAlign w:val="center"/>
          </w:tcPr>
          <w:p w14:paraId="24BEC1A4">
            <w:pPr>
              <w:widowControl/>
              <w:jc w:val="center"/>
              <w:textAlignment w:val="center"/>
              <w:rPr>
                <w:rFonts w:hint="eastAsia" w:ascii="宋体" w:hAnsi="宋体" w:eastAsia="宋体" w:cs="宋体"/>
                <w:color w:val="000000"/>
                <w:kern w:val="0"/>
                <w:sz w:val="22"/>
                <w:szCs w:val="22"/>
                <w:lang w:eastAsia="zh-CN"/>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noWrap/>
            <w:vAlign w:val="center"/>
          </w:tcPr>
          <w:p w14:paraId="45176DCB">
            <w:pPr>
              <w:widowControl/>
              <w:jc w:val="center"/>
              <w:textAlignment w:val="center"/>
              <w:rPr>
                <w:rFonts w:hint="default" w:ascii="宋体" w:hAnsi="宋体" w:eastAsia="宋体" w:cs="宋体"/>
                <w:color w:val="000000"/>
                <w:kern w:val="0"/>
                <w:sz w:val="22"/>
                <w:szCs w:val="22"/>
                <w:lang w:val="en-US" w:eastAsia="zh-CN"/>
              </w:rPr>
            </w:pPr>
            <w:r>
              <w:rPr>
                <w:rFonts w:hint="eastAsia" w:ascii="微软雅黑" w:hAnsi="微软雅黑" w:eastAsia="微软雅黑" w:cs="微软雅黑"/>
                <w:i w:val="0"/>
                <w:iCs w:val="0"/>
                <w:color w:val="000000"/>
                <w:sz w:val="22"/>
                <w:szCs w:val="22"/>
                <w:u w:val="none"/>
                <w:lang w:val="en-US" w:eastAsia="zh-CN"/>
              </w:rPr>
              <w:t>20360</w:t>
            </w:r>
          </w:p>
        </w:tc>
        <w:tc>
          <w:tcPr>
            <w:tcW w:w="1117" w:type="dxa"/>
            <w:tcBorders>
              <w:top w:val="nil"/>
              <w:left w:val="nil"/>
              <w:bottom w:val="single" w:color="auto" w:sz="8" w:space="0"/>
              <w:right w:val="single" w:color="auto" w:sz="8" w:space="0"/>
            </w:tcBorders>
            <w:noWrap/>
            <w:vAlign w:val="center"/>
          </w:tcPr>
          <w:p w14:paraId="2EDBEDF2">
            <w:pPr>
              <w:widowControl/>
              <w:jc w:val="center"/>
              <w:textAlignment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noWrap/>
            <w:vAlign w:val="center"/>
          </w:tcPr>
          <w:p w14:paraId="464437A7">
            <w:pPr>
              <w:widowControl/>
              <w:jc w:val="center"/>
              <w:textAlignment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vAlign w:val="center"/>
          </w:tcPr>
          <w:p w14:paraId="4217DA3C">
            <w:pPr>
              <w:widowControl/>
              <w:jc w:val="center"/>
              <w:textAlignment w:val="center"/>
              <w:rPr>
                <w:rFonts w:hint="eastAsia" w:ascii="宋体" w:hAnsi="宋体" w:cs="宋体"/>
                <w:color w:val="000000"/>
                <w:kern w:val="0"/>
                <w:sz w:val="22"/>
                <w:szCs w:val="22"/>
              </w:rPr>
            </w:pPr>
          </w:p>
        </w:tc>
      </w:tr>
      <w:tr w14:paraId="34D639F2">
        <w:tblPrEx>
          <w:tblCellMar>
            <w:top w:w="0" w:type="dxa"/>
            <w:left w:w="108" w:type="dxa"/>
            <w:bottom w:w="0" w:type="dxa"/>
            <w:right w:w="108" w:type="dxa"/>
          </w:tblCellMar>
        </w:tblPrEx>
        <w:trPr>
          <w:trHeight w:val="850" w:hRule="atLeast"/>
        </w:trPr>
        <w:tc>
          <w:tcPr>
            <w:tcW w:w="821" w:type="dxa"/>
            <w:tcBorders>
              <w:top w:val="nil"/>
              <w:left w:val="single" w:color="auto" w:sz="8" w:space="0"/>
              <w:bottom w:val="single" w:color="auto" w:sz="8" w:space="0"/>
              <w:right w:val="single" w:color="auto" w:sz="8" w:space="0"/>
            </w:tcBorders>
            <w:vAlign w:val="center"/>
          </w:tcPr>
          <w:p w14:paraId="54EFD7CD">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lang w:bidi="ar"/>
              </w:rPr>
              <w:t>2</w:t>
            </w:r>
          </w:p>
        </w:tc>
        <w:tc>
          <w:tcPr>
            <w:tcW w:w="1635" w:type="dxa"/>
            <w:tcBorders>
              <w:top w:val="nil"/>
              <w:left w:val="nil"/>
              <w:bottom w:val="single" w:color="auto" w:sz="8" w:space="0"/>
              <w:right w:val="single" w:color="auto" w:sz="8" w:space="0"/>
            </w:tcBorders>
            <w:noWrap/>
            <w:vAlign w:val="center"/>
          </w:tcPr>
          <w:p w14:paraId="1036C1B2">
            <w:pPr>
              <w:widowControl/>
              <w:jc w:val="center"/>
              <w:textAlignment w:val="center"/>
              <w:rPr>
                <w:rFonts w:hint="default" w:ascii="宋体" w:hAnsi="宋体" w:eastAsia="宋体" w:cs="宋体"/>
                <w:color w:val="000000"/>
                <w:kern w:val="0"/>
                <w:sz w:val="22"/>
                <w:szCs w:val="22"/>
                <w:lang w:val="en-US" w:eastAsia="zh-CN"/>
              </w:rPr>
            </w:pPr>
            <w:r>
              <w:rPr>
                <w:rFonts w:hint="eastAsia" w:ascii="微软雅黑" w:hAnsi="微软雅黑" w:eastAsia="微软雅黑" w:cs="微软雅黑"/>
                <w:i w:val="0"/>
                <w:iCs w:val="0"/>
                <w:color w:val="000000"/>
                <w:sz w:val="20"/>
                <w:szCs w:val="20"/>
                <w:u w:val="none"/>
                <w:lang w:val="en-US" w:eastAsia="zh-CN"/>
              </w:rPr>
              <w:t>全瓷防滑地砖</w:t>
            </w:r>
          </w:p>
        </w:tc>
        <w:tc>
          <w:tcPr>
            <w:tcW w:w="1470" w:type="dxa"/>
            <w:tcBorders>
              <w:top w:val="nil"/>
              <w:left w:val="nil"/>
              <w:bottom w:val="single" w:color="auto" w:sz="8" w:space="0"/>
              <w:right w:val="single" w:color="auto" w:sz="8" w:space="0"/>
            </w:tcBorders>
            <w:vAlign w:val="center"/>
          </w:tcPr>
          <w:p w14:paraId="1FB1848F">
            <w:pPr>
              <w:widowControl/>
              <w:jc w:val="center"/>
              <w:textAlignment w:val="center"/>
              <w:rPr>
                <w:rFonts w:hint="default" w:ascii="宋体" w:hAnsi="宋体" w:eastAsia="宋体" w:cs="宋体"/>
                <w:color w:val="000000"/>
                <w:kern w:val="0"/>
                <w:sz w:val="22"/>
                <w:szCs w:val="22"/>
                <w:lang w:val="en-US" w:eastAsia="zh-CN"/>
              </w:rPr>
            </w:pPr>
            <w:r>
              <w:rPr>
                <w:rFonts w:hint="default" w:ascii="微软雅黑" w:hAnsi="微软雅黑" w:eastAsia="微软雅黑" w:cs="微软雅黑"/>
                <w:i w:val="0"/>
                <w:iCs w:val="0"/>
                <w:color w:val="000000"/>
                <w:sz w:val="20"/>
                <w:szCs w:val="20"/>
                <w:u w:val="none"/>
                <w:lang w:val="en-US" w:eastAsia="zh-CN"/>
              </w:rPr>
              <w:t>800*150</w:t>
            </w:r>
          </w:p>
        </w:tc>
        <w:tc>
          <w:tcPr>
            <w:tcW w:w="990" w:type="dxa"/>
            <w:tcBorders>
              <w:top w:val="nil"/>
              <w:left w:val="nil"/>
              <w:bottom w:val="single" w:color="auto" w:sz="8" w:space="0"/>
              <w:right w:val="single" w:color="auto" w:sz="8" w:space="0"/>
            </w:tcBorders>
            <w:noWrap/>
            <w:vAlign w:val="center"/>
          </w:tcPr>
          <w:p w14:paraId="783732F2">
            <w:pPr>
              <w:widowControl/>
              <w:jc w:val="center"/>
              <w:textAlignment w:val="center"/>
              <w:rPr>
                <w:rFonts w:hint="eastAsia" w:ascii="宋体" w:hAnsi="宋体" w:cs="宋体"/>
                <w:color w:val="000000"/>
                <w:kern w:val="0"/>
                <w:sz w:val="22"/>
                <w:szCs w:val="22"/>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noWrap/>
            <w:vAlign w:val="center"/>
          </w:tcPr>
          <w:p w14:paraId="78AA5550">
            <w:pPr>
              <w:widowControl/>
              <w:jc w:val="center"/>
              <w:textAlignment w:val="center"/>
              <w:rPr>
                <w:rFonts w:hint="default" w:ascii="宋体" w:hAnsi="宋体" w:eastAsia="宋体" w:cs="宋体"/>
                <w:color w:val="000000"/>
                <w:kern w:val="0"/>
                <w:sz w:val="22"/>
                <w:szCs w:val="22"/>
                <w:lang w:val="en-US" w:eastAsia="zh-CN"/>
              </w:rPr>
            </w:pPr>
            <w:r>
              <w:rPr>
                <w:rFonts w:hint="eastAsia" w:ascii="微软雅黑" w:hAnsi="微软雅黑" w:eastAsia="微软雅黑" w:cs="微软雅黑"/>
                <w:i w:val="0"/>
                <w:iCs w:val="0"/>
                <w:color w:val="000000"/>
                <w:kern w:val="0"/>
                <w:sz w:val="22"/>
                <w:szCs w:val="22"/>
                <w:u w:val="none"/>
                <w:lang w:val="en-US" w:eastAsia="zh-CN" w:bidi="ar"/>
              </w:rPr>
              <w:t>135</w:t>
            </w:r>
          </w:p>
        </w:tc>
        <w:tc>
          <w:tcPr>
            <w:tcW w:w="1117" w:type="dxa"/>
            <w:tcBorders>
              <w:top w:val="nil"/>
              <w:left w:val="nil"/>
              <w:bottom w:val="single" w:color="auto" w:sz="8" w:space="0"/>
              <w:right w:val="single" w:color="auto" w:sz="8" w:space="0"/>
            </w:tcBorders>
            <w:noWrap/>
            <w:vAlign w:val="center"/>
          </w:tcPr>
          <w:p w14:paraId="3997D161">
            <w:pPr>
              <w:widowControl/>
              <w:jc w:val="center"/>
              <w:textAlignment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noWrap/>
            <w:vAlign w:val="center"/>
          </w:tcPr>
          <w:p w14:paraId="10483EB2">
            <w:pPr>
              <w:widowControl/>
              <w:jc w:val="center"/>
              <w:textAlignment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vAlign w:val="center"/>
          </w:tcPr>
          <w:p w14:paraId="3E99FEF1">
            <w:pPr>
              <w:widowControl/>
              <w:jc w:val="center"/>
              <w:textAlignment w:val="center"/>
              <w:rPr>
                <w:rFonts w:hint="eastAsia" w:ascii="宋体" w:hAnsi="宋体" w:cs="宋体"/>
                <w:color w:val="000000"/>
                <w:kern w:val="0"/>
                <w:sz w:val="22"/>
                <w:szCs w:val="22"/>
              </w:rPr>
            </w:pPr>
          </w:p>
        </w:tc>
      </w:tr>
      <w:tr w14:paraId="47684DD1">
        <w:tblPrEx>
          <w:tblCellMar>
            <w:top w:w="0" w:type="dxa"/>
            <w:left w:w="108" w:type="dxa"/>
            <w:bottom w:w="0" w:type="dxa"/>
            <w:right w:w="108" w:type="dxa"/>
          </w:tblCellMar>
        </w:tblPrEx>
        <w:trPr>
          <w:trHeight w:val="850" w:hRule="atLeast"/>
        </w:trPr>
        <w:tc>
          <w:tcPr>
            <w:tcW w:w="821" w:type="dxa"/>
            <w:tcBorders>
              <w:top w:val="nil"/>
              <w:left w:val="single" w:color="auto" w:sz="8" w:space="0"/>
              <w:bottom w:val="single" w:color="auto" w:sz="8" w:space="0"/>
              <w:right w:val="single" w:color="auto" w:sz="8" w:space="0"/>
            </w:tcBorders>
            <w:vAlign w:val="center"/>
          </w:tcPr>
          <w:p w14:paraId="1979BCF4">
            <w:pPr>
              <w:widowControl/>
              <w:jc w:val="center"/>
              <w:textAlignment w:val="center"/>
              <w:rPr>
                <w:rFonts w:hint="eastAsia" w:ascii="宋体" w:hAnsi="宋体" w:cs="宋体"/>
                <w:color w:val="000000"/>
                <w:kern w:val="0"/>
                <w:sz w:val="24"/>
              </w:rPr>
            </w:pPr>
            <w:r>
              <w:rPr>
                <w:rFonts w:hint="eastAsia" w:ascii="宋体" w:hAnsi="宋体" w:cs="宋体"/>
                <w:color w:val="000000"/>
                <w:kern w:val="0"/>
                <w:sz w:val="24"/>
                <w:lang w:bidi="ar"/>
              </w:rPr>
              <w:t>3</w:t>
            </w:r>
          </w:p>
        </w:tc>
        <w:tc>
          <w:tcPr>
            <w:tcW w:w="1635" w:type="dxa"/>
            <w:tcBorders>
              <w:top w:val="nil"/>
              <w:left w:val="nil"/>
              <w:bottom w:val="single" w:color="auto" w:sz="8" w:space="0"/>
              <w:right w:val="single" w:color="auto" w:sz="8" w:space="0"/>
            </w:tcBorders>
            <w:noWrap/>
            <w:vAlign w:val="center"/>
          </w:tcPr>
          <w:p w14:paraId="6E528D6B">
            <w:pPr>
              <w:widowControl/>
              <w:jc w:val="center"/>
              <w:textAlignment w:val="center"/>
              <w:rPr>
                <w:rFonts w:hint="default" w:ascii="宋体" w:hAnsi="宋体" w:eastAsia="宋体" w:cs="宋体"/>
                <w:color w:val="000000"/>
                <w:kern w:val="0"/>
                <w:sz w:val="22"/>
                <w:szCs w:val="22"/>
                <w:lang w:val="en-US" w:eastAsia="zh-CN"/>
              </w:rPr>
            </w:pPr>
            <w:r>
              <w:rPr>
                <w:rFonts w:hint="eastAsia" w:ascii="微软雅黑" w:hAnsi="微软雅黑" w:eastAsia="微软雅黑" w:cs="微软雅黑"/>
                <w:i w:val="0"/>
                <w:iCs w:val="0"/>
                <w:color w:val="000000"/>
                <w:sz w:val="20"/>
                <w:szCs w:val="20"/>
                <w:u w:val="none"/>
                <w:lang w:val="en-US" w:eastAsia="zh-CN"/>
              </w:rPr>
              <w:t>全瓷防滑地砖</w:t>
            </w:r>
          </w:p>
        </w:tc>
        <w:tc>
          <w:tcPr>
            <w:tcW w:w="1470" w:type="dxa"/>
            <w:tcBorders>
              <w:top w:val="nil"/>
              <w:left w:val="nil"/>
              <w:bottom w:val="single" w:color="auto" w:sz="8" w:space="0"/>
              <w:right w:val="single" w:color="auto" w:sz="8" w:space="0"/>
            </w:tcBorders>
            <w:vAlign w:val="center"/>
          </w:tcPr>
          <w:p w14:paraId="70082539">
            <w:pPr>
              <w:widowControl/>
              <w:jc w:val="center"/>
              <w:textAlignment w:val="center"/>
              <w:rPr>
                <w:rFonts w:hint="default" w:ascii="宋体" w:hAnsi="宋体" w:eastAsia="宋体" w:cs="宋体"/>
                <w:color w:val="000000"/>
                <w:kern w:val="0"/>
                <w:sz w:val="22"/>
                <w:szCs w:val="22"/>
                <w:lang w:val="en-US" w:eastAsia="zh-CN"/>
              </w:rPr>
            </w:pPr>
            <w:r>
              <w:rPr>
                <w:rFonts w:hint="eastAsia" w:ascii="微软雅黑" w:hAnsi="微软雅黑" w:eastAsia="微软雅黑" w:cs="微软雅黑"/>
                <w:i w:val="0"/>
                <w:iCs w:val="0"/>
                <w:color w:val="000000"/>
                <w:sz w:val="20"/>
                <w:szCs w:val="20"/>
                <w:u w:val="none"/>
                <w:lang w:val="en-US" w:eastAsia="zh-CN"/>
              </w:rPr>
              <w:t>800*280</w:t>
            </w:r>
          </w:p>
        </w:tc>
        <w:tc>
          <w:tcPr>
            <w:tcW w:w="990" w:type="dxa"/>
            <w:tcBorders>
              <w:top w:val="nil"/>
              <w:left w:val="nil"/>
              <w:bottom w:val="single" w:color="auto" w:sz="8" w:space="0"/>
              <w:right w:val="single" w:color="auto" w:sz="8" w:space="0"/>
            </w:tcBorders>
            <w:noWrap/>
            <w:vAlign w:val="center"/>
          </w:tcPr>
          <w:p w14:paraId="0388F685">
            <w:pPr>
              <w:widowControl/>
              <w:jc w:val="center"/>
              <w:textAlignment w:val="center"/>
              <w:rPr>
                <w:rFonts w:hint="eastAsia" w:ascii="宋体" w:hAnsi="宋体" w:cs="宋体"/>
                <w:color w:val="000000"/>
                <w:kern w:val="0"/>
                <w:sz w:val="22"/>
                <w:szCs w:val="22"/>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noWrap/>
            <w:vAlign w:val="center"/>
          </w:tcPr>
          <w:p w14:paraId="3865F4B4">
            <w:pPr>
              <w:widowControl/>
              <w:jc w:val="center"/>
              <w:textAlignment w:val="center"/>
              <w:rPr>
                <w:rFonts w:hint="default" w:ascii="宋体" w:hAnsi="宋体" w:eastAsia="宋体" w:cs="宋体"/>
                <w:color w:val="000000"/>
                <w:kern w:val="0"/>
                <w:sz w:val="22"/>
                <w:szCs w:val="22"/>
                <w:lang w:val="en-US" w:eastAsia="zh-CN"/>
              </w:rPr>
            </w:pPr>
            <w:r>
              <w:rPr>
                <w:rFonts w:hint="eastAsia" w:ascii="微软雅黑" w:hAnsi="微软雅黑" w:eastAsia="微软雅黑" w:cs="微软雅黑"/>
                <w:i w:val="0"/>
                <w:iCs w:val="0"/>
                <w:color w:val="000000"/>
                <w:kern w:val="0"/>
                <w:sz w:val="22"/>
                <w:szCs w:val="22"/>
                <w:u w:val="none"/>
                <w:lang w:val="en-US" w:eastAsia="zh-CN" w:bidi="ar"/>
              </w:rPr>
              <w:t>93</w:t>
            </w:r>
          </w:p>
        </w:tc>
        <w:tc>
          <w:tcPr>
            <w:tcW w:w="1117" w:type="dxa"/>
            <w:tcBorders>
              <w:top w:val="nil"/>
              <w:left w:val="nil"/>
              <w:bottom w:val="single" w:color="auto" w:sz="8" w:space="0"/>
              <w:right w:val="single" w:color="auto" w:sz="8" w:space="0"/>
            </w:tcBorders>
            <w:noWrap/>
            <w:vAlign w:val="center"/>
          </w:tcPr>
          <w:p w14:paraId="3A69738F">
            <w:pPr>
              <w:widowControl/>
              <w:jc w:val="center"/>
              <w:textAlignment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noWrap/>
            <w:vAlign w:val="center"/>
          </w:tcPr>
          <w:p w14:paraId="7A830A70">
            <w:pPr>
              <w:widowControl/>
              <w:jc w:val="center"/>
              <w:textAlignment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vAlign w:val="center"/>
          </w:tcPr>
          <w:p w14:paraId="1034748F">
            <w:pPr>
              <w:widowControl/>
              <w:jc w:val="center"/>
              <w:textAlignment w:val="center"/>
              <w:rPr>
                <w:rFonts w:hint="default" w:ascii="宋体" w:hAnsi="宋体" w:eastAsia="宋体" w:cs="宋体"/>
                <w:color w:val="000000"/>
                <w:kern w:val="0"/>
                <w:sz w:val="22"/>
                <w:szCs w:val="22"/>
                <w:lang w:val="en-US" w:eastAsia="zh-CN"/>
              </w:rPr>
            </w:pPr>
          </w:p>
        </w:tc>
      </w:tr>
      <w:tr w14:paraId="3BFF7E5E">
        <w:tblPrEx>
          <w:tblCellMar>
            <w:top w:w="0" w:type="dxa"/>
            <w:left w:w="108" w:type="dxa"/>
            <w:bottom w:w="0" w:type="dxa"/>
            <w:right w:w="108" w:type="dxa"/>
          </w:tblCellMar>
        </w:tblPrEx>
        <w:trPr>
          <w:trHeight w:val="673" w:hRule="atLeast"/>
        </w:trPr>
        <w:tc>
          <w:tcPr>
            <w:tcW w:w="821" w:type="dxa"/>
            <w:tcBorders>
              <w:top w:val="nil"/>
              <w:left w:val="single" w:color="auto" w:sz="8" w:space="0"/>
              <w:bottom w:val="single" w:color="auto" w:sz="8" w:space="0"/>
              <w:right w:val="single" w:color="auto" w:sz="8" w:space="0"/>
            </w:tcBorders>
            <w:vAlign w:val="center"/>
          </w:tcPr>
          <w:p w14:paraId="32E36F24">
            <w:pPr>
              <w:widowControl/>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4</w:t>
            </w:r>
          </w:p>
        </w:tc>
        <w:tc>
          <w:tcPr>
            <w:tcW w:w="1635" w:type="dxa"/>
            <w:tcBorders>
              <w:top w:val="nil"/>
              <w:left w:val="nil"/>
              <w:bottom w:val="single" w:color="auto" w:sz="8" w:space="0"/>
              <w:right w:val="single" w:color="auto" w:sz="8" w:space="0"/>
            </w:tcBorders>
            <w:shd w:val="clear" w:color="000000" w:fill="FFFFFF"/>
            <w:noWrap/>
            <w:vAlign w:val="center"/>
          </w:tcPr>
          <w:p w14:paraId="5A2B76F1">
            <w:pPr>
              <w:widowControl/>
              <w:jc w:val="center"/>
              <w:rPr>
                <w:rFonts w:hint="default" w:ascii="宋体" w:hAnsi="宋体" w:eastAsia="宋体" w:cs="宋体"/>
                <w:color w:val="000000"/>
                <w:kern w:val="0"/>
                <w:sz w:val="22"/>
                <w:szCs w:val="22"/>
                <w:lang w:val="en-US" w:eastAsia="zh-CN"/>
              </w:rPr>
            </w:pPr>
            <w:r>
              <w:rPr>
                <w:rFonts w:hint="eastAsia" w:ascii="微软雅黑" w:hAnsi="微软雅黑" w:eastAsia="微软雅黑" w:cs="微软雅黑"/>
                <w:i w:val="0"/>
                <w:iCs w:val="0"/>
                <w:color w:val="000000"/>
                <w:sz w:val="20"/>
                <w:szCs w:val="20"/>
                <w:u w:val="none"/>
                <w:lang w:val="en-US" w:eastAsia="zh-CN"/>
              </w:rPr>
              <w:t>全瓷防滑地砖</w:t>
            </w:r>
          </w:p>
        </w:tc>
        <w:tc>
          <w:tcPr>
            <w:tcW w:w="1470" w:type="dxa"/>
            <w:tcBorders>
              <w:top w:val="nil"/>
              <w:left w:val="nil"/>
              <w:bottom w:val="single" w:color="auto" w:sz="8" w:space="0"/>
              <w:right w:val="single" w:color="auto" w:sz="8" w:space="0"/>
            </w:tcBorders>
            <w:shd w:val="clear" w:color="000000" w:fill="FFFFFF"/>
            <w:noWrap/>
            <w:vAlign w:val="center"/>
          </w:tcPr>
          <w:p w14:paraId="507EE499">
            <w:pPr>
              <w:widowControl/>
              <w:jc w:val="center"/>
              <w:rPr>
                <w:rFonts w:hint="default" w:ascii="宋体" w:hAnsi="宋体" w:eastAsia="宋体" w:cs="宋体"/>
                <w:color w:val="000000"/>
                <w:kern w:val="0"/>
                <w:sz w:val="22"/>
                <w:szCs w:val="22"/>
                <w:lang w:val="en-US" w:eastAsia="zh-CN"/>
              </w:rPr>
            </w:pPr>
            <w:r>
              <w:rPr>
                <w:rFonts w:hint="eastAsia" w:ascii="微软雅黑" w:hAnsi="微软雅黑" w:eastAsia="微软雅黑" w:cs="微软雅黑"/>
                <w:i w:val="0"/>
                <w:iCs w:val="0"/>
                <w:color w:val="000000"/>
                <w:sz w:val="20"/>
                <w:szCs w:val="20"/>
                <w:u w:val="none"/>
                <w:lang w:val="en-US" w:eastAsia="zh-CN"/>
              </w:rPr>
              <w:t>300*300</w:t>
            </w:r>
          </w:p>
        </w:tc>
        <w:tc>
          <w:tcPr>
            <w:tcW w:w="990" w:type="dxa"/>
            <w:tcBorders>
              <w:top w:val="nil"/>
              <w:left w:val="nil"/>
              <w:bottom w:val="single" w:color="auto" w:sz="8" w:space="0"/>
              <w:right w:val="single" w:color="auto" w:sz="8" w:space="0"/>
            </w:tcBorders>
            <w:shd w:val="clear" w:color="000000" w:fill="FFFFFF"/>
            <w:noWrap/>
            <w:vAlign w:val="center"/>
          </w:tcPr>
          <w:p w14:paraId="2F14B4C0">
            <w:pPr>
              <w:widowControl/>
              <w:jc w:val="center"/>
              <w:rPr>
                <w:rFonts w:hint="eastAsia" w:ascii="宋体" w:hAnsi="宋体" w:cs="宋体"/>
                <w:color w:val="000000"/>
                <w:kern w:val="0"/>
                <w:sz w:val="22"/>
                <w:szCs w:val="22"/>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shd w:val="clear" w:color="000000" w:fill="FFFFFF"/>
            <w:noWrap/>
            <w:vAlign w:val="center"/>
          </w:tcPr>
          <w:p w14:paraId="4866E432">
            <w:pPr>
              <w:widowControl/>
              <w:jc w:val="center"/>
              <w:rPr>
                <w:rFonts w:hint="default" w:ascii="宋体" w:hAnsi="宋体" w:eastAsia="宋体" w:cs="宋体"/>
                <w:color w:val="000000"/>
                <w:kern w:val="0"/>
                <w:sz w:val="22"/>
                <w:szCs w:val="22"/>
                <w:lang w:val="en-US" w:eastAsia="zh-CN"/>
              </w:rPr>
            </w:pPr>
            <w:r>
              <w:rPr>
                <w:rFonts w:hint="eastAsia" w:ascii="微软雅黑" w:hAnsi="微软雅黑" w:eastAsia="微软雅黑" w:cs="微软雅黑"/>
                <w:i w:val="0"/>
                <w:iCs w:val="0"/>
                <w:color w:val="000000"/>
                <w:kern w:val="0"/>
                <w:sz w:val="22"/>
                <w:szCs w:val="22"/>
                <w:u w:val="none"/>
                <w:lang w:val="en-US" w:eastAsia="zh-CN" w:bidi="ar"/>
              </w:rPr>
              <w:t>1834</w:t>
            </w:r>
          </w:p>
        </w:tc>
        <w:tc>
          <w:tcPr>
            <w:tcW w:w="1117" w:type="dxa"/>
            <w:tcBorders>
              <w:top w:val="nil"/>
              <w:left w:val="nil"/>
              <w:bottom w:val="single" w:color="auto" w:sz="8" w:space="0"/>
              <w:right w:val="single" w:color="auto" w:sz="8" w:space="0"/>
            </w:tcBorders>
            <w:shd w:val="clear" w:color="000000" w:fill="FFFFFF"/>
            <w:noWrap/>
            <w:vAlign w:val="center"/>
          </w:tcPr>
          <w:p w14:paraId="2E4D1FB7">
            <w:pPr>
              <w:widowControl/>
              <w:jc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shd w:val="clear" w:color="000000" w:fill="FFFFFF"/>
            <w:noWrap/>
            <w:vAlign w:val="center"/>
          </w:tcPr>
          <w:p w14:paraId="5FC6893E">
            <w:pPr>
              <w:widowControl/>
              <w:jc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noWrap/>
            <w:vAlign w:val="center"/>
          </w:tcPr>
          <w:p w14:paraId="5E8C0097">
            <w:pPr>
              <w:widowControl/>
              <w:ind w:firstLine="220" w:firstLineChars="100"/>
              <w:jc w:val="center"/>
              <w:rPr>
                <w:rFonts w:hint="default" w:ascii="宋体" w:hAnsi="宋体" w:eastAsia="宋体" w:cs="宋体"/>
                <w:color w:val="000000"/>
                <w:kern w:val="0"/>
                <w:sz w:val="22"/>
                <w:szCs w:val="22"/>
                <w:lang w:val="en-US" w:eastAsia="zh-CN"/>
              </w:rPr>
            </w:pPr>
          </w:p>
        </w:tc>
      </w:tr>
      <w:tr w14:paraId="35CDF738">
        <w:tblPrEx>
          <w:tblCellMar>
            <w:top w:w="0" w:type="dxa"/>
            <w:left w:w="108" w:type="dxa"/>
            <w:bottom w:w="0" w:type="dxa"/>
            <w:right w:w="108" w:type="dxa"/>
          </w:tblCellMar>
        </w:tblPrEx>
        <w:trPr>
          <w:trHeight w:val="688" w:hRule="atLeast"/>
        </w:trPr>
        <w:tc>
          <w:tcPr>
            <w:tcW w:w="821" w:type="dxa"/>
            <w:tcBorders>
              <w:top w:val="nil"/>
              <w:left w:val="single" w:color="auto" w:sz="8" w:space="0"/>
              <w:bottom w:val="single" w:color="auto" w:sz="8" w:space="0"/>
              <w:right w:val="single" w:color="auto" w:sz="8" w:space="0"/>
            </w:tcBorders>
            <w:vAlign w:val="center"/>
          </w:tcPr>
          <w:p w14:paraId="5FD2E966">
            <w:pPr>
              <w:widowControl/>
              <w:jc w:val="center"/>
              <w:rPr>
                <w:rFonts w:hint="default" w:ascii="宋体" w:hAnsi="宋体" w:cs="宋体"/>
                <w:color w:val="000000"/>
                <w:kern w:val="0"/>
                <w:sz w:val="24"/>
                <w:lang w:val="en-US" w:eastAsia="zh-CN"/>
              </w:rPr>
            </w:pPr>
            <w:r>
              <w:rPr>
                <w:rFonts w:hint="eastAsia" w:ascii="宋体" w:hAnsi="宋体" w:cs="宋体"/>
                <w:color w:val="000000"/>
                <w:kern w:val="0"/>
                <w:sz w:val="24"/>
                <w:lang w:val="en-US" w:eastAsia="zh-CN"/>
              </w:rPr>
              <w:t>5</w:t>
            </w:r>
          </w:p>
        </w:tc>
        <w:tc>
          <w:tcPr>
            <w:tcW w:w="1635" w:type="dxa"/>
            <w:tcBorders>
              <w:top w:val="nil"/>
              <w:left w:val="nil"/>
              <w:bottom w:val="single" w:color="auto" w:sz="8" w:space="0"/>
              <w:right w:val="single" w:color="auto" w:sz="8" w:space="0"/>
            </w:tcBorders>
            <w:shd w:val="clear" w:color="000000" w:fill="FFFFFF"/>
            <w:noWrap/>
            <w:vAlign w:val="center"/>
          </w:tcPr>
          <w:p w14:paraId="48D4CC2D">
            <w:pPr>
              <w:widowControl/>
              <w:jc w:val="center"/>
              <w:rPr>
                <w:rStyle w:val="34"/>
                <w:rFonts w:hint="eastAsia"/>
                <w:lang w:val="en-US" w:eastAsia="zh-CN"/>
              </w:rPr>
            </w:pPr>
            <w:r>
              <w:rPr>
                <w:rFonts w:hint="eastAsia" w:ascii="微软雅黑" w:hAnsi="微软雅黑" w:eastAsia="微软雅黑" w:cs="微软雅黑"/>
                <w:i w:val="0"/>
                <w:iCs w:val="0"/>
                <w:color w:val="000000"/>
                <w:sz w:val="20"/>
                <w:szCs w:val="20"/>
                <w:u w:val="none"/>
                <w:lang w:val="en-US" w:eastAsia="zh-CN"/>
              </w:rPr>
              <w:t>全瓷防滑地砖</w:t>
            </w:r>
          </w:p>
        </w:tc>
        <w:tc>
          <w:tcPr>
            <w:tcW w:w="1470" w:type="dxa"/>
            <w:tcBorders>
              <w:top w:val="nil"/>
              <w:left w:val="nil"/>
              <w:bottom w:val="single" w:color="auto" w:sz="8" w:space="0"/>
              <w:right w:val="single" w:color="auto" w:sz="8" w:space="0"/>
            </w:tcBorders>
            <w:shd w:val="clear" w:color="000000" w:fill="FFFFFF"/>
            <w:noWrap/>
            <w:vAlign w:val="center"/>
          </w:tcPr>
          <w:p w14:paraId="54D77094">
            <w:pPr>
              <w:widowControl/>
              <w:jc w:val="center"/>
              <w:rPr>
                <w:rFonts w:hint="eastAsia" w:ascii="Calibri" w:hAnsi="Calibri" w:cs="Calibri"/>
                <w:color w:val="000000"/>
                <w:szCs w:val="21"/>
                <w:lang w:val="en-US" w:eastAsia="zh-CN"/>
              </w:rPr>
            </w:pPr>
            <w:r>
              <w:rPr>
                <w:rFonts w:hint="eastAsia" w:ascii="微软雅黑" w:hAnsi="微软雅黑" w:eastAsia="微软雅黑" w:cs="微软雅黑"/>
                <w:i w:val="0"/>
                <w:iCs w:val="0"/>
                <w:color w:val="000000"/>
                <w:sz w:val="20"/>
                <w:szCs w:val="20"/>
                <w:u w:val="none"/>
                <w:lang w:val="en-US" w:eastAsia="zh-CN"/>
              </w:rPr>
              <w:t>800*300</w:t>
            </w:r>
          </w:p>
        </w:tc>
        <w:tc>
          <w:tcPr>
            <w:tcW w:w="990" w:type="dxa"/>
            <w:tcBorders>
              <w:top w:val="nil"/>
              <w:left w:val="nil"/>
              <w:bottom w:val="single" w:color="auto" w:sz="8" w:space="0"/>
              <w:right w:val="single" w:color="auto" w:sz="8" w:space="0"/>
            </w:tcBorders>
            <w:shd w:val="clear" w:color="000000" w:fill="FFFFFF"/>
            <w:noWrap/>
            <w:vAlign w:val="center"/>
          </w:tcPr>
          <w:p w14:paraId="65F9C62F">
            <w:pPr>
              <w:widowControl/>
              <w:jc w:val="center"/>
              <w:rPr>
                <w:rFonts w:hint="eastAsia" w:ascii="宋体" w:hAnsi="宋体" w:cs="宋体"/>
                <w:color w:val="000000"/>
                <w:kern w:val="0"/>
                <w:sz w:val="22"/>
                <w:szCs w:val="22"/>
                <w:lang w:val="en-US" w:eastAsia="zh-CN"/>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shd w:val="clear" w:color="000000" w:fill="FFFFFF"/>
            <w:noWrap/>
            <w:vAlign w:val="center"/>
          </w:tcPr>
          <w:p w14:paraId="7793990E">
            <w:pPr>
              <w:widowControl/>
              <w:jc w:val="center"/>
              <w:rPr>
                <w:rFonts w:hint="default" w:ascii="Calibri" w:hAnsi="Calibri" w:cs="Calibri"/>
                <w:color w:val="000000"/>
                <w:szCs w:val="21"/>
                <w:lang w:val="en-US" w:eastAsia="zh-CN"/>
              </w:rPr>
            </w:pPr>
            <w:r>
              <w:rPr>
                <w:rFonts w:hint="eastAsia" w:ascii="Calibri" w:hAnsi="Calibri" w:cs="Calibri"/>
                <w:color w:val="000000"/>
                <w:szCs w:val="21"/>
                <w:lang w:val="en-US" w:eastAsia="zh-CN"/>
              </w:rPr>
              <w:t>6</w:t>
            </w:r>
          </w:p>
        </w:tc>
        <w:tc>
          <w:tcPr>
            <w:tcW w:w="1117" w:type="dxa"/>
            <w:tcBorders>
              <w:top w:val="nil"/>
              <w:left w:val="nil"/>
              <w:bottom w:val="single" w:color="auto" w:sz="8" w:space="0"/>
              <w:right w:val="single" w:color="auto" w:sz="8" w:space="0"/>
            </w:tcBorders>
            <w:shd w:val="clear" w:color="000000" w:fill="FFFFFF"/>
            <w:noWrap/>
            <w:vAlign w:val="center"/>
          </w:tcPr>
          <w:p w14:paraId="678A5569">
            <w:pPr>
              <w:widowControl/>
              <w:jc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shd w:val="clear" w:color="000000" w:fill="FFFFFF"/>
            <w:noWrap/>
            <w:vAlign w:val="center"/>
          </w:tcPr>
          <w:p w14:paraId="1A1A09EA">
            <w:pPr>
              <w:widowControl/>
              <w:jc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noWrap/>
            <w:vAlign w:val="center"/>
          </w:tcPr>
          <w:p w14:paraId="69A52FA0">
            <w:pPr>
              <w:widowControl/>
              <w:ind w:firstLine="220" w:firstLineChars="100"/>
              <w:jc w:val="center"/>
              <w:rPr>
                <w:rFonts w:hint="default" w:ascii="宋体" w:hAnsi="宋体" w:eastAsia="宋体" w:cs="宋体"/>
                <w:color w:val="000000"/>
                <w:kern w:val="0"/>
                <w:sz w:val="22"/>
                <w:szCs w:val="22"/>
                <w:lang w:val="en-US" w:eastAsia="zh-CN"/>
              </w:rPr>
            </w:pPr>
          </w:p>
        </w:tc>
      </w:tr>
      <w:tr w14:paraId="092A42D9">
        <w:tblPrEx>
          <w:tblCellMar>
            <w:top w:w="0" w:type="dxa"/>
            <w:left w:w="108" w:type="dxa"/>
            <w:bottom w:w="0" w:type="dxa"/>
            <w:right w:w="108" w:type="dxa"/>
          </w:tblCellMar>
        </w:tblPrEx>
        <w:trPr>
          <w:trHeight w:val="688" w:hRule="atLeast"/>
        </w:trPr>
        <w:tc>
          <w:tcPr>
            <w:tcW w:w="821" w:type="dxa"/>
            <w:tcBorders>
              <w:top w:val="nil"/>
              <w:left w:val="single" w:color="auto" w:sz="8" w:space="0"/>
              <w:bottom w:val="single" w:color="auto" w:sz="8" w:space="0"/>
              <w:right w:val="single" w:color="auto" w:sz="8" w:space="0"/>
            </w:tcBorders>
            <w:vAlign w:val="center"/>
          </w:tcPr>
          <w:p w14:paraId="38635258">
            <w:pPr>
              <w:widowControl/>
              <w:jc w:val="center"/>
              <w:rPr>
                <w:rFonts w:hint="default" w:ascii="宋体" w:hAnsi="宋体" w:cs="宋体"/>
                <w:color w:val="000000"/>
                <w:kern w:val="0"/>
                <w:sz w:val="24"/>
                <w:lang w:val="en-US" w:eastAsia="zh-CN"/>
              </w:rPr>
            </w:pPr>
            <w:r>
              <w:rPr>
                <w:rFonts w:hint="eastAsia" w:ascii="宋体" w:hAnsi="宋体" w:cs="宋体"/>
                <w:color w:val="000000"/>
                <w:kern w:val="0"/>
                <w:sz w:val="24"/>
                <w:lang w:val="en-US" w:eastAsia="zh-CN"/>
              </w:rPr>
              <w:t>6</w:t>
            </w:r>
          </w:p>
        </w:tc>
        <w:tc>
          <w:tcPr>
            <w:tcW w:w="1635" w:type="dxa"/>
            <w:tcBorders>
              <w:top w:val="nil"/>
              <w:left w:val="nil"/>
              <w:bottom w:val="single" w:color="auto" w:sz="8" w:space="0"/>
              <w:right w:val="single" w:color="auto" w:sz="8" w:space="0"/>
            </w:tcBorders>
            <w:shd w:val="clear" w:color="000000" w:fill="FFFFFF"/>
            <w:noWrap/>
            <w:vAlign w:val="center"/>
          </w:tcPr>
          <w:p w14:paraId="22D3BF0A">
            <w:pPr>
              <w:widowControl/>
              <w:jc w:val="center"/>
              <w:rPr>
                <w:rStyle w:val="34"/>
                <w:rFonts w:hint="eastAsia"/>
                <w:lang w:val="en-US" w:eastAsia="zh-CN"/>
              </w:rPr>
            </w:pPr>
            <w:r>
              <w:rPr>
                <w:rFonts w:hint="eastAsia" w:ascii="微软雅黑" w:hAnsi="微软雅黑" w:eastAsia="微软雅黑" w:cs="微软雅黑"/>
                <w:i w:val="0"/>
                <w:iCs w:val="0"/>
                <w:color w:val="000000"/>
                <w:sz w:val="20"/>
                <w:szCs w:val="20"/>
                <w:u w:val="none"/>
                <w:lang w:val="en-US" w:eastAsia="zh-CN"/>
              </w:rPr>
              <w:t>全瓷防滑地砖</w:t>
            </w:r>
          </w:p>
        </w:tc>
        <w:tc>
          <w:tcPr>
            <w:tcW w:w="1470" w:type="dxa"/>
            <w:tcBorders>
              <w:top w:val="nil"/>
              <w:left w:val="nil"/>
              <w:bottom w:val="single" w:color="auto" w:sz="8" w:space="0"/>
              <w:right w:val="single" w:color="auto" w:sz="8" w:space="0"/>
            </w:tcBorders>
            <w:shd w:val="clear" w:color="000000" w:fill="FFFFFF"/>
            <w:noWrap/>
            <w:vAlign w:val="center"/>
          </w:tcPr>
          <w:p w14:paraId="3ABAD54F">
            <w:pPr>
              <w:widowControl/>
              <w:jc w:val="center"/>
              <w:rPr>
                <w:rFonts w:hint="eastAsia" w:ascii="Calibri" w:hAnsi="Calibri" w:cs="Calibri"/>
                <w:color w:val="000000"/>
                <w:szCs w:val="21"/>
                <w:lang w:val="en-US" w:eastAsia="zh-CN"/>
              </w:rPr>
            </w:pPr>
            <w:r>
              <w:rPr>
                <w:rFonts w:hint="eastAsia" w:ascii="微软雅黑" w:hAnsi="微软雅黑" w:eastAsia="微软雅黑" w:cs="微软雅黑"/>
                <w:i w:val="0"/>
                <w:iCs w:val="0"/>
                <w:color w:val="000000"/>
                <w:sz w:val="20"/>
                <w:szCs w:val="20"/>
                <w:u w:val="none"/>
                <w:lang w:val="en-US" w:eastAsia="zh-CN"/>
              </w:rPr>
              <w:t>300*600</w:t>
            </w:r>
          </w:p>
        </w:tc>
        <w:tc>
          <w:tcPr>
            <w:tcW w:w="990" w:type="dxa"/>
            <w:tcBorders>
              <w:top w:val="nil"/>
              <w:left w:val="nil"/>
              <w:bottom w:val="single" w:color="auto" w:sz="8" w:space="0"/>
              <w:right w:val="single" w:color="auto" w:sz="8" w:space="0"/>
            </w:tcBorders>
            <w:shd w:val="clear" w:color="000000" w:fill="FFFFFF"/>
            <w:noWrap/>
            <w:vAlign w:val="center"/>
          </w:tcPr>
          <w:p w14:paraId="1D4AD344">
            <w:pPr>
              <w:widowControl/>
              <w:jc w:val="center"/>
              <w:rPr>
                <w:rFonts w:hint="eastAsia" w:ascii="宋体" w:hAnsi="宋体" w:cs="宋体"/>
                <w:color w:val="000000"/>
                <w:kern w:val="0"/>
                <w:sz w:val="22"/>
                <w:szCs w:val="22"/>
                <w:lang w:val="en-US" w:eastAsia="zh-CN"/>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shd w:val="clear" w:color="000000" w:fill="FFFFFF"/>
            <w:noWrap/>
            <w:vAlign w:val="center"/>
          </w:tcPr>
          <w:p w14:paraId="4BBFCB0D">
            <w:pPr>
              <w:widowControl/>
              <w:jc w:val="center"/>
              <w:rPr>
                <w:rFonts w:hint="default" w:ascii="Calibri" w:hAnsi="Calibri" w:cs="Calibri"/>
                <w:color w:val="000000"/>
                <w:szCs w:val="21"/>
                <w:lang w:val="en-US" w:eastAsia="zh-CN"/>
              </w:rPr>
            </w:pPr>
            <w:r>
              <w:rPr>
                <w:rFonts w:hint="eastAsia" w:ascii="宋体" w:hAnsi="宋体" w:cs="宋体"/>
                <w:i w:val="0"/>
                <w:iCs w:val="0"/>
                <w:color w:val="000000"/>
                <w:kern w:val="0"/>
                <w:sz w:val="22"/>
                <w:szCs w:val="22"/>
                <w:u w:val="none"/>
                <w:lang w:val="en-US" w:eastAsia="zh-CN" w:bidi="ar"/>
              </w:rPr>
              <w:t>1398</w:t>
            </w:r>
          </w:p>
        </w:tc>
        <w:tc>
          <w:tcPr>
            <w:tcW w:w="1117" w:type="dxa"/>
            <w:tcBorders>
              <w:top w:val="nil"/>
              <w:left w:val="nil"/>
              <w:bottom w:val="single" w:color="auto" w:sz="8" w:space="0"/>
              <w:right w:val="single" w:color="auto" w:sz="8" w:space="0"/>
            </w:tcBorders>
            <w:shd w:val="clear" w:color="000000" w:fill="FFFFFF"/>
            <w:noWrap/>
            <w:vAlign w:val="center"/>
          </w:tcPr>
          <w:p w14:paraId="7E231BF6">
            <w:pPr>
              <w:widowControl/>
              <w:jc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shd w:val="clear" w:color="000000" w:fill="FFFFFF"/>
            <w:noWrap/>
            <w:vAlign w:val="center"/>
          </w:tcPr>
          <w:p w14:paraId="5DA03759">
            <w:pPr>
              <w:widowControl/>
              <w:jc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noWrap/>
            <w:vAlign w:val="center"/>
          </w:tcPr>
          <w:p w14:paraId="0DEF501F">
            <w:pPr>
              <w:widowControl/>
              <w:ind w:firstLine="220" w:firstLineChars="100"/>
              <w:jc w:val="center"/>
              <w:rPr>
                <w:rFonts w:hint="default" w:ascii="宋体" w:hAnsi="宋体" w:eastAsia="宋体" w:cs="宋体"/>
                <w:color w:val="000000"/>
                <w:kern w:val="0"/>
                <w:sz w:val="22"/>
                <w:szCs w:val="22"/>
                <w:lang w:val="en-US" w:eastAsia="zh-CN"/>
              </w:rPr>
            </w:pPr>
          </w:p>
        </w:tc>
      </w:tr>
      <w:tr w14:paraId="2F954D44">
        <w:tblPrEx>
          <w:tblCellMar>
            <w:top w:w="0" w:type="dxa"/>
            <w:left w:w="108" w:type="dxa"/>
            <w:bottom w:w="0" w:type="dxa"/>
            <w:right w:w="108" w:type="dxa"/>
          </w:tblCellMar>
        </w:tblPrEx>
        <w:trPr>
          <w:trHeight w:val="688" w:hRule="atLeast"/>
        </w:trPr>
        <w:tc>
          <w:tcPr>
            <w:tcW w:w="821" w:type="dxa"/>
            <w:tcBorders>
              <w:top w:val="nil"/>
              <w:left w:val="single" w:color="auto" w:sz="8" w:space="0"/>
              <w:bottom w:val="single" w:color="auto" w:sz="8" w:space="0"/>
              <w:right w:val="single" w:color="auto" w:sz="8" w:space="0"/>
            </w:tcBorders>
            <w:vAlign w:val="center"/>
          </w:tcPr>
          <w:p w14:paraId="643132D8">
            <w:pPr>
              <w:widowControl/>
              <w:jc w:val="center"/>
              <w:rPr>
                <w:rFonts w:hint="default" w:ascii="宋体" w:hAnsi="宋体" w:cs="宋体"/>
                <w:color w:val="000000"/>
                <w:kern w:val="0"/>
                <w:sz w:val="24"/>
                <w:lang w:val="en-US" w:eastAsia="zh-CN"/>
              </w:rPr>
            </w:pPr>
            <w:r>
              <w:rPr>
                <w:rFonts w:hint="eastAsia" w:ascii="宋体" w:hAnsi="宋体" w:cs="宋体"/>
                <w:color w:val="000000"/>
                <w:kern w:val="0"/>
                <w:sz w:val="24"/>
                <w:lang w:val="en-US" w:eastAsia="zh-CN"/>
              </w:rPr>
              <w:t>7</w:t>
            </w:r>
          </w:p>
        </w:tc>
        <w:tc>
          <w:tcPr>
            <w:tcW w:w="1635" w:type="dxa"/>
            <w:tcBorders>
              <w:top w:val="nil"/>
              <w:left w:val="nil"/>
              <w:bottom w:val="single" w:color="auto" w:sz="8" w:space="0"/>
              <w:right w:val="single" w:color="auto" w:sz="8" w:space="0"/>
            </w:tcBorders>
            <w:shd w:val="clear" w:color="000000" w:fill="FFFFFF"/>
            <w:noWrap/>
            <w:vAlign w:val="center"/>
          </w:tcPr>
          <w:p w14:paraId="65EC71AA">
            <w:pPr>
              <w:widowControl/>
              <w:jc w:val="center"/>
              <w:rPr>
                <w:rFonts w:hint="default"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仿石砖（芝麻灰）</w:t>
            </w:r>
          </w:p>
        </w:tc>
        <w:tc>
          <w:tcPr>
            <w:tcW w:w="1470" w:type="dxa"/>
            <w:tcBorders>
              <w:top w:val="nil"/>
              <w:left w:val="nil"/>
              <w:bottom w:val="single" w:color="auto" w:sz="8" w:space="0"/>
              <w:right w:val="single" w:color="auto" w:sz="8" w:space="0"/>
            </w:tcBorders>
            <w:shd w:val="clear" w:color="000000" w:fill="FFFFFF"/>
            <w:noWrap/>
            <w:vAlign w:val="center"/>
          </w:tcPr>
          <w:p w14:paraId="5DE4EEE4">
            <w:pPr>
              <w:widowControl/>
              <w:jc w:val="center"/>
              <w:rPr>
                <w:rFonts w:hint="default" w:ascii="微软雅黑" w:hAnsi="微软雅黑" w:eastAsia="微软雅黑" w:cs="微软雅黑"/>
                <w:i w:val="0"/>
                <w:iCs w:val="0"/>
                <w:color w:val="000000"/>
                <w:sz w:val="20"/>
                <w:szCs w:val="20"/>
                <w:u w:val="none"/>
                <w:lang w:val="en-US" w:eastAsia="zh-CN"/>
              </w:rPr>
            </w:pPr>
            <w:r>
              <w:rPr>
                <w:rFonts w:hint="eastAsia" w:ascii="微软雅黑" w:hAnsi="微软雅黑" w:eastAsia="微软雅黑" w:cs="微软雅黑"/>
                <w:i w:val="0"/>
                <w:iCs w:val="0"/>
                <w:color w:val="000000"/>
                <w:sz w:val="20"/>
                <w:szCs w:val="20"/>
                <w:u w:val="none"/>
                <w:lang w:val="en-US" w:eastAsia="zh-CN"/>
              </w:rPr>
              <w:t>300*300*18</w:t>
            </w:r>
          </w:p>
        </w:tc>
        <w:tc>
          <w:tcPr>
            <w:tcW w:w="990" w:type="dxa"/>
            <w:tcBorders>
              <w:top w:val="nil"/>
              <w:left w:val="nil"/>
              <w:bottom w:val="single" w:color="auto" w:sz="8" w:space="0"/>
              <w:right w:val="single" w:color="auto" w:sz="8" w:space="0"/>
            </w:tcBorders>
            <w:shd w:val="clear" w:color="000000" w:fill="FFFFFF"/>
            <w:noWrap/>
            <w:vAlign w:val="center"/>
          </w:tcPr>
          <w:p w14:paraId="43450AD6">
            <w:pPr>
              <w:widowControl/>
              <w:jc w:val="center"/>
              <w:rPr>
                <w:rFonts w:hint="default" w:ascii="微软雅黑" w:hAnsi="微软雅黑" w:eastAsia="微软雅黑" w:cs="微软雅黑"/>
                <w:i w:val="0"/>
                <w:iCs w:val="0"/>
                <w:color w:val="000000"/>
                <w:sz w:val="22"/>
                <w:szCs w:val="22"/>
                <w:u w:val="none"/>
                <w:vertAlign w:val="baseline"/>
                <w:lang w:val="en-US" w:eastAsia="zh-CN"/>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shd w:val="clear" w:color="000000" w:fill="FFFFFF"/>
            <w:noWrap/>
            <w:vAlign w:val="center"/>
          </w:tcPr>
          <w:p w14:paraId="1ACE517D">
            <w:pPr>
              <w:widowControl/>
              <w:jc w:val="center"/>
              <w:rPr>
                <w:rFonts w:hint="default" w:ascii="宋体" w:hAnsi="宋体" w:cs="宋体"/>
                <w:i w:val="0"/>
                <w:iCs w:val="0"/>
                <w:color w:val="000000"/>
                <w:kern w:val="0"/>
                <w:sz w:val="22"/>
                <w:szCs w:val="22"/>
                <w:u w:val="none"/>
                <w:lang w:val="en-US" w:eastAsia="zh-CN" w:bidi="ar"/>
              </w:rPr>
            </w:pPr>
            <w:r>
              <w:rPr>
                <w:rFonts w:hint="eastAsia" w:ascii="宋体" w:hAnsi="宋体" w:cs="宋体"/>
                <w:i w:val="0"/>
                <w:iCs w:val="0"/>
                <w:color w:val="000000"/>
                <w:kern w:val="0"/>
                <w:sz w:val="22"/>
                <w:szCs w:val="22"/>
                <w:u w:val="none"/>
                <w:lang w:val="en-US" w:eastAsia="zh-CN" w:bidi="ar"/>
              </w:rPr>
              <w:t>1018</w:t>
            </w:r>
          </w:p>
        </w:tc>
        <w:tc>
          <w:tcPr>
            <w:tcW w:w="1117" w:type="dxa"/>
            <w:tcBorders>
              <w:top w:val="nil"/>
              <w:left w:val="nil"/>
              <w:bottom w:val="single" w:color="auto" w:sz="8" w:space="0"/>
              <w:right w:val="single" w:color="auto" w:sz="8" w:space="0"/>
            </w:tcBorders>
            <w:shd w:val="clear" w:color="000000" w:fill="FFFFFF"/>
            <w:noWrap/>
            <w:vAlign w:val="center"/>
          </w:tcPr>
          <w:p w14:paraId="2D094149">
            <w:pPr>
              <w:widowControl/>
              <w:jc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shd w:val="clear" w:color="000000" w:fill="FFFFFF"/>
            <w:noWrap/>
            <w:vAlign w:val="center"/>
          </w:tcPr>
          <w:p w14:paraId="3E7496C7">
            <w:pPr>
              <w:widowControl/>
              <w:jc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noWrap/>
            <w:vAlign w:val="center"/>
          </w:tcPr>
          <w:p w14:paraId="1E45F150">
            <w:pPr>
              <w:widowControl/>
              <w:ind w:firstLine="220" w:firstLineChars="100"/>
              <w:jc w:val="center"/>
              <w:rPr>
                <w:rFonts w:hint="default" w:ascii="宋体" w:hAnsi="宋体" w:eastAsia="宋体" w:cs="宋体"/>
                <w:color w:val="000000"/>
                <w:kern w:val="0"/>
                <w:sz w:val="22"/>
                <w:szCs w:val="22"/>
                <w:lang w:val="en-US" w:eastAsia="zh-CN"/>
              </w:rPr>
            </w:pPr>
          </w:p>
        </w:tc>
      </w:tr>
      <w:tr w14:paraId="0D753087">
        <w:tblPrEx>
          <w:tblCellMar>
            <w:top w:w="0" w:type="dxa"/>
            <w:left w:w="108" w:type="dxa"/>
            <w:bottom w:w="0" w:type="dxa"/>
            <w:right w:w="108" w:type="dxa"/>
          </w:tblCellMar>
        </w:tblPrEx>
        <w:trPr>
          <w:trHeight w:val="538" w:hRule="atLeast"/>
        </w:trPr>
        <w:tc>
          <w:tcPr>
            <w:tcW w:w="821" w:type="dxa"/>
            <w:tcBorders>
              <w:top w:val="nil"/>
              <w:left w:val="single" w:color="auto" w:sz="8" w:space="0"/>
              <w:bottom w:val="single" w:color="auto" w:sz="8" w:space="0"/>
              <w:right w:val="single" w:color="auto" w:sz="8" w:space="0"/>
            </w:tcBorders>
            <w:vAlign w:val="center"/>
          </w:tcPr>
          <w:p w14:paraId="163A7C7B">
            <w:pPr>
              <w:widowControl/>
              <w:jc w:val="center"/>
              <w:rPr>
                <w:rFonts w:hint="default" w:ascii="宋体" w:hAnsi="宋体" w:cs="宋体"/>
                <w:color w:val="000000"/>
                <w:kern w:val="0"/>
                <w:sz w:val="24"/>
                <w:lang w:val="en-US" w:eastAsia="zh-CN"/>
              </w:rPr>
            </w:pPr>
            <w:r>
              <w:rPr>
                <w:rFonts w:hint="eastAsia" w:ascii="宋体" w:hAnsi="宋体" w:cs="宋体"/>
                <w:color w:val="000000"/>
                <w:kern w:val="0"/>
                <w:sz w:val="24"/>
                <w:lang w:val="en-US" w:eastAsia="zh-CN"/>
              </w:rPr>
              <w:t>8</w:t>
            </w:r>
          </w:p>
        </w:tc>
        <w:tc>
          <w:tcPr>
            <w:tcW w:w="1635" w:type="dxa"/>
            <w:tcBorders>
              <w:top w:val="nil"/>
              <w:left w:val="nil"/>
              <w:bottom w:val="single" w:color="auto" w:sz="8" w:space="0"/>
              <w:right w:val="single" w:color="auto" w:sz="8" w:space="0"/>
            </w:tcBorders>
            <w:shd w:val="clear" w:color="000000" w:fill="FFFFFF"/>
            <w:noWrap/>
            <w:vAlign w:val="center"/>
          </w:tcPr>
          <w:p w14:paraId="4118CC7A">
            <w:pPr>
              <w:widowControl/>
              <w:jc w:val="center"/>
              <w:rPr>
                <w:rStyle w:val="34"/>
                <w:rFonts w:hint="eastAsia"/>
                <w:lang w:val="en-US" w:eastAsia="zh-CN"/>
              </w:rPr>
            </w:pPr>
            <w:r>
              <w:rPr>
                <w:rFonts w:hint="eastAsia" w:ascii="微软雅黑" w:hAnsi="微软雅黑" w:eastAsia="微软雅黑" w:cs="微软雅黑"/>
                <w:i w:val="0"/>
                <w:iCs w:val="0"/>
                <w:color w:val="000000"/>
                <w:sz w:val="20"/>
                <w:szCs w:val="20"/>
                <w:u w:val="none"/>
                <w:lang w:val="en-US" w:eastAsia="zh-CN"/>
              </w:rPr>
              <w:t>瓷片</w:t>
            </w:r>
          </w:p>
        </w:tc>
        <w:tc>
          <w:tcPr>
            <w:tcW w:w="1470" w:type="dxa"/>
            <w:tcBorders>
              <w:top w:val="nil"/>
              <w:left w:val="nil"/>
              <w:bottom w:val="single" w:color="auto" w:sz="8" w:space="0"/>
              <w:right w:val="single" w:color="auto" w:sz="8" w:space="0"/>
            </w:tcBorders>
            <w:shd w:val="clear" w:color="000000" w:fill="FFFFFF"/>
            <w:noWrap/>
            <w:vAlign w:val="center"/>
          </w:tcPr>
          <w:p w14:paraId="1BE46C00">
            <w:pPr>
              <w:widowControl/>
              <w:jc w:val="center"/>
              <w:rPr>
                <w:rFonts w:hint="eastAsia" w:ascii="Calibri" w:hAnsi="Calibri" w:cs="Calibri"/>
                <w:color w:val="000000"/>
                <w:szCs w:val="21"/>
                <w:lang w:val="en-US" w:eastAsia="zh-CN"/>
              </w:rPr>
            </w:pPr>
            <w:r>
              <w:rPr>
                <w:rFonts w:hint="eastAsia" w:ascii="微软雅黑" w:hAnsi="微软雅黑" w:eastAsia="微软雅黑" w:cs="微软雅黑"/>
                <w:i w:val="0"/>
                <w:iCs w:val="0"/>
                <w:color w:val="000000"/>
                <w:sz w:val="20"/>
                <w:szCs w:val="20"/>
                <w:u w:val="none"/>
                <w:lang w:val="en-US" w:eastAsia="zh-CN"/>
              </w:rPr>
              <w:t>300*600</w:t>
            </w:r>
          </w:p>
        </w:tc>
        <w:tc>
          <w:tcPr>
            <w:tcW w:w="990" w:type="dxa"/>
            <w:tcBorders>
              <w:top w:val="nil"/>
              <w:left w:val="nil"/>
              <w:bottom w:val="single" w:color="auto" w:sz="8" w:space="0"/>
              <w:right w:val="single" w:color="auto" w:sz="8" w:space="0"/>
            </w:tcBorders>
            <w:shd w:val="clear" w:color="000000" w:fill="FFFFFF"/>
            <w:noWrap/>
            <w:vAlign w:val="center"/>
          </w:tcPr>
          <w:p w14:paraId="101B5107">
            <w:pPr>
              <w:widowControl/>
              <w:jc w:val="center"/>
              <w:rPr>
                <w:rFonts w:hint="eastAsia" w:ascii="宋体" w:hAnsi="宋体" w:cs="宋体"/>
                <w:color w:val="000000"/>
                <w:kern w:val="0"/>
                <w:sz w:val="22"/>
                <w:szCs w:val="22"/>
                <w:lang w:val="en-US" w:eastAsia="zh-CN"/>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shd w:val="clear" w:color="000000" w:fill="FFFFFF"/>
            <w:noWrap/>
            <w:vAlign w:val="center"/>
          </w:tcPr>
          <w:p w14:paraId="23C6921A">
            <w:pPr>
              <w:widowControl/>
              <w:jc w:val="center"/>
              <w:rPr>
                <w:rFonts w:hint="eastAsia" w:ascii="Calibri" w:hAnsi="Calibri" w:cs="Calibri"/>
                <w:color w:val="000000"/>
                <w:szCs w:val="21"/>
                <w:lang w:val="en-US" w:eastAsia="zh-CN"/>
              </w:rPr>
            </w:pPr>
            <w:r>
              <w:rPr>
                <w:rFonts w:hint="eastAsia" w:ascii="宋体" w:hAnsi="宋体" w:cs="宋体"/>
                <w:i w:val="0"/>
                <w:iCs w:val="0"/>
                <w:color w:val="000000"/>
                <w:kern w:val="0"/>
                <w:sz w:val="22"/>
                <w:szCs w:val="22"/>
                <w:u w:val="none"/>
                <w:lang w:val="en-US" w:eastAsia="zh-CN" w:bidi="ar"/>
              </w:rPr>
              <w:t>17572</w:t>
            </w:r>
          </w:p>
        </w:tc>
        <w:tc>
          <w:tcPr>
            <w:tcW w:w="1117" w:type="dxa"/>
            <w:tcBorders>
              <w:top w:val="nil"/>
              <w:left w:val="nil"/>
              <w:bottom w:val="single" w:color="auto" w:sz="8" w:space="0"/>
              <w:right w:val="single" w:color="auto" w:sz="8" w:space="0"/>
            </w:tcBorders>
            <w:shd w:val="clear" w:color="000000" w:fill="FFFFFF"/>
            <w:noWrap/>
            <w:vAlign w:val="center"/>
          </w:tcPr>
          <w:p w14:paraId="4E40D530">
            <w:pPr>
              <w:widowControl/>
              <w:jc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shd w:val="clear" w:color="000000" w:fill="FFFFFF"/>
            <w:noWrap/>
            <w:vAlign w:val="center"/>
          </w:tcPr>
          <w:p w14:paraId="3345C94A">
            <w:pPr>
              <w:widowControl/>
              <w:jc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noWrap/>
            <w:vAlign w:val="center"/>
          </w:tcPr>
          <w:p w14:paraId="0B4B1AC3">
            <w:pPr>
              <w:widowControl/>
              <w:ind w:firstLine="220" w:firstLineChars="100"/>
              <w:jc w:val="center"/>
              <w:rPr>
                <w:rFonts w:hint="default" w:ascii="宋体" w:hAnsi="宋体" w:eastAsia="宋体" w:cs="宋体"/>
                <w:color w:val="000000"/>
                <w:kern w:val="0"/>
                <w:sz w:val="22"/>
                <w:szCs w:val="22"/>
                <w:lang w:val="en-US" w:eastAsia="zh-CN"/>
              </w:rPr>
            </w:pPr>
          </w:p>
        </w:tc>
      </w:tr>
      <w:tr w14:paraId="1F8E17EA">
        <w:tblPrEx>
          <w:tblCellMar>
            <w:top w:w="0" w:type="dxa"/>
            <w:left w:w="108" w:type="dxa"/>
            <w:bottom w:w="0" w:type="dxa"/>
            <w:right w:w="108" w:type="dxa"/>
          </w:tblCellMar>
        </w:tblPrEx>
        <w:trPr>
          <w:trHeight w:val="703" w:hRule="atLeast"/>
        </w:trPr>
        <w:tc>
          <w:tcPr>
            <w:tcW w:w="821" w:type="dxa"/>
            <w:tcBorders>
              <w:top w:val="nil"/>
              <w:left w:val="single" w:color="auto" w:sz="8" w:space="0"/>
              <w:bottom w:val="single" w:color="auto" w:sz="8" w:space="0"/>
              <w:right w:val="single" w:color="auto" w:sz="8" w:space="0"/>
            </w:tcBorders>
            <w:vAlign w:val="center"/>
          </w:tcPr>
          <w:p w14:paraId="0939489C">
            <w:pPr>
              <w:widowControl/>
              <w:jc w:val="center"/>
              <w:rPr>
                <w:rFonts w:hint="default" w:ascii="宋体" w:hAnsi="宋体" w:cs="宋体"/>
                <w:color w:val="000000"/>
                <w:kern w:val="0"/>
                <w:sz w:val="24"/>
                <w:lang w:val="en-US" w:eastAsia="zh-CN"/>
              </w:rPr>
            </w:pPr>
            <w:r>
              <w:rPr>
                <w:rFonts w:hint="eastAsia" w:ascii="宋体" w:hAnsi="宋体" w:cs="宋体"/>
                <w:color w:val="000000"/>
                <w:kern w:val="0"/>
                <w:sz w:val="24"/>
                <w:lang w:val="en-US" w:eastAsia="zh-CN"/>
              </w:rPr>
              <w:t>9</w:t>
            </w:r>
          </w:p>
        </w:tc>
        <w:tc>
          <w:tcPr>
            <w:tcW w:w="1635" w:type="dxa"/>
            <w:tcBorders>
              <w:top w:val="nil"/>
              <w:left w:val="nil"/>
              <w:bottom w:val="single" w:color="auto" w:sz="8" w:space="0"/>
              <w:right w:val="single" w:color="auto" w:sz="8" w:space="0"/>
            </w:tcBorders>
            <w:shd w:val="clear" w:color="000000" w:fill="FFFFFF"/>
            <w:noWrap/>
            <w:vAlign w:val="center"/>
          </w:tcPr>
          <w:p w14:paraId="74AB2908">
            <w:pPr>
              <w:widowControl/>
              <w:jc w:val="center"/>
              <w:rPr>
                <w:rStyle w:val="34"/>
                <w:rFonts w:hint="eastAsia"/>
                <w:lang w:val="en-US" w:eastAsia="zh-CN"/>
              </w:rPr>
            </w:pPr>
            <w:r>
              <w:rPr>
                <w:rFonts w:hint="eastAsia" w:ascii="宋体" w:hAnsi="宋体" w:eastAsia="宋体" w:cs="宋体"/>
                <w:i w:val="0"/>
                <w:iCs w:val="0"/>
                <w:color w:val="000000"/>
                <w:kern w:val="0"/>
                <w:sz w:val="24"/>
                <w:szCs w:val="24"/>
                <w:u w:val="none"/>
                <w:lang w:val="en-US" w:eastAsia="zh-CN" w:bidi="ar"/>
              </w:rPr>
              <w:t>陶瓷地板</w:t>
            </w:r>
          </w:p>
        </w:tc>
        <w:tc>
          <w:tcPr>
            <w:tcW w:w="1470" w:type="dxa"/>
            <w:tcBorders>
              <w:top w:val="nil"/>
              <w:left w:val="nil"/>
              <w:bottom w:val="single" w:color="auto" w:sz="8" w:space="0"/>
              <w:right w:val="single" w:color="auto" w:sz="8" w:space="0"/>
            </w:tcBorders>
            <w:shd w:val="clear" w:color="000000" w:fill="FFFFFF"/>
            <w:noWrap/>
            <w:vAlign w:val="center"/>
          </w:tcPr>
          <w:p w14:paraId="779672A2">
            <w:pPr>
              <w:widowControl/>
              <w:jc w:val="center"/>
              <w:rPr>
                <w:rFonts w:hint="eastAsia" w:ascii="Calibri" w:hAnsi="Calibri" w:cs="Calibri"/>
                <w:color w:val="000000"/>
                <w:szCs w:val="21"/>
                <w:lang w:val="en-US" w:eastAsia="zh-CN"/>
              </w:rPr>
            </w:pPr>
            <w:r>
              <w:rPr>
                <w:rFonts w:hint="eastAsia" w:ascii="微软雅黑" w:hAnsi="微软雅黑" w:eastAsia="微软雅黑" w:cs="微软雅黑"/>
                <w:i w:val="0"/>
                <w:iCs w:val="0"/>
                <w:color w:val="000000"/>
                <w:sz w:val="20"/>
                <w:szCs w:val="20"/>
                <w:u w:val="none"/>
                <w:lang w:val="en-US" w:eastAsia="zh-CN"/>
              </w:rPr>
              <w:t>600*600*40</w:t>
            </w:r>
          </w:p>
        </w:tc>
        <w:tc>
          <w:tcPr>
            <w:tcW w:w="990" w:type="dxa"/>
            <w:tcBorders>
              <w:top w:val="nil"/>
              <w:left w:val="nil"/>
              <w:bottom w:val="single" w:color="auto" w:sz="8" w:space="0"/>
              <w:right w:val="single" w:color="auto" w:sz="8" w:space="0"/>
            </w:tcBorders>
            <w:shd w:val="clear" w:color="000000" w:fill="FFFFFF"/>
            <w:noWrap/>
            <w:vAlign w:val="center"/>
          </w:tcPr>
          <w:p w14:paraId="3F844DC5">
            <w:pPr>
              <w:widowControl/>
              <w:jc w:val="center"/>
              <w:rPr>
                <w:rFonts w:hint="eastAsia" w:ascii="宋体" w:hAnsi="宋体" w:cs="宋体"/>
                <w:color w:val="000000"/>
                <w:kern w:val="0"/>
                <w:sz w:val="22"/>
                <w:szCs w:val="22"/>
                <w:lang w:val="en-US" w:eastAsia="zh-CN"/>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shd w:val="clear" w:color="000000" w:fill="FFFFFF"/>
            <w:noWrap/>
            <w:vAlign w:val="center"/>
          </w:tcPr>
          <w:p w14:paraId="6A674BF0">
            <w:pPr>
              <w:widowControl/>
              <w:jc w:val="center"/>
              <w:rPr>
                <w:rFonts w:hint="eastAsia" w:ascii="Calibri" w:hAnsi="Calibri" w:cs="Calibri"/>
                <w:color w:val="000000"/>
                <w:szCs w:val="21"/>
                <w:lang w:val="en-US" w:eastAsia="zh-CN"/>
              </w:rPr>
            </w:pPr>
            <w:r>
              <w:rPr>
                <w:rFonts w:hint="eastAsia" w:ascii="宋体" w:hAnsi="宋体" w:cs="宋体"/>
                <w:i w:val="0"/>
                <w:iCs w:val="0"/>
                <w:color w:val="000000"/>
                <w:kern w:val="0"/>
                <w:sz w:val="22"/>
                <w:szCs w:val="22"/>
                <w:u w:val="none"/>
                <w:lang w:val="en-US" w:eastAsia="zh-CN" w:bidi="ar"/>
              </w:rPr>
              <w:t>193</w:t>
            </w:r>
          </w:p>
        </w:tc>
        <w:tc>
          <w:tcPr>
            <w:tcW w:w="1117" w:type="dxa"/>
            <w:tcBorders>
              <w:top w:val="nil"/>
              <w:left w:val="nil"/>
              <w:bottom w:val="single" w:color="auto" w:sz="8" w:space="0"/>
              <w:right w:val="single" w:color="auto" w:sz="8" w:space="0"/>
            </w:tcBorders>
            <w:shd w:val="clear" w:color="000000" w:fill="FFFFFF"/>
            <w:noWrap/>
            <w:vAlign w:val="center"/>
          </w:tcPr>
          <w:p w14:paraId="436790BF">
            <w:pPr>
              <w:widowControl/>
              <w:jc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shd w:val="clear" w:color="000000" w:fill="FFFFFF"/>
            <w:noWrap/>
            <w:vAlign w:val="center"/>
          </w:tcPr>
          <w:p w14:paraId="2526E3BE">
            <w:pPr>
              <w:widowControl/>
              <w:jc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noWrap/>
            <w:vAlign w:val="center"/>
          </w:tcPr>
          <w:p w14:paraId="26EC55FC">
            <w:pPr>
              <w:widowControl/>
              <w:ind w:firstLine="220" w:firstLineChars="100"/>
              <w:jc w:val="center"/>
              <w:rPr>
                <w:rFonts w:hint="default" w:ascii="宋体" w:hAnsi="宋体" w:eastAsia="宋体" w:cs="宋体"/>
                <w:color w:val="000000"/>
                <w:kern w:val="0"/>
                <w:sz w:val="22"/>
                <w:szCs w:val="22"/>
                <w:lang w:val="en-US" w:eastAsia="zh-CN"/>
              </w:rPr>
            </w:pPr>
          </w:p>
        </w:tc>
      </w:tr>
      <w:tr w14:paraId="2BE1BC05">
        <w:tblPrEx>
          <w:tblCellMar>
            <w:top w:w="0" w:type="dxa"/>
            <w:left w:w="108" w:type="dxa"/>
            <w:bottom w:w="0" w:type="dxa"/>
            <w:right w:w="108" w:type="dxa"/>
          </w:tblCellMar>
        </w:tblPrEx>
        <w:trPr>
          <w:trHeight w:val="729" w:hRule="atLeast"/>
        </w:trPr>
        <w:tc>
          <w:tcPr>
            <w:tcW w:w="821" w:type="dxa"/>
            <w:tcBorders>
              <w:top w:val="nil"/>
              <w:left w:val="single" w:color="auto" w:sz="8" w:space="0"/>
              <w:bottom w:val="single" w:color="auto" w:sz="8" w:space="0"/>
              <w:right w:val="single" w:color="auto" w:sz="8" w:space="0"/>
            </w:tcBorders>
            <w:vAlign w:val="center"/>
          </w:tcPr>
          <w:p w14:paraId="3FB8E621">
            <w:pPr>
              <w:widowControl/>
              <w:jc w:val="center"/>
              <w:rPr>
                <w:rFonts w:hint="default" w:ascii="宋体" w:hAnsi="宋体" w:cs="宋体"/>
                <w:color w:val="000000"/>
                <w:kern w:val="0"/>
                <w:sz w:val="24"/>
                <w:lang w:val="en-US" w:eastAsia="zh-CN"/>
              </w:rPr>
            </w:pPr>
            <w:r>
              <w:rPr>
                <w:rFonts w:hint="eastAsia" w:ascii="宋体" w:hAnsi="宋体" w:cs="宋体"/>
                <w:color w:val="000000"/>
                <w:kern w:val="0"/>
                <w:sz w:val="24"/>
                <w:lang w:val="en-US" w:eastAsia="zh-CN"/>
              </w:rPr>
              <w:t>10</w:t>
            </w:r>
          </w:p>
        </w:tc>
        <w:tc>
          <w:tcPr>
            <w:tcW w:w="1635" w:type="dxa"/>
            <w:tcBorders>
              <w:top w:val="nil"/>
              <w:left w:val="nil"/>
              <w:bottom w:val="single" w:color="auto" w:sz="8" w:space="0"/>
              <w:right w:val="single" w:color="auto" w:sz="8" w:space="0"/>
            </w:tcBorders>
            <w:shd w:val="clear" w:color="000000" w:fill="FFFFFF"/>
            <w:noWrap/>
            <w:vAlign w:val="center"/>
          </w:tcPr>
          <w:p w14:paraId="18D7B9EC">
            <w:pPr>
              <w:widowControl/>
              <w:jc w:val="center"/>
              <w:rPr>
                <w:rStyle w:val="34"/>
                <w:rFonts w:hint="eastAsia"/>
                <w:lang w:val="en-US" w:eastAsia="zh-CN"/>
              </w:rPr>
            </w:pPr>
            <w:r>
              <w:rPr>
                <w:rFonts w:hint="eastAsia" w:ascii="宋体" w:hAnsi="宋体" w:eastAsia="宋体" w:cs="宋体"/>
                <w:i w:val="0"/>
                <w:iCs w:val="0"/>
                <w:color w:val="000000"/>
                <w:kern w:val="0"/>
                <w:sz w:val="24"/>
                <w:szCs w:val="24"/>
                <w:u w:val="none"/>
                <w:lang w:val="en-US" w:eastAsia="zh-CN" w:bidi="ar"/>
              </w:rPr>
              <w:t>地砖（踢脚线）</w:t>
            </w:r>
          </w:p>
        </w:tc>
        <w:tc>
          <w:tcPr>
            <w:tcW w:w="1470" w:type="dxa"/>
            <w:tcBorders>
              <w:top w:val="nil"/>
              <w:left w:val="nil"/>
              <w:bottom w:val="single" w:color="auto" w:sz="8" w:space="0"/>
              <w:right w:val="single" w:color="auto" w:sz="8" w:space="0"/>
            </w:tcBorders>
            <w:shd w:val="clear" w:color="000000" w:fill="FFFFFF"/>
            <w:noWrap/>
            <w:vAlign w:val="center"/>
          </w:tcPr>
          <w:p w14:paraId="1303BB60">
            <w:pPr>
              <w:widowControl/>
              <w:jc w:val="center"/>
              <w:rPr>
                <w:rFonts w:hint="eastAsia" w:ascii="Calibri" w:hAnsi="Calibri" w:cs="Calibri"/>
                <w:color w:val="000000"/>
                <w:szCs w:val="21"/>
                <w:lang w:val="en-US" w:eastAsia="zh-CN"/>
              </w:rPr>
            </w:pPr>
            <w:r>
              <w:rPr>
                <w:rFonts w:hint="eastAsia" w:ascii="微软雅黑" w:hAnsi="微软雅黑" w:eastAsia="微软雅黑" w:cs="微软雅黑"/>
                <w:i w:val="0"/>
                <w:iCs w:val="0"/>
                <w:color w:val="000000"/>
                <w:sz w:val="20"/>
                <w:szCs w:val="20"/>
                <w:u w:val="none"/>
                <w:lang w:val="en-US" w:eastAsia="zh-CN"/>
              </w:rPr>
              <w:t>800*120</w:t>
            </w:r>
          </w:p>
        </w:tc>
        <w:tc>
          <w:tcPr>
            <w:tcW w:w="990" w:type="dxa"/>
            <w:tcBorders>
              <w:top w:val="nil"/>
              <w:left w:val="nil"/>
              <w:bottom w:val="single" w:color="auto" w:sz="8" w:space="0"/>
              <w:right w:val="single" w:color="auto" w:sz="8" w:space="0"/>
            </w:tcBorders>
            <w:shd w:val="clear" w:color="000000" w:fill="FFFFFF"/>
            <w:noWrap/>
            <w:vAlign w:val="center"/>
          </w:tcPr>
          <w:p w14:paraId="658BF622">
            <w:pPr>
              <w:widowControl/>
              <w:jc w:val="center"/>
              <w:rPr>
                <w:rFonts w:hint="eastAsia" w:ascii="宋体" w:hAnsi="宋体" w:cs="宋体"/>
                <w:color w:val="000000"/>
                <w:kern w:val="0"/>
                <w:sz w:val="22"/>
                <w:szCs w:val="22"/>
                <w:lang w:val="en-US" w:eastAsia="zh-CN"/>
              </w:rPr>
            </w:pPr>
            <w:r>
              <w:rPr>
                <w:rFonts w:hint="default" w:ascii="微软雅黑" w:hAnsi="微软雅黑" w:eastAsia="微软雅黑" w:cs="微软雅黑"/>
                <w:i w:val="0"/>
                <w:iCs w:val="0"/>
                <w:color w:val="000000"/>
                <w:sz w:val="22"/>
                <w:szCs w:val="22"/>
                <w:u w:val="none"/>
                <w:vertAlign w:val="baseline"/>
                <w:lang w:val="en-US" w:eastAsia="zh-CN"/>
              </w:rPr>
              <w:t>m²</w:t>
            </w:r>
          </w:p>
        </w:tc>
        <w:tc>
          <w:tcPr>
            <w:tcW w:w="1470" w:type="dxa"/>
            <w:tcBorders>
              <w:top w:val="nil"/>
              <w:left w:val="nil"/>
              <w:bottom w:val="single" w:color="auto" w:sz="8" w:space="0"/>
              <w:right w:val="single" w:color="auto" w:sz="8" w:space="0"/>
            </w:tcBorders>
            <w:shd w:val="clear" w:color="000000" w:fill="FFFFFF"/>
            <w:noWrap/>
            <w:vAlign w:val="center"/>
          </w:tcPr>
          <w:p w14:paraId="15F599F3">
            <w:pPr>
              <w:widowControl/>
              <w:jc w:val="center"/>
              <w:rPr>
                <w:rFonts w:hint="eastAsia" w:ascii="Calibri" w:hAnsi="Calibri" w:cs="Calibri"/>
                <w:color w:val="000000"/>
                <w:szCs w:val="21"/>
                <w:lang w:val="en-US" w:eastAsia="zh-CN"/>
              </w:rPr>
            </w:pPr>
            <w:r>
              <w:rPr>
                <w:rFonts w:hint="eastAsia" w:ascii="宋体" w:hAnsi="宋体" w:cs="宋体"/>
                <w:i w:val="0"/>
                <w:iCs w:val="0"/>
                <w:color w:val="000000"/>
                <w:kern w:val="0"/>
                <w:sz w:val="22"/>
                <w:szCs w:val="22"/>
                <w:u w:val="none"/>
                <w:lang w:val="en-US" w:eastAsia="zh-CN" w:bidi="ar"/>
              </w:rPr>
              <w:t>85</w:t>
            </w:r>
          </w:p>
        </w:tc>
        <w:tc>
          <w:tcPr>
            <w:tcW w:w="1117" w:type="dxa"/>
            <w:tcBorders>
              <w:top w:val="nil"/>
              <w:left w:val="nil"/>
              <w:bottom w:val="single" w:color="auto" w:sz="8" w:space="0"/>
              <w:right w:val="single" w:color="auto" w:sz="8" w:space="0"/>
            </w:tcBorders>
            <w:shd w:val="clear" w:color="000000" w:fill="FFFFFF"/>
            <w:noWrap/>
            <w:vAlign w:val="center"/>
          </w:tcPr>
          <w:p w14:paraId="6D5C15FD">
            <w:pPr>
              <w:widowControl/>
              <w:jc w:val="center"/>
              <w:rPr>
                <w:rFonts w:hint="default" w:ascii="宋体" w:hAnsi="宋体" w:eastAsia="宋体" w:cs="宋体"/>
                <w:color w:val="000000"/>
                <w:kern w:val="0"/>
                <w:sz w:val="22"/>
                <w:szCs w:val="22"/>
                <w:lang w:val="en-US" w:eastAsia="zh-CN"/>
              </w:rPr>
            </w:pPr>
          </w:p>
        </w:tc>
        <w:tc>
          <w:tcPr>
            <w:tcW w:w="1410" w:type="dxa"/>
            <w:tcBorders>
              <w:top w:val="nil"/>
              <w:left w:val="nil"/>
              <w:bottom w:val="single" w:color="auto" w:sz="8" w:space="0"/>
              <w:right w:val="single" w:color="auto" w:sz="8" w:space="0"/>
            </w:tcBorders>
            <w:shd w:val="clear" w:color="000000" w:fill="FFFFFF"/>
            <w:noWrap/>
            <w:vAlign w:val="center"/>
          </w:tcPr>
          <w:p w14:paraId="28339B74">
            <w:pPr>
              <w:widowControl/>
              <w:jc w:val="center"/>
              <w:rPr>
                <w:rFonts w:hint="default" w:ascii="宋体" w:hAnsi="宋体" w:eastAsia="宋体" w:cs="宋体"/>
                <w:color w:val="000000"/>
                <w:kern w:val="0"/>
                <w:sz w:val="22"/>
                <w:szCs w:val="22"/>
                <w:lang w:val="en-US" w:eastAsia="zh-CN"/>
              </w:rPr>
            </w:pPr>
          </w:p>
        </w:tc>
        <w:tc>
          <w:tcPr>
            <w:tcW w:w="815" w:type="dxa"/>
            <w:tcBorders>
              <w:top w:val="nil"/>
              <w:left w:val="nil"/>
              <w:bottom w:val="single" w:color="auto" w:sz="8" w:space="0"/>
              <w:right w:val="single" w:color="auto" w:sz="8" w:space="0"/>
            </w:tcBorders>
            <w:noWrap/>
            <w:vAlign w:val="center"/>
          </w:tcPr>
          <w:p w14:paraId="6FFA4378">
            <w:pPr>
              <w:widowControl/>
              <w:ind w:firstLine="220" w:firstLineChars="100"/>
              <w:jc w:val="center"/>
              <w:rPr>
                <w:rFonts w:hint="default" w:ascii="宋体" w:hAnsi="宋体" w:eastAsia="宋体" w:cs="宋体"/>
                <w:color w:val="000000"/>
                <w:kern w:val="0"/>
                <w:sz w:val="22"/>
                <w:szCs w:val="22"/>
                <w:lang w:val="en-US" w:eastAsia="zh-CN"/>
              </w:rPr>
            </w:pPr>
          </w:p>
        </w:tc>
      </w:tr>
      <w:tr w14:paraId="75008FC8">
        <w:tblPrEx>
          <w:tblCellMar>
            <w:top w:w="0" w:type="dxa"/>
            <w:left w:w="108" w:type="dxa"/>
            <w:bottom w:w="0" w:type="dxa"/>
            <w:right w:w="108" w:type="dxa"/>
          </w:tblCellMar>
        </w:tblPrEx>
        <w:trPr>
          <w:trHeight w:val="597" w:hRule="atLeast"/>
        </w:trPr>
        <w:tc>
          <w:tcPr>
            <w:tcW w:w="821" w:type="dxa"/>
            <w:tcBorders>
              <w:top w:val="nil"/>
              <w:left w:val="single" w:color="auto" w:sz="8" w:space="0"/>
              <w:bottom w:val="single" w:color="auto" w:sz="8" w:space="0"/>
              <w:right w:val="single" w:color="auto" w:sz="8" w:space="0"/>
            </w:tcBorders>
            <w:vAlign w:val="center"/>
          </w:tcPr>
          <w:p w14:paraId="37A73230">
            <w:pPr>
              <w:widowControl/>
              <w:jc w:val="center"/>
              <w:rPr>
                <w:rFonts w:hint="default" w:ascii="宋体" w:hAnsi="宋体" w:eastAsia="宋体" w:cs="宋体"/>
                <w:color w:val="000000"/>
                <w:kern w:val="0"/>
                <w:sz w:val="24"/>
                <w:lang w:val="en-US" w:eastAsia="zh-CN"/>
              </w:rPr>
            </w:pPr>
            <w:r>
              <w:rPr>
                <w:rFonts w:hint="eastAsia" w:ascii="宋体" w:hAnsi="宋体" w:cs="宋体"/>
                <w:color w:val="000000"/>
                <w:kern w:val="0"/>
                <w:sz w:val="24"/>
                <w:lang w:val="en-US" w:eastAsia="zh-CN"/>
              </w:rPr>
              <w:t>11</w:t>
            </w:r>
          </w:p>
        </w:tc>
        <w:tc>
          <w:tcPr>
            <w:tcW w:w="1635" w:type="dxa"/>
            <w:tcBorders>
              <w:top w:val="nil"/>
              <w:left w:val="nil"/>
              <w:bottom w:val="single" w:color="auto" w:sz="8" w:space="0"/>
              <w:right w:val="single" w:color="auto" w:sz="8" w:space="0"/>
            </w:tcBorders>
            <w:shd w:val="clear" w:color="000000" w:fill="FFFFFF"/>
            <w:noWrap/>
            <w:vAlign w:val="center"/>
          </w:tcPr>
          <w:p w14:paraId="243D3D4C">
            <w:pPr>
              <w:widowControl/>
              <w:jc w:val="center"/>
              <w:rPr>
                <w:color w:val="000000"/>
                <w:szCs w:val="21"/>
              </w:rPr>
            </w:pPr>
            <w:r>
              <w:rPr>
                <w:rFonts w:hint="eastAsia"/>
                <w:color w:val="000000"/>
                <w:szCs w:val="21"/>
              </w:rPr>
              <w:t>合计</w:t>
            </w:r>
          </w:p>
        </w:tc>
        <w:tc>
          <w:tcPr>
            <w:tcW w:w="1470" w:type="dxa"/>
            <w:tcBorders>
              <w:top w:val="nil"/>
              <w:left w:val="nil"/>
              <w:bottom w:val="single" w:color="auto" w:sz="8" w:space="0"/>
              <w:right w:val="single" w:color="auto" w:sz="8" w:space="0"/>
            </w:tcBorders>
            <w:shd w:val="clear" w:color="000000" w:fill="FFFFFF"/>
            <w:noWrap/>
            <w:vAlign w:val="center"/>
          </w:tcPr>
          <w:p w14:paraId="5C6548A0">
            <w:pPr>
              <w:widowControl/>
              <w:jc w:val="center"/>
              <w:rPr>
                <w:rFonts w:ascii="Calibri" w:hAnsi="Calibri" w:cs="Calibri"/>
                <w:color w:val="000000"/>
                <w:szCs w:val="21"/>
              </w:rPr>
            </w:pPr>
          </w:p>
        </w:tc>
        <w:tc>
          <w:tcPr>
            <w:tcW w:w="990" w:type="dxa"/>
            <w:tcBorders>
              <w:top w:val="nil"/>
              <w:left w:val="nil"/>
              <w:bottom w:val="single" w:color="auto" w:sz="8" w:space="0"/>
              <w:right w:val="single" w:color="auto" w:sz="8" w:space="0"/>
            </w:tcBorders>
            <w:shd w:val="clear" w:color="000000" w:fill="FFFFFF"/>
            <w:noWrap/>
            <w:vAlign w:val="center"/>
          </w:tcPr>
          <w:p w14:paraId="34A00EEC">
            <w:pPr>
              <w:widowControl/>
              <w:jc w:val="center"/>
              <w:rPr>
                <w:rFonts w:hint="eastAsia" w:ascii="宋体" w:hAnsi="宋体" w:cs="宋体"/>
                <w:color w:val="000000"/>
                <w:kern w:val="0"/>
                <w:sz w:val="22"/>
                <w:szCs w:val="22"/>
              </w:rPr>
            </w:pPr>
          </w:p>
        </w:tc>
        <w:tc>
          <w:tcPr>
            <w:tcW w:w="1470" w:type="dxa"/>
            <w:tcBorders>
              <w:top w:val="nil"/>
              <w:left w:val="nil"/>
              <w:bottom w:val="single" w:color="auto" w:sz="8" w:space="0"/>
              <w:right w:val="single" w:color="auto" w:sz="8" w:space="0"/>
            </w:tcBorders>
            <w:shd w:val="clear" w:color="000000" w:fill="FFFFFF"/>
            <w:noWrap/>
            <w:vAlign w:val="center"/>
          </w:tcPr>
          <w:p w14:paraId="7B6943AE">
            <w:pPr>
              <w:widowControl/>
              <w:jc w:val="center"/>
              <w:rPr>
                <w:rFonts w:hint="default" w:ascii="Calibri" w:hAnsi="Calibri" w:eastAsia="宋体" w:cs="Calibri"/>
                <w:color w:val="000000"/>
                <w:szCs w:val="21"/>
                <w:lang w:val="en-US" w:eastAsia="zh-CN"/>
              </w:rPr>
            </w:pPr>
            <w:r>
              <w:rPr>
                <w:rFonts w:hint="eastAsia" w:ascii="微软雅黑" w:hAnsi="微软雅黑" w:eastAsia="微软雅黑" w:cs="微软雅黑"/>
                <w:b/>
                <w:bCs/>
                <w:i w:val="0"/>
                <w:iCs w:val="0"/>
                <w:color w:val="000000"/>
                <w:sz w:val="22"/>
                <w:szCs w:val="22"/>
                <w:u w:val="none"/>
                <w:lang w:val="en-US" w:eastAsia="zh-CN"/>
              </w:rPr>
              <w:t>42694</w:t>
            </w:r>
          </w:p>
        </w:tc>
        <w:tc>
          <w:tcPr>
            <w:tcW w:w="1117" w:type="dxa"/>
            <w:tcBorders>
              <w:top w:val="nil"/>
              <w:left w:val="nil"/>
              <w:bottom w:val="single" w:color="auto" w:sz="8" w:space="0"/>
              <w:right w:val="single" w:color="auto" w:sz="8" w:space="0"/>
            </w:tcBorders>
            <w:shd w:val="clear" w:color="000000" w:fill="FFFFFF"/>
            <w:noWrap/>
            <w:vAlign w:val="center"/>
          </w:tcPr>
          <w:p w14:paraId="10566326">
            <w:pPr>
              <w:widowControl/>
              <w:jc w:val="center"/>
              <w:rPr>
                <w:rFonts w:ascii="Calibri" w:hAnsi="Calibri" w:cs="Calibri"/>
                <w:color w:val="000000"/>
                <w:szCs w:val="21"/>
              </w:rPr>
            </w:pPr>
          </w:p>
        </w:tc>
        <w:tc>
          <w:tcPr>
            <w:tcW w:w="1410" w:type="dxa"/>
            <w:tcBorders>
              <w:top w:val="nil"/>
              <w:left w:val="nil"/>
              <w:bottom w:val="single" w:color="auto" w:sz="8" w:space="0"/>
              <w:right w:val="single" w:color="auto" w:sz="8" w:space="0"/>
            </w:tcBorders>
            <w:shd w:val="clear" w:color="000000" w:fill="FFFFFF"/>
            <w:noWrap/>
            <w:vAlign w:val="center"/>
          </w:tcPr>
          <w:p w14:paraId="5D2662DF">
            <w:pPr>
              <w:widowControl/>
              <w:jc w:val="center"/>
              <w:rPr>
                <w:rFonts w:hint="default" w:ascii="Calibri" w:hAnsi="Calibri" w:eastAsia="宋体" w:cs="Calibri"/>
                <w:color w:val="000000"/>
                <w:szCs w:val="21"/>
                <w:lang w:val="en-US" w:eastAsia="zh-CN"/>
              </w:rPr>
            </w:pPr>
          </w:p>
        </w:tc>
        <w:tc>
          <w:tcPr>
            <w:tcW w:w="815" w:type="dxa"/>
            <w:tcBorders>
              <w:top w:val="nil"/>
              <w:left w:val="nil"/>
              <w:bottom w:val="single" w:color="auto" w:sz="8" w:space="0"/>
              <w:right w:val="single" w:color="auto" w:sz="8" w:space="0"/>
            </w:tcBorders>
            <w:noWrap/>
            <w:vAlign w:val="center"/>
          </w:tcPr>
          <w:p w14:paraId="24ABFC73">
            <w:pPr>
              <w:widowControl/>
              <w:jc w:val="center"/>
              <w:rPr>
                <w:rStyle w:val="35"/>
                <w:rFonts w:hint="default"/>
              </w:rPr>
            </w:pPr>
          </w:p>
        </w:tc>
      </w:tr>
      <w:tr w14:paraId="34570B03">
        <w:tblPrEx>
          <w:tblCellMar>
            <w:top w:w="0" w:type="dxa"/>
            <w:left w:w="108" w:type="dxa"/>
            <w:bottom w:w="0" w:type="dxa"/>
            <w:right w:w="108" w:type="dxa"/>
          </w:tblCellMar>
        </w:tblPrEx>
        <w:trPr>
          <w:trHeight w:val="474" w:hRule="atLeast"/>
        </w:trPr>
        <w:tc>
          <w:tcPr>
            <w:tcW w:w="8913" w:type="dxa"/>
            <w:gridSpan w:val="7"/>
            <w:tcBorders>
              <w:top w:val="single" w:color="auto" w:sz="8" w:space="0"/>
              <w:left w:val="single" w:color="auto" w:sz="8" w:space="0"/>
              <w:bottom w:val="single" w:color="auto" w:sz="8" w:space="0"/>
              <w:right w:val="single" w:color="auto" w:sz="8" w:space="0"/>
            </w:tcBorders>
            <w:vAlign w:val="center"/>
          </w:tcPr>
          <w:p w14:paraId="539FAA00">
            <w:pPr>
              <w:widowControl/>
              <w:jc w:val="left"/>
              <w:rPr>
                <w:rFonts w:hint="eastAsia" w:ascii="宋体" w:hAnsi="宋体" w:eastAsia="宋体" w:cs="宋体"/>
                <w:color w:val="000000"/>
                <w:kern w:val="0"/>
                <w:sz w:val="22"/>
                <w:szCs w:val="22"/>
                <w:lang w:val="en-US" w:eastAsia="zh-CN"/>
              </w:rPr>
            </w:pPr>
            <w:r>
              <w:rPr>
                <w:rFonts w:hint="eastAsia" w:ascii="宋体" w:hAnsi="宋体" w:cs="宋体"/>
                <w:color w:val="000000"/>
                <w:kern w:val="0"/>
                <w:sz w:val="22"/>
                <w:szCs w:val="22"/>
              </w:rPr>
              <w:t>大写金额：</w:t>
            </w:r>
            <w:r>
              <w:rPr>
                <w:rFonts w:hint="eastAsia" w:cs="Times New Roman"/>
                <w:color w:val="000000"/>
                <w:kern w:val="0"/>
                <w:sz w:val="22"/>
                <w:szCs w:val="22"/>
                <w:lang w:val="en-US" w:eastAsia="zh-CN"/>
              </w:rPr>
              <w:t>零</w:t>
            </w:r>
            <w:r>
              <w:rPr>
                <w:rFonts w:hint="eastAsia" w:ascii="宋体" w:hAnsi="宋体" w:cs="宋体"/>
                <w:color w:val="000000"/>
                <w:kern w:val="0"/>
                <w:sz w:val="22"/>
                <w:szCs w:val="22"/>
              </w:rPr>
              <w:t>万</w:t>
            </w:r>
            <w:r>
              <w:rPr>
                <w:rFonts w:hint="eastAsia" w:cs="Times New Roman"/>
                <w:color w:val="000000"/>
                <w:kern w:val="0"/>
                <w:sz w:val="22"/>
                <w:szCs w:val="22"/>
                <w:lang w:val="en-US" w:eastAsia="zh-CN"/>
              </w:rPr>
              <w:t>零</w:t>
            </w:r>
            <w:r>
              <w:rPr>
                <w:rFonts w:hint="eastAsia" w:ascii="宋体" w:hAnsi="宋体" w:cs="宋体"/>
                <w:color w:val="000000"/>
                <w:kern w:val="0"/>
                <w:sz w:val="22"/>
                <w:szCs w:val="22"/>
              </w:rPr>
              <w:t>仟</w:t>
            </w:r>
            <w:r>
              <w:rPr>
                <w:rFonts w:hint="eastAsia" w:cs="Times New Roman"/>
                <w:color w:val="000000"/>
                <w:kern w:val="0"/>
                <w:sz w:val="22"/>
                <w:szCs w:val="22"/>
                <w:lang w:val="en-US" w:eastAsia="zh-CN"/>
              </w:rPr>
              <w:t>零</w:t>
            </w:r>
            <w:r>
              <w:rPr>
                <w:rFonts w:hint="eastAsia" w:ascii="宋体" w:hAnsi="宋体" w:cs="宋体"/>
                <w:color w:val="000000"/>
                <w:kern w:val="0"/>
                <w:sz w:val="22"/>
                <w:szCs w:val="22"/>
                <w:lang w:val="en-US" w:eastAsia="zh-CN"/>
              </w:rPr>
              <w:t>佰</w:t>
            </w:r>
            <w:r>
              <w:rPr>
                <w:rFonts w:hint="eastAsia" w:cs="Times New Roman"/>
                <w:color w:val="000000"/>
                <w:kern w:val="0"/>
                <w:sz w:val="22"/>
                <w:szCs w:val="22"/>
                <w:lang w:val="en-US" w:eastAsia="zh-CN"/>
              </w:rPr>
              <w:t>零</w:t>
            </w:r>
            <w:r>
              <w:rPr>
                <w:rFonts w:hint="eastAsia" w:ascii="宋体" w:hAnsi="宋体" w:cs="宋体"/>
                <w:color w:val="000000"/>
                <w:kern w:val="0"/>
                <w:sz w:val="22"/>
                <w:szCs w:val="22"/>
                <w:lang w:val="en-US" w:eastAsia="zh-CN"/>
              </w:rPr>
              <w:t>拾</w:t>
            </w:r>
            <w:r>
              <w:rPr>
                <w:rFonts w:hint="eastAsia" w:cs="Times New Roman"/>
                <w:color w:val="000000"/>
                <w:kern w:val="0"/>
                <w:sz w:val="22"/>
                <w:szCs w:val="22"/>
                <w:lang w:val="en-US" w:eastAsia="zh-CN"/>
              </w:rPr>
              <w:t>零</w:t>
            </w:r>
            <w:r>
              <w:rPr>
                <w:rFonts w:hint="eastAsia" w:ascii="宋体" w:hAnsi="宋体" w:cs="宋体"/>
                <w:color w:val="000000"/>
                <w:kern w:val="0"/>
                <w:sz w:val="22"/>
                <w:szCs w:val="22"/>
              </w:rPr>
              <w:t>元</w:t>
            </w:r>
            <w:r>
              <w:rPr>
                <w:rFonts w:hint="eastAsia" w:cs="Times New Roman"/>
                <w:color w:val="000000"/>
                <w:kern w:val="0"/>
                <w:sz w:val="22"/>
                <w:szCs w:val="22"/>
                <w:lang w:val="en-US" w:eastAsia="zh-CN"/>
              </w:rPr>
              <w:t>零</w:t>
            </w:r>
            <w:r>
              <w:rPr>
                <w:rFonts w:hint="eastAsia" w:ascii="宋体" w:hAnsi="宋体" w:cs="宋体"/>
                <w:color w:val="000000"/>
                <w:kern w:val="0"/>
                <w:sz w:val="22"/>
                <w:szCs w:val="22"/>
                <w:lang w:val="en-US" w:eastAsia="zh-CN"/>
              </w:rPr>
              <w:t>角</w:t>
            </w:r>
            <w:r>
              <w:rPr>
                <w:rFonts w:hint="eastAsia" w:cs="Times New Roman"/>
                <w:color w:val="000000"/>
                <w:kern w:val="0"/>
                <w:sz w:val="22"/>
                <w:szCs w:val="22"/>
                <w:lang w:val="en-US" w:eastAsia="zh-CN"/>
              </w:rPr>
              <w:t>零</w:t>
            </w:r>
            <w:bookmarkStart w:id="0" w:name="_GoBack"/>
            <w:bookmarkEnd w:id="0"/>
            <w:r>
              <w:rPr>
                <w:rFonts w:hint="eastAsia" w:ascii="宋体" w:hAnsi="宋体" w:cs="宋体"/>
                <w:color w:val="000000"/>
                <w:kern w:val="0"/>
                <w:sz w:val="22"/>
                <w:szCs w:val="22"/>
                <w:lang w:val="en-US" w:eastAsia="zh-CN"/>
              </w:rPr>
              <w:t>分</w:t>
            </w:r>
          </w:p>
        </w:tc>
        <w:tc>
          <w:tcPr>
            <w:tcW w:w="815" w:type="dxa"/>
            <w:tcBorders>
              <w:top w:val="nil"/>
              <w:left w:val="nil"/>
              <w:bottom w:val="single" w:color="auto" w:sz="8" w:space="0"/>
              <w:right w:val="single" w:color="auto" w:sz="8" w:space="0"/>
            </w:tcBorders>
            <w:noWrap/>
            <w:vAlign w:val="center"/>
          </w:tcPr>
          <w:p w14:paraId="2F499147">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　</w:t>
            </w:r>
          </w:p>
        </w:tc>
      </w:tr>
      <w:tr w14:paraId="798A1235">
        <w:tblPrEx>
          <w:tblCellMar>
            <w:top w:w="0" w:type="dxa"/>
            <w:left w:w="108" w:type="dxa"/>
            <w:bottom w:w="0" w:type="dxa"/>
            <w:right w:w="108" w:type="dxa"/>
          </w:tblCellMar>
        </w:tblPrEx>
        <w:trPr>
          <w:trHeight w:val="280" w:hRule="atLeast"/>
        </w:trPr>
        <w:tc>
          <w:tcPr>
            <w:tcW w:w="9728" w:type="dxa"/>
            <w:gridSpan w:val="8"/>
            <w:tcBorders>
              <w:top w:val="single" w:color="auto" w:sz="8" w:space="0"/>
              <w:left w:val="single" w:color="auto" w:sz="8" w:space="0"/>
              <w:bottom w:val="single" w:color="auto" w:sz="8" w:space="0"/>
              <w:right w:val="single" w:color="auto" w:sz="8" w:space="0"/>
            </w:tcBorders>
            <w:vAlign w:val="center"/>
          </w:tcPr>
          <w:p w14:paraId="0A4E511A">
            <w:pPr>
              <w:widowControl/>
              <w:rPr>
                <w:rFonts w:hint="eastAsia" w:ascii="宋体" w:hAnsi="宋体" w:cs="宋体"/>
                <w:color w:val="000000"/>
                <w:kern w:val="0"/>
                <w:sz w:val="22"/>
                <w:szCs w:val="22"/>
              </w:rPr>
            </w:pPr>
            <w:r>
              <w:rPr>
                <w:rFonts w:hint="eastAsia" w:ascii="宋体" w:hAnsi="宋体" w:cs="宋体"/>
                <w:color w:val="000000"/>
                <w:kern w:val="0"/>
                <w:sz w:val="22"/>
                <w:szCs w:val="22"/>
              </w:rPr>
              <w:t>备注：1、以上为暂定数量，以实际签收数量为准进行结算。</w:t>
            </w:r>
          </w:p>
        </w:tc>
      </w:tr>
      <w:tr w14:paraId="55C24563">
        <w:tblPrEx>
          <w:tblCellMar>
            <w:top w:w="0" w:type="dxa"/>
            <w:left w:w="108" w:type="dxa"/>
            <w:bottom w:w="0" w:type="dxa"/>
            <w:right w:w="108" w:type="dxa"/>
          </w:tblCellMar>
        </w:tblPrEx>
        <w:trPr>
          <w:trHeight w:val="560" w:hRule="atLeast"/>
        </w:trPr>
        <w:tc>
          <w:tcPr>
            <w:tcW w:w="9728" w:type="dxa"/>
            <w:gridSpan w:val="8"/>
            <w:tcBorders>
              <w:top w:val="single" w:color="auto" w:sz="8" w:space="0"/>
              <w:left w:val="single" w:color="auto" w:sz="8" w:space="0"/>
              <w:bottom w:val="single" w:color="auto" w:sz="8" w:space="0"/>
              <w:right w:val="single" w:color="auto" w:sz="8" w:space="0"/>
            </w:tcBorders>
            <w:vAlign w:val="center"/>
          </w:tcPr>
          <w:p w14:paraId="40E96B32">
            <w:pPr>
              <w:widowControl/>
              <w:jc w:val="left"/>
              <w:rPr>
                <w:rFonts w:hint="eastAsia" w:ascii="宋体" w:hAnsi="宋体" w:cs="宋体"/>
                <w:color w:val="000000"/>
                <w:kern w:val="0"/>
                <w:sz w:val="22"/>
                <w:szCs w:val="22"/>
              </w:rPr>
            </w:pPr>
            <w:r>
              <w:rPr>
                <w:rFonts w:hint="eastAsia" w:ascii="宋体" w:hAnsi="宋体" w:cs="宋体"/>
                <w:color w:val="000000"/>
                <w:kern w:val="0"/>
                <w:sz w:val="22"/>
                <w:szCs w:val="22"/>
              </w:rPr>
              <w:t>2、以上综合单价含材料费、装卸费、运输费，含13%增值税专用发票。</w:t>
            </w:r>
          </w:p>
        </w:tc>
      </w:tr>
      <w:tr w14:paraId="517BE4AA">
        <w:tblPrEx>
          <w:tblCellMar>
            <w:top w:w="0" w:type="dxa"/>
            <w:left w:w="108" w:type="dxa"/>
            <w:bottom w:w="0" w:type="dxa"/>
            <w:right w:w="108" w:type="dxa"/>
          </w:tblCellMar>
        </w:tblPrEx>
        <w:trPr>
          <w:trHeight w:val="499" w:hRule="atLeast"/>
        </w:trPr>
        <w:tc>
          <w:tcPr>
            <w:tcW w:w="9728" w:type="dxa"/>
            <w:gridSpan w:val="8"/>
            <w:tcBorders>
              <w:top w:val="single" w:color="auto" w:sz="8" w:space="0"/>
              <w:left w:val="single" w:color="auto" w:sz="8" w:space="0"/>
              <w:bottom w:val="single" w:color="auto" w:sz="8" w:space="0"/>
              <w:right w:val="single" w:color="auto" w:sz="8" w:space="0"/>
            </w:tcBorders>
            <w:vAlign w:val="center"/>
          </w:tcPr>
          <w:p w14:paraId="18ECDA35">
            <w:pPr>
              <w:widowControl/>
              <w:rPr>
                <w:rFonts w:hint="eastAsia" w:ascii="宋体" w:hAnsi="宋体" w:cs="宋体"/>
                <w:color w:val="000000"/>
                <w:kern w:val="0"/>
                <w:sz w:val="22"/>
                <w:szCs w:val="22"/>
              </w:rPr>
            </w:pPr>
            <w:r>
              <w:rPr>
                <w:rFonts w:hint="eastAsia" w:ascii="宋体" w:hAnsi="宋体" w:cs="宋体"/>
                <w:color w:val="000000"/>
                <w:kern w:val="0"/>
                <w:sz w:val="22"/>
                <w:szCs w:val="22"/>
              </w:rPr>
              <w:t>3、结算方式：</w:t>
            </w:r>
            <w:r>
              <w:rPr>
                <w:rFonts w:hint="eastAsia" w:ascii="宋体" w:hAnsi="宋体" w:cs="宋体"/>
                <w:b w:val="0"/>
                <w:bCs w:val="0"/>
                <w:i w:val="0"/>
                <w:iCs w:val="0"/>
                <w:color w:val="000000"/>
                <w:kern w:val="0"/>
                <w:sz w:val="24"/>
                <w:szCs w:val="24"/>
                <w:u w:val="none"/>
                <w:lang w:val="en-US" w:eastAsia="zh-CN" w:bidi="ar"/>
              </w:rPr>
              <w:t>月结70%，末次计价后六个月支付至合同总价97%，剩余3%作为质保金，质保期2年，质保期满后无息退还</w:t>
            </w:r>
            <w:r>
              <w:rPr>
                <w:rFonts w:ascii="宋体" w:hAnsi="宋体" w:cs="宋体"/>
                <w:color w:val="000000"/>
                <w:kern w:val="0"/>
                <w:sz w:val="22"/>
                <w:szCs w:val="22"/>
              </w:rPr>
              <w:t>。</w:t>
            </w:r>
          </w:p>
        </w:tc>
      </w:tr>
    </w:tbl>
    <w:p w14:paraId="07905501">
      <w:pPr>
        <w:spacing w:line="500" w:lineRule="exact"/>
        <w:ind w:firstLine="420"/>
        <w:rPr>
          <w:rFonts w:hint="eastAsia" w:ascii="仿宋" w:hAnsi="仿宋" w:eastAsia="仿宋" w:cs="仿宋"/>
          <w:sz w:val="28"/>
          <w:szCs w:val="28"/>
        </w:rPr>
      </w:pPr>
      <w:r>
        <w:rPr>
          <w:rFonts w:hint="eastAsia" w:ascii="仿宋" w:hAnsi="仿宋" w:eastAsia="仿宋" w:cs="仿宋"/>
          <w:b/>
          <w:sz w:val="28"/>
          <w:szCs w:val="28"/>
        </w:rPr>
        <w:t>二、物资技术质量要求</w:t>
      </w:r>
      <w:r>
        <w:rPr>
          <w:rFonts w:hint="eastAsia" w:ascii="仿宋" w:hAnsi="仿宋" w:eastAsia="仿宋" w:cs="仿宋"/>
          <w:sz w:val="28"/>
          <w:szCs w:val="28"/>
        </w:rPr>
        <w:t>：</w:t>
      </w:r>
    </w:p>
    <w:p w14:paraId="4719B0B9">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乙方提供的物资必须符合现行国家标准的要求，乙方提供的随货附带材质证明书和合格证书以及甲方明确要求的质量证明资料，并且资料应加盖乙方公章。</w:t>
      </w:r>
    </w:p>
    <w:p w14:paraId="3F9D8D3D">
      <w:pPr>
        <w:spacing w:line="500" w:lineRule="exact"/>
        <w:rPr>
          <w:rFonts w:hint="eastAsia" w:ascii="仿宋" w:hAnsi="仿宋" w:eastAsia="仿宋" w:cs="仿宋"/>
          <w:b/>
          <w:sz w:val="28"/>
          <w:szCs w:val="28"/>
        </w:rPr>
      </w:pPr>
      <w:r>
        <w:rPr>
          <w:rFonts w:hint="eastAsia" w:ascii="仿宋" w:hAnsi="仿宋" w:eastAsia="仿宋" w:cs="仿宋"/>
          <w:b/>
          <w:sz w:val="28"/>
          <w:szCs w:val="28"/>
        </w:rPr>
        <w:t>三、交货时间和地点：</w:t>
      </w:r>
    </w:p>
    <w:p w14:paraId="1A402372">
      <w:pPr>
        <w:spacing w:line="500" w:lineRule="exact"/>
        <w:ind w:firstLine="560" w:firstLineChars="200"/>
        <w:rPr>
          <w:rFonts w:hint="eastAsia" w:ascii="仿宋" w:hAnsi="仿宋" w:eastAsia="仿宋" w:cs="仿宋"/>
          <w:bCs/>
          <w:sz w:val="28"/>
          <w:szCs w:val="28"/>
        </w:rPr>
      </w:pPr>
      <w:r>
        <w:rPr>
          <w:rFonts w:hint="eastAsia" w:ascii="仿宋" w:hAnsi="仿宋" w:eastAsia="仿宋" w:cs="仿宋"/>
          <w:bCs/>
          <w:sz w:val="28"/>
          <w:szCs w:val="28"/>
        </w:rPr>
        <w:t>3.1交货时间：以甲方实际需求计划为准</w:t>
      </w:r>
    </w:p>
    <w:p w14:paraId="299C8E6D">
      <w:pPr>
        <w:spacing w:line="50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 xml:space="preserve">3.2指定收货人：胡俊 </w:t>
      </w:r>
    </w:p>
    <w:p w14:paraId="7610C668">
      <w:pPr>
        <w:spacing w:line="500" w:lineRule="exact"/>
        <w:ind w:firstLine="560" w:firstLineChars="200"/>
        <w:jc w:val="left"/>
        <w:rPr>
          <w:rFonts w:hint="eastAsia" w:ascii="仿宋" w:hAnsi="仿宋" w:eastAsia="仿宋" w:cs="仿宋"/>
          <w:bCs/>
          <w:sz w:val="28"/>
          <w:szCs w:val="28"/>
        </w:rPr>
      </w:pPr>
      <w:r>
        <w:rPr>
          <w:rFonts w:hint="eastAsia" w:ascii="仿宋" w:hAnsi="仿宋" w:eastAsia="仿宋" w:cs="仿宋"/>
          <w:bCs/>
          <w:sz w:val="28"/>
          <w:szCs w:val="28"/>
        </w:rPr>
        <w:t>3.3交货地点：西昌市川兴中学校本部新建项目部</w:t>
      </w:r>
    </w:p>
    <w:p w14:paraId="7C9889AD">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3.4</w:t>
      </w:r>
      <w:r>
        <w:rPr>
          <w:rFonts w:hint="eastAsia" w:ascii="仿宋" w:hAnsi="仿宋" w:eastAsia="仿宋" w:cs="仿宋"/>
          <w:sz w:val="28"/>
          <w:szCs w:val="28"/>
        </w:rPr>
        <w:t>乙方出具的出库单、送料单或提货单上的数量必须与实际送货数量相符，否则甲方有权拒收材料。</w:t>
      </w:r>
    </w:p>
    <w:p w14:paraId="02E6A278">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3.5</w:t>
      </w:r>
      <w:r>
        <w:rPr>
          <w:rFonts w:hint="eastAsia" w:ascii="仿宋" w:hAnsi="仿宋" w:eastAsia="仿宋" w:cs="仿宋"/>
          <w:sz w:val="28"/>
          <w:szCs w:val="28"/>
        </w:rPr>
        <w:t>甲方指定人员对货物的签收，只针对货物数量和表面质量，不是对货物价格的认可，也不排除乙方所供货物的质量责任。乙方供货单上若标注货物单价或总价，即使有甲方指定人员签名，该供货单上的单价或总价，对甲方无约束力。</w:t>
      </w:r>
    </w:p>
    <w:p w14:paraId="64F3895E">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bCs/>
          <w:sz w:val="28"/>
          <w:szCs w:val="28"/>
        </w:rPr>
        <w:t>3.6</w:t>
      </w:r>
      <w:r>
        <w:rPr>
          <w:rFonts w:hint="eastAsia" w:ascii="仿宋" w:hAnsi="仿宋" w:eastAsia="仿宋" w:cs="仿宋"/>
          <w:sz w:val="28"/>
          <w:szCs w:val="28"/>
        </w:rPr>
        <w:t>交货时，乙方应随货提供符合产品要求的质量证明资料（包括但不限于产品的合格证、检测报告），需加盖乙方公章。未提供符合要求的质量证明材料的，甲方可拒绝收货。</w:t>
      </w:r>
    </w:p>
    <w:p w14:paraId="6DE9C8B2">
      <w:pPr>
        <w:numPr>
          <w:ilvl w:val="0"/>
          <w:numId w:val="2"/>
        </w:numPr>
        <w:spacing w:line="500" w:lineRule="exact"/>
        <w:rPr>
          <w:rFonts w:hint="eastAsia" w:ascii="仿宋" w:hAnsi="仿宋" w:eastAsia="仿宋" w:cs="仿宋"/>
          <w:b/>
          <w:sz w:val="28"/>
          <w:szCs w:val="28"/>
        </w:rPr>
      </w:pPr>
      <w:r>
        <w:rPr>
          <w:rFonts w:hint="eastAsia" w:ascii="仿宋" w:hAnsi="仿宋" w:eastAsia="仿宋" w:cs="仿宋"/>
          <w:b/>
          <w:sz w:val="28"/>
          <w:szCs w:val="28"/>
        </w:rPr>
        <w:t>运输方式、装卸等费用负担：</w:t>
      </w:r>
    </w:p>
    <w:p w14:paraId="3CC53493">
      <w:pPr>
        <w:spacing w:line="500" w:lineRule="exact"/>
        <w:rPr>
          <w:rFonts w:hint="eastAsia" w:ascii="仿宋" w:hAnsi="仿宋" w:eastAsia="仿宋" w:cs="仿宋"/>
          <w:b/>
          <w:sz w:val="28"/>
          <w:szCs w:val="28"/>
        </w:rPr>
      </w:pPr>
      <w:r>
        <w:rPr>
          <w:rFonts w:hint="eastAsia" w:ascii="仿宋" w:hAnsi="仿宋" w:eastAsia="仿宋" w:cs="仿宋"/>
          <w:b/>
          <w:sz w:val="28"/>
          <w:szCs w:val="28"/>
        </w:rPr>
        <w:t xml:space="preserve">   </w:t>
      </w:r>
      <w:r>
        <w:rPr>
          <w:rFonts w:hint="eastAsia" w:ascii="仿宋" w:hAnsi="仿宋" w:eastAsia="仿宋" w:cs="仿宋"/>
          <w:bCs/>
          <w:sz w:val="28"/>
          <w:szCs w:val="28"/>
        </w:rPr>
        <w:t xml:space="preserve"> 4.1运输、装卸费用采用以下</w:t>
      </w:r>
      <w:r>
        <w:rPr>
          <w:rFonts w:hint="eastAsia" w:ascii="仿宋" w:hAnsi="仿宋" w:eastAsia="仿宋" w:cs="仿宋"/>
          <w:bCs/>
          <w:sz w:val="28"/>
          <w:szCs w:val="28"/>
          <w:u w:val="single"/>
        </w:rPr>
        <w:t xml:space="preserve">第  </w:t>
      </w:r>
      <w:r>
        <w:rPr>
          <w:rFonts w:hint="eastAsia" w:ascii="仿宋" w:hAnsi="仿宋" w:eastAsia="仿宋" w:cs="仿宋"/>
          <w:sz w:val="28"/>
          <w:szCs w:val="28"/>
          <w:u w:val="single"/>
        </w:rPr>
        <w:t>4.1.2</w:t>
      </w:r>
      <w:r>
        <w:rPr>
          <w:rFonts w:hint="eastAsia" w:ascii="仿宋" w:hAnsi="仿宋" w:eastAsia="仿宋" w:cs="仿宋"/>
          <w:bCs/>
          <w:sz w:val="28"/>
          <w:szCs w:val="28"/>
          <w:u w:val="single"/>
        </w:rPr>
        <w:t xml:space="preserve">   种</w:t>
      </w:r>
      <w:r>
        <w:rPr>
          <w:rFonts w:hint="eastAsia" w:ascii="仿宋" w:hAnsi="仿宋" w:eastAsia="仿宋" w:cs="仿宋"/>
          <w:bCs/>
          <w:sz w:val="28"/>
          <w:szCs w:val="28"/>
        </w:rPr>
        <w:t>方式：</w:t>
      </w:r>
    </w:p>
    <w:p w14:paraId="747EB20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4.1.1由乙方组织运输并承担运输费用并承担上车下车费用。乙方所承担费用已包含在合同单价内，不另行计算。</w:t>
      </w:r>
    </w:p>
    <w:p w14:paraId="3B81CE4E">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4.1.2由乙方组织运输并承担运输费用并承担上车费用，货到甲方指定地点后，由甲方派人下车并自行承担下车费用。乙方所承担费用已包含在合同单价内，不另行计算。</w:t>
      </w:r>
    </w:p>
    <w:p w14:paraId="7DD44CB1">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4.1.3 由乙方组织运输并承担上车费用，货到甲方指定收货地点，由甲方承担运输费及下车费用。乙方所承担费用已包含在合同单价内，不另行计算。</w:t>
      </w:r>
    </w:p>
    <w:p w14:paraId="548F11A5">
      <w:pPr>
        <w:spacing w:line="500" w:lineRule="exact"/>
        <w:rPr>
          <w:rFonts w:hint="eastAsia" w:ascii="仿宋" w:hAnsi="仿宋" w:eastAsia="仿宋" w:cs="仿宋"/>
          <w:sz w:val="28"/>
          <w:szCs w:val="28"/>
        </w:rPr>
      </w:pPr>
      <w:r>
        <w:rPr>
          <w:rFonts w:hint="eastAsia" w:ascii="仿宋" w:hAnsi="仿宋" w:eastAsia="仿宋" w:cs="仿宋"/>
          <w:b/>
          <w:sz w:val="28"/>
          <w:szCs w:val="28"/>
        </w:rPr>
        <w:t>五、物资验收标准、方法及表面质量异议期限</w:t>
      </w:r>
      <w:r>
        <w:rPr>
          <w:rFonts w:hint="eastAsia" w:ascii="仿宋" w:hAnsi="仿宋" w:eastAsia="仿宋" w:cs="仿宋"/>
          <w:sz w:val="28"/>
          <w:szCs w:val="28"/>
        </w:rPr>
        <w:t>：</w:t>
      </w:r>
    </w:p>
    <w:p w14:paraId="0FA4BDC9">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5.1</w:t>
      </w:r>
      <w:r>
        <w:rPr>
          <w:rFonts w:hint="eastAsia" w:ascii="仿宋" w:hAnsi="仿宋" w:eastAsia="仿宋" w:cs="仿宋"/>
          <w:bCs/>
          <w:sz w:val="28"/>
          <w:szCs w:val="28"/>
        </w:rPr>
        <w:t>甲方指定的收货人仅为对数量和表面质量的初步收货，若在收货人签收后，</w:t>
      </w:r>
      <w:r>
        <w:rPr>
          <w:rFonts w:hint="eastAsia" w:ascii="仿宋" w:hAnsi="仿宋" w:eastAsia="仿宋" w:cs="仿宋"/>
          <w:sz w:val="28"/>
          <w:szCs w:val="28"/>
        </w:rPr>
        <w:t>甲方对乙方提供的货物有质量疑义的，有权将产品直接送相关检验部门进行检验。如检验合格，有关检验费用由甲方自行承担；如检验不合格，由乙方承担一切费用，并赔偿由此给甲方造成的经济损失。</w:t>
      </w:r>
    </w:p>
    <w:p w14:paraId="3E118F8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5.2甲方提出表面质量异议的期限为收货后15天之内。</w:t>
      </w:r>
    </w:p>
    <w:p w14:paraId="42BB0647">
      <w:pPr>
        <w:numPr>
          <w:ilvl w:val="0"/>
          <w:numId w:val="3"/>
        </w:numPr>
        <w:spacing w:line="500" w:lineRule="exact"/>
        <w:jc w:val="left"/>
        <w:rPr>
          <w:rFonts w:hint="eastAsia" w:ascii="仿宋" w:hAnsi="仿宋" w:eastAsia="仿宋" w:cs="仿宋"/>
          <w:b/>
          <w:sz w:val="28"/>
          <w:szCs w:val="28"/>
        </w:rPr>
      </w:pPr>
      <w:r>
        <w:rPr>
          <w:rFonts w:hint="eastAsia" w:ascii="仿宋" w:hAnsi="仿宋" w:eastAsia="仿宋" w:cs="仿宋"/>
          <w:b/>
          <w:sz w:val="28"/>
          <w:szCs w:val="28"/>
        </w:rPr>
        <w:t>货款结算方式</w:t>
      </w:r>
      <w:r>
        <w:rPr>
          <w:rFonts w:hint="eastAsia" w:ascii="仿宋" w:hAnsi="仿宋" w:eastAsia="仿宋" w:cs="仿宋"/>
          <w:b/>
          <w:bCs/>
          <w:sz w:val="28"/>
          <w:szCs w:val="28"/>
        </w:rPr>
        <w:t>及</w:t>
      </w:r>
      <w:r>
        <w:rPr>
          <w:rFonts w:hint="eastAsia" w:ascii="仿宋" w:hAnsi="仿宋" w:eastAsia="仿宋" w:cs="仿宋"/>
          <w:b/>
          <w:sz w:val="28"/>
          <w:szCs w:val="28"/>
        </w:rPr>
        <w:t>支付方式</w:t>
      </w:r>
    </w:p>
    <w:p w14:paraId="1BECB766">
      <w:pPr>
        <w:snapToGrid w:val="0"/>
        <w:spacing w:line="600" w:lineRule="exact"/>
        <w:ind w:firstLine="562"/>
        <w:rPr>
          <w:rFonts w:hint="eastAsia" w:ascii="仿宋" w:hAnsi="仿宋" w:eastAsia="仿宋" w:cs="仿宋"/>
          <w:bCs/>
          <w:strike/>
          <w:sz w:val="28"/>
          <w:szCs w:val="28"/>
        </w:rPr>
      </w:pPr>
      <w:r>
        <w:rPr>
          <w:rFonts w:hint="eastAsia" w:ascii="仿宋" w:hAnsi="仿宋" w:eastAsia="仿宋" w:cs="仿宋"/>
          <w:bCs/>
          <w:sz w:val="28"/>
          <w:szCs w:val="28"/>
        </w:rPr>
        <w:t>6.1乙方充分理解甲方相关制度，并按照甲方制度和甲方要求进行进度对账和请款。双方办理合同结算时，乙方应向甲方提交经甲方收货人确认的送货单（收货单），甲方物资管理部门进行审核，核实供货的规格型号、时间、数量、单价、总价等信息，确认无误后双方办理结算，结算书应经甲方物资部部门经理及甲方物资部门分管领导签字后，加盖甲方公章生效。未经甲方物资部门分管领导签字，未加盖甲方公章不对甲方发生效力。</w:t>
      </w:r>
    </w:p>
    <w:p w14:paraId="63448338">
      <w:pPr>
        <w:snapToGrid w:val="0"/>
        <w:spacing w:line="600" w:lineRule="exact"/>
        <w:ind w:firstLine="562"/>
        <w:rPr>
          <w:rFonts w:hint="eastAsia" w:ascii="仿宋" w:hAnsi="仿宋" w:eastAsia="仿宋" w:cs="仿宋"/>
          <w:bCs/>
          <w:strike/>
          <w:sz w:val="28"/>
          <w:szCs w:val="28"/>
        </w:rPr>
      </w:pPr>
      <w:r>
        <w:rPr>
          <w:rFonts w:hint="eastAsia" w:ascii="仿宋" w:hAnsi="仿宋" w:eastAsia="仿宋" w:cs="仿宋"/>
          <w:sz w:val="28"/>
          <w:szCs w:val="28"/>
        </w:rPr>
        <w:t>6.</w:t>
      </w:r>
      <w:r>
        <w:rPr>
          <w:rFonts w:hint="eastAsia" w:ascii="仿宋" w:hAnsi="仿宋" w:eastAsia="仿宋" w:cs="仿宋"/>
          <w:bCs/>
          <w:sz w:val="28"/>
          <w:szCs w:val="28"/>
        </w:rPr>
        <w:t>2</w:t>
      </w:r>
      <w:r>
        <w:rPr>
          <w:rFonts w:hint="eastAsia" w:hAnsi="仿宋_GB2312" w:eastAsia="仿宋_GB2312" w:cs="Times New Roman"/>
          <w:kern w:val="2"/>
          <w:sz w:val="32"/>
          <w:szCs w:val="32"/>
          <w:shd w:val="clear" w:color="auto" w:fill="FFFFFF"/>
          <w:lang w:val="en-US" w:eastAsia="zh-CN" w:bidi="ar-SA"/>
        </w:rPr>
        <w:t>每月25日核对当月供应量，双方确认无误，且在建设单位支付相应工程款后于次月25日前支付确认价款的7</w:t>
      </w:r>
      <w:r>
        <w:rPr>
          <w:rFonts w:hint="eastAsia" w:ascii="Times New Roman" w:hAnsi="仿宋_GB2312" w:eastAsia="仿宋_GB2312" w:cs="Times New Roman"/>
          <w:kern w:val="2"/>
          <w:sz w:val="32"/>
          <w:szCs w:val="32"/>
          <w:shd w:val="clear" w:color="auto" w:fill="FFFFFF"/>
          <w:lang w:val="en-US" w:eastAsia="zh-CN" w:bidi="ar-SA"/>
        </w:rPr>
        <w:t>0%</w:t>
      </w:r>
      <w:r>
        <w:rPr>
          <w:rFonts w:hint="eastAsia" w:hAnsi="仿宋_GB2312" w:eastAsia="仿宋_GB2312" w:cs="Times New Roman"/>
          <w:kern w:val="2"/>
          <w:sz w:val="32"/>
          <w:szCs w:val="32"/>
          <w:shd w:val="clear" w:color="auto" w:fill="FFFFFF"/>
          <w:lang w:val="en-US" w:eastAsia="zh-CN" w:bidi="ar-SA"/>
        </w:rPr>
        <w:t>。工程综合竣工验收通过后6个月内、支付至结算金额的97%，剩余3%作为质保金，质保期2年，质保期满后无息退还</w:t>
      </w:r>
      <w:r>
        <w:rPr>
          <w:rFonts w:ascii="仿宋" w:hAnsi="仿宋" w:eastAsia="仿宋" w:cs="仿宋"/>
          <w:sz w:val="28"/>
          <w:szCs w:val="28"/>
        </w:rPr>
        <w:t>。</w:t>
      </w:r>
    </w:p>
    <w:p w14:paraId="566AD9E7">
      <w:pPr>
        <w:snapToGrid w:val="0"/>
        <w:spacing w:line="500" w:lineRule="exact"/>
        <w:ind w:firstLine="560" w:firstLineChars="200"/>
        <w:textAlignment w:val="baseline"/>
        <w:rPr>
          <w:rFonts w:hint="eastAsia" w:ascii="仿宋" w:hAnsi="仿宋" w:eastAsia="仿宋" w:cs="仿宋"/>
          <w:sz w:val="28"/>
          <w:szCs w:val="28"/>
        </w:rPr>
      </w:pPr>
      <w:r>
        <w:rPr>
          <w:rFonts w:hint="eastAsia" w:ascii="仿宋" w:hAnsi="仿宋" w:eastAsia="仿宋" w:cs="仿宋"/>
          <w:sz w:val="28"/>
          <w:szCs w:val="28"/>
        </w:rPr>
        <w:t>6.3双方同意采用转帐方式支付货款。</w:t>
      </w:r>
    </w:p>
    <w:p w14:paraId="5C365599">
      <w:pPr>
        <w:snapToGrid w:val="0"/>
        <w:spacing w:line="500" w:lineRule="exact"/>
        <w:ind w:firstLine="562" w:firstLineChars="200"/>
        <w:textAlignment w:val="baseline"/>
        <w:rPr>
          <w:rFonts w:hint="eastAsia" w:ascii="仿宋" w:hAnsi="仿宋" w:eastAsia="仿宋" w:cs="仿宋"/>
          <w:b/>
          <w:bCs/>
          <w:sz w:val="28"/>
          <w:szCs w:val="28"/>
        </w:rPr>
      </w:pPr>
      <w:r>
        <w:rPr>
          <w:rFonts w:hint="eastAsia" w:ascii="仿宋" w:hAnsi="仿宋" w:eastAsia="仿宋" w:cs="仿宋"/>
          <w:b/>
          <w:bCs/>
          <w:sz w:val="28"/>
          <w:szCs w:val="28"/>
        </w:rPr>
        <w:t>6.4若乙方未提前开具足额增值税专用发票，则甲方可拒绝付款，并不承担违约责任。</w:t>
      </w:r>
    </w:p>
    <w:p w14:paraId="2B7EB0E4">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rPr>
        <w:t>七、质保</w:t>
      </w:r>
    </w:p>
    <w:p w14:paraId="3654DA4B">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乙方应对本协议货物在质保期限内发生的质量问题，履行保修责任和义务并对因此而给甲方造成的损失承担赔偿责任。乙方在接到建甲方保修通知后，应在接到保修通知之日起 24小时内派人保修。无论何种原因，乙方拒绝维修或不在约定期限内派人保修的，甲方可以委托他人维修，所需费用（包括甲方的管理费用）由乙方承担，甲方凭第三方签认的维修费用结算单、现场照片、建设单位签认的维修记录等凭证之一计算维修费用后直接</w:t>
      </w:r>
      <w:r>
        <w:rPr>
          <w:rFonts w:hint="eastAsia" w:ascii="仿宋" w:hAnsi="仿宋" w:eastAsia="仿宋" w:cs="仿宋"/>
          <w:sz w:val="28"/>
          <w:szCs w:val="28"/>
          <w:lang w:eastAsia="zh-CN"/>
        </w:rPr>
        <w:t>向</w:t>
      </w:r>
      <w:r>
        <w:rPr>
          <w:rFonts w:hint="eastAsia" w:ascii="仿宋" w:hAnsi="仿宋" w:eastAsia="仿宋" w:cs="仿宋"/>
          <w:sz w:val="28"/>
          <w:szCs w:val="28"/>
        </w:rPr>
        <w:t>乙方</w:t>
      </w:r>
      <w:r>
        <w:rPr>
          <w:rFonts w:hint="eastAsia" w:ascii="仿宋" w:hAnsi="仿宋" w:eastAsia="仿宋" w:cs="仿宋"/>
          <w:sz w:val="28"/>
          <w:szCs w:val="28"/>
          <w:lang w:eastAsia="zh-CN"/>
        </w:rPr>
        <w:t>进行索赔</w:t>
      </w:r>
      <w:r>
        <w:rPr>
          <w:rFonts w:hint="eastAsia" w:ascii="仿宋" w:hAnsi="仿宋" w:eastAsia="仿宋" w:cs="仿宋"/>
          <w:sz w:val="28"/>
          <w:szCs w:val="28"/>
        </w:rPr>
        <w:t>。乙方放弃对维修费、维修主体等真实性、合法性抗辩，对此不持任何异议。</w:t>
      </w:r>
    </w:p>
    <w:p w14:paraId="70474350">
      <w:pPr>
        <w:spacing w:line="500" w:lineRule="exact"/>
        <w:ind w:firstLine="562" w:firstLineChars="200"/>
        <w:rPr>
          <w:rFonts w:hint="eastAsia" w:ascii="仿宋" w:hAnsi="仿宋" w:eastAsia="仿宋" w:cs="仿宋"/>
          <w:sz w:val="28"/>
          <w:szCs w:val="28"/>
        </w:rPr>
      </w:pPr>
      <w:r>
        <w:rPr>
          <w:rFonts w:hint="eastAsia" w:ascii="仿宋" w:hAnsi="仿宋" w:eastAsia="仿宋" w:cs="仿宋"/>
          <w:b/>
          <w:sz w:val="28"/>
          <w:szCs w:val="28"/>
        </w:rPr>
        <w:t>八、违约责任</w:t>
      </w:r>
      <w:r>
        <w:rPr>
          <w:rFonts w:hint="eastAsia" w:ascii="仿宋" w:hAnsi="仿宋" w:eastAsia="仿宋" w:cs="仿宋"/>
          <w:sz w:val="28"/>
          <w:szCs w:val="28"/>
        </w:rPr>
        <w:t>：</w:t>
      </w:r>
    </w:p>
    <w:p w14:paraId="78EE4C9E">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8.1乙方逾期交货</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每逾期一天</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向甲方支付合同总额</w:t>
      </w:r>
      <w:r>
        <w:rPr>
          <w:rFonts w:hint="eastAsia" w:ascii="仿宋" w:hAnsi="仿宋" w:eastAsia="仿宋" w:cs="仿宋"/>
          <w:sz w:val="28"/>
          <w:szCs w:val="28"/>
          <w:u w:val="single"/>
        </w:rPr>
        <w:t xml:space="preserve"> 万分之三 </w:t>
      </w:r>
      <w:r>
        <w:rPr>
          <w:rFonts w:hint="eastAsia" w:ascii="仿宋" w:hAnsi="仿宋" w:eastAsia="仿宋" w:cs="仿宋"/>
          <w:sz w:val="28"/>
          <w:szCs w:val="28"/>
        </w:rPr>
        <w:t>的违约金</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逾期交货超过</w:t>
      </w:r>
      <w:r>
        <w:rPr>
          <w:rFonts w:hint="eastAsia" w:ascii="仿宋" w:hAnsi="仿宋" w:eastAsia="仿宋" w:cs="仿宋"/>
          <w:sz w:val="28"/>
          <w:szCs w:val="28"/>
          <w:u w:val="single"/>
        </w:rPr>
        <w:t xml:space="preserve"> 7 </w:t>
      </w:r>
      <w:r>
        <w:rPr>
          <w:rFonts w:hint="eastAsia" w:ascii="仿宋" w:hAnsi="仿宋" w:eastAsia="仿宋" w:cs="仿宋"/>
          <w:sz w:val="28"/>
          <w:szCs w:val="28"/>
        </w:rPr>
        <w:t>天</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视为不能交货</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甲方有权解除合同并要求乙方支付合同金额的</w:t>
      </w:r>
      <w:r>
        <w:rPr>
          <w:rFonts w:hint="eastAsia" w:ascii="仿宋" w:hAnsi="仿宋" w:eastAsia="仿宋" w:cs="仿宋"/>
          <w:sz w:val="28"/>
          <w:szCs w:val="28"/>
          <w:u w:val="single"/>
        </w:rPr>
        <w:t xml:space="preserve"> 5 </w:t>
      </w:r>
      <w:r>
        <w:rPr>
          <w:rFonts w:hint="eastAsia" w:ascii="仿宋" w:hAnsi="仿宋" w:eastAsia="仿宋" w:cs="仿宋"/>
          <w:sz w:val="28"/>
          <w:szCs w:val="28"/>
        </w:rPr>
        <w:t>%违约金</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p>
    <w:p w14:paraId="68FE53A4">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8.2因乙方逾期交货或因产品质量原因给甲方造成的所有损失均由乙方承担。</w:t>
      </w:r>
    </w:p>
    <w:p w14:paraId="7FDB995C">
      <w:pPr>
        <w:snapToGri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8.3经验收不合格</w:t>
      </w:r>
      <w:r>
        <w:fldChar w:fldCharType="begin"/>
      </w:r>
      <w:r>
        <w:instrText xml:space="preserve"> HYPERLINK "http://www.51paper.net" \t "_blank" \o "论文资料网" </w:instrText>
      </w:r>
      <w:r>
        <w:fldChar w:fldCharType="separate"/>
      </w:r>
      <w:r>
        <w:rPr>
          <w:rFonts w:hint="eastAsia" w:ascii="仿宋" w:hAnsi="仿宋" w:eastAsia="仿宋" w:cs="仿宋"/>
          <w:sz w:val="28"/>
          <w:szCs w:val="28"/>
        </w:rPr>
        <w:t>，</w:t>
      </w:r>
      <w:r>
        <w:rPr>
          <w:rFonts w:hint="eastAsia" w:ascii="仿宋" w:hAnsi="仿宋" w:eastAsia="仿宋" w:cs="仿宋"/>
          <w:sz w:val="28"/>
          <w:szCs w:val="28"/>
        </w:rPr>
        <w:fldChar w:fldCharType="end"/>
      </w:r>
      <w:r>
        <w:rPr>
          <w:rFonts w:hint="eastAsia" w:ascii="仿宋" w:hAnsi="仿宋" w:eastAsia="仿宋" w:cs="仿宋"/>
          <w:sz w:val="28"/>
          <w:szCs w:val="28"/>
        </w:rPr>
        <w:t>甲方有权拒收货物，由此造成的损失由乙方自行承担。</w:t>
      </w:r>
    </w:p>
    <w:p w14:paraId="26975602">
      <w:pPr>
        <w:spacing w:line="500" w:lineRule="exact"/>
        <w:rPr>
          <w:rFonts w:hint="eastAsia" w:ascii="仿宋" w:hAnsi="仿宋" w:eastAsia="仿宋" w:cs="仿宋"/>
          <w:sz w:val="28"/>
          <w:szCs w:val="28"/>
        </w:rPr>
      </w:pPr>
      <w:r>
        <w:rPr>
          <w:rFonts w:hint="eastAsia" w:ascii="仿宋" w:hAnsi="仿宋" w:eastAsia="仿宋" w:cs="仿宋"/>
          <w:b/>
          <w:sz w:val="28"/>
          <w:szCs w:val="28"/>
        </w:rPr>
        <w:t>九、解决合同纠纷方式</w:t>
      </w:r>
      <w:r>
        <w:rPr>
          <w:rFonts w:hint="eastAsia" w:ascii="仿宋" w:hAnsi="仿宋" w:eastAsia="仿宋" w:cs="仿宋"/>
          <w:sz w:val="28"/>
          <w:szCs w:val="28"/>
        </w:rPr>
        <w:t>：</w:t>
      </w:r>
    </w:p>
    <w:p w14:paraId="16CB60AC">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9.1在双方发生合同争议时，应本着平等互利、实事求是的原则协商解决，若在此前提下仍不能解决，选择向西昌市人民法院起诉。</w:t>
      </w:r>
    </w:p>
    <w:p w14:paraId="13486713">
      <w:pPr>
        <w:adjustRightInd w:val="0"/>
        <w:spacing w:line="6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9.2因本合同发生诉讼（仲裁）纠纷，任何一方均可依法申请保全对方财产。但是，申请财产保全的，应当有确切的证据证明被保全的一方存在使生效法律文书确定的给付义务难以执行的情形，否则，申请保全的一方应当向对方支付违约金。被保全的一方如果能够证明其所有账户的总资金额度大于保全申请金额，则视为不符合保全申请条件，申请保全的一方应当向对方支付违约金。如果有担保公司或者保险公司为被保全的一方提供担保，或者有单位（包括但不限于被保全的一方）或个人以其资产（相应资产需经具有评估资质的单位评估，且全部资产的评估价总金额需在保全申请金额的 120% 及以上）为被保全的一方提供担保，则申请保全的一方无条件接受以前述担保之一置换保全，向司法机关申请解除保全措施。申请保全的一方拒不申请解除保全措施的，应当向对方支付违约金。本条所涉违约金均以保全申请金额为基数，按照月利率2%的标准，自司法机关采取保全措施之日起算，计至保全措施被解除之日止）。</w:t>
      </w:r>
    </w:p>
    <w:p w14:paraId="5BA70D68">
      <w:pPr>
        <w:adjustRightInd w:val="0"/>
        <w:spacing w:line="600" w:lineRule="exact"/>
        <w:ind w:firstLine="560" w:firstLineChars="200"/>
        <w:rPr>
          <w:rFonts w:hint="eastAsia" w:ascii="仿宋" w:hAnsi="仿宋" w:eastAsia="仿宋" w:cs="仿宋"/>
          <w:bCs/>
          <w:sz w:val="28"/>
          <w:szCs w:val="28"/>
        </w:rPr>
      </w:pPr>
      <w:r>
        <w:rPr>
          <w:rFonts w:hint="eastAsia" w:ascii="仿宋" w:hAnsi="仿宋" w:eastAsia="仿宋" w:cs="仿宋"/>
          <w:sz w:val="28"/>
          <w:szCs w:val="28"/>
        </w:rPr>
        <w:t>9.3因本合同发生诉讼（仲裁）纠纷，一方申请保全对方财产，但生效法律文书确定被保全的一方应承担的给付义务金额少于保全申请金额的（如果申请保全的一方撤诉或者撤回仲裁申请，或者以判决、裁决、调解等任意形式确定被保全的一方无需向申请保全的一方承担责任，则被保全的一方应承担的给付义务额度为零），申请保全的一方应当向被保全的一方支付保全财产占用费（以生效法律文书确定被保全的一方应承担的给付义务金额与保全申请金额之间的差额为基数，按照月利率2%的标准，自司法机关采取保全措施之日起算，计至保全措施解除之日止）。</w:t>
      </w:r>
    </w:p>
    <w:p w14:paraId="32BA2FE4">
      <w:pPr>
        <w:spacing w:line="500" w:lineRule="exact"/>
        <w:ind w:left="630"/>
        <w:rPr>
          <w:rFonts w:hint="eastAsia" w:ascii="仿宋" w:hAnsi="仿宋" w:eastAsia="仿宋" w:cs="仿宋"/>
          <w:b/>
          <w:sz w:val="28"/>
          <w:szCs w:val="28"/>
        </w:rPr>
      </w:pPr>
      <w:r>
        <w:rPr>
          <w:rFonts w:hint="eastAsia" w:ascii="仿宋" w:hAnsi="仿宋" w:eastAsia="仿宋" w:cs="仿宋"/>
          <w:b/>
          <w:sz w:val="28"/>
          <w:szCs w:val="28"/>
        </w:rPr>
        <w:t>十、特别提示</w:t>
      </w:r>
    </w:p>
    <w:p w14:paraId="2BCC00E4">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10.1甲乙双方一致确认：甲方从未也不会授权项目印章（包括但不限于技术资料专用章等）及工作人员有签认合同结算类文件的权力，双方结算必须加盖甲方公章后方可正式生效，仅有项目经理、部门负责人或其他工作人员签字及/或项目章确认的供货结算审批表及其他任何形式的结算类文件，对甲方不具有任何约束力。</w:t>
      </w:r>
    </w:p>
    <w:p w14:paraId="4C4AF41C">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10.2本合同中甲方指定的所有人员超出其权限范围的行为或超出权限签署的文件无效，同时，甲方指定的所有人员均无权将其权限转授他人行使。若相关人员或人员权限事后发生变更，仅以加盖甲方公章（已在公安机关备案，本合同中均指此意）的书面变更文书为有效变更文书。</w:t>
      </w:r>
    </w:p>
    <w:p w14:paraId="7283A25F">
      <w:pPr>
        <w:snapToGrid w:val="0"/>
        <w:spacing w:line="600" w:lineRule="exact"/>
        <w:ind w:firstLine="562"/>
        <w:rPr>
          <w:rFonts w:hint="eastAsia" w:ascii="仿宋" w:hAnsi="仿宋" w:eastAsia="仿宋" w:cs="仿宋"/>
          <w:b/>
          <w:sz w:val="28"/>
          <w:szCs w:val="28"/>
        </w:rPr>
      </w:pPr>
      <w:r>
        <w:rPr>
          <w:rFonts w:hint="eastAsia" w:ascii="仿宋" w:hAnsi="仿宋" w:eastAsia="仿宋" w:cs="仿宋"/>
          <w:b/>
          <w:sz w:val="28"/>
          <w:szCs w:val="28"/>
        </w:rPr>
        <w:t>10.3除本合同有约定或者甲方加盖公章事后追认或者甲方加盖公章书面授权的外，甲方的内部单位（如甲方工程项目部、分公司、职能部门等）、甲方员工均无权以任何方式排除、限制、减免、让渡甲方权利，为甲方设定、确认债务。其前述行为形成的任何文书（如对账、结算、各类协议、承诺、借款、贷款、保证、说明、担保等）对甲方不产生任何效力。 乙方充分知悉并承诺不会基于加盖甲方公章授权文件以外的其他文件或事由相信其他单位或个人对甲方具有代理权。</w:t>
      </w:r>
    </w:p>
    <w:p w14:paraId="3EF90C4D">
      <w:pPr>
        <w:spacing w:line="500" w:lineRule="exact"/>
        <w:ind w:left="630"/>
        <w:rPr>
          <w:rFonts w:hint="eastAsia" w:ascii="仿宋" w:hAnsi="仿宋" w:eastAsia="仿宋" w:cs="仿宋"/>
          <w:sz w:val="28"/>
          <w:szCs w:val="28"/>
        </w:rPr>
      </w:pPr>
      <w:r>
        <w:rPr>
          <w:rFonts w:hint="eastAsia" w:ascii="仿宋" w:hAnsi="仿宋" w:eastAsia="仿宋" w:cs="仿宋"/>
          <w:b/>
          <w:sz w:val="28"/>
          <w:szCs w:val="28"/>
        </w:rPr>
        <w:t>十一、其他约定</w:t>
      </w:r>
    </w:p>
    <w:p w14:paraId="7359AE20">
      <w:pPr>
        <w:adjustRightInd w:val="0"/>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11.1除双方指定人员签字以外，本合同其他内容仅以电脑打印文本为有效文本，手写的内容一律无效（无论是否加盖了印章、是否捺指印）。本合同文本系双方核定后打印成稿，无任何删、改内容。如果出现删、改内容，该删、改无效，仍以删、改前的文本为准。</w:t>
      </w:r>
    </w:p>
    <w:p w14:paraId="5279FEC1">
      <w:pPr>
        <w:adjustRightInd w:val="0"/>
        <w:spacing w:line="500" w:lineRule="exact"/>
        <w:ind w:firstLine="560" w:firstLineChars="200"/>
        <w:rPr>
          <w:rFonts w:hint="eastAsia" w:ascii="仿宋" w:hAnsi="仿宋" w:eastAsia="仿宋" w:cs="仿宋"/>
          <w:b/>
          <w:bCs/>
          <w:sz w:val="28"/>
          <w:szCs w:val="28"/>
        </w:rPr>
      </w:pPr>
      <w:r>
        <w:rPr>
          <w:rFonts w:hint="eastAsia" w:ascii="仿宋" w:hAnsi="仿宋" w:eastAsia="仿宋" w:cs="仿宋"/>
          <w:sz w:val="28"/>
          <w:szCs w:val="28"/>
        </w:rPr>
        <w:t>11.2甲乙双方及其签约相关人员、担保方（如果有）已特别注意本合同中关于设定、变更、排除、限制、加重、减免权利、义务、责任的条款，并已逐条进行明确而充分的说明、协商，直至各方均充分理解并一致接受。本合同各项条款均是经充分协商、谈判后达成，是各方基于对自身权利义务责任的完全理解以及对市场环境的充分调查、评估后达成的合意，不存在显失公平、重大误解等情形，是各方自由、自愿、真实的意思表示。</w:t>
      </w:r>
    </w:p>
    <w:p w14:paraId="2D2F1924">
      <w:pPr>
        <w:spacing w:line="500" w:lineRule="exact"/>
        <w:ind w:firstLine="560" w:firstLineChars="200"/>
        <w:rPr>
          <w:rFonts w:hint="eastAsia" w:ascii="仿宋" w:hAnsi="仿宋" w:eastAsia="仿宋" w:cs="仿宋"/>
          <w:b/>
          <w:bCs/>
          <w:sz w:val="28"/>
          <w:szCs w:val="28"/>
        </w:rPr>
      </w:pPr>
      <w:r>
        <w:rPr>
          <w:rFonts w:hint="eastAsia" w:ascii="仿宋" w:hAnsi="仿宋" w:eastAsia="仿宋" w:cs="仿宋"/>
          <w:sz w:val="28"/>
          <w:szCs w:val="28"/>
        </w:rPr>
        <w:t>十二、本合同自签字并盖章之日起生效，一式四份，</w:t>
      </w:r>
      <w:r>
        <w:rPr>
          <w:rFonts w:hint="eastAsia" w:ascii="仿宋" w:hAnsi="仿宋" w:eastAsia="仿宋" w:cs="仿宋"/>
          <w:sz w:val="28"/>
          <w:szCs w:val="28"/>
          <w:lang w:val="en-US" w:eastAsia="zh-CN"/>
        </w:rPr>
        <w:t>甲</w:t>
      </w:r>
      <w:r>
        <w:rPr>
          <w:rFonts w:hint="eastAsia" w:ascii="仿宋" w:hAnsi="仿宋" w:eastAsia="仿宋" w:cs="仿宋"/>
          <w:sz w:val="28"/>
          <w:szCs w:val="28"/>
        </w:rPr>
        <w:t>方执</w:t>
      </w:r>
      <w:r>
        <w:rPr>
          <w:rFonts w:hint="eastAsia" w:ascii="仿宋" w:hAnsi="仿宋" w:eastAsia="仿宋" w:cs="仿宋"/>
          <w:sz w:val="28"/>
          <w:szCs w:val="28"/>
          <w:lang w:val="en-US" w:eastAsia="zh-CN"/>
        </w:rPr>
        <w:t>叁</w:t>
      </w:r>
      <w:r>
        <w:rPr>
          <w:rFonts w:hint="eastAsia" w:ascii="仿宋" w:hAnsi="仿宋" w:eastAsia="仿宋" w:cs="仿宋"/>
          <w:sz w:val="28"/>
          <w:szCs w:val="28"/>
        </w:rPr>
        <w:t>份，</w:t>
      </w:r>
      <w:r>
        <w:rPr>
          <w:rFonts w:hint="eastAsia" w:ascii="仿宋" w:hAnsi="仿宋" w:eastAsia="仿宋" w:cs="仿宋"/>
          <w:sz w:val="28"/>
          <w:szCs w:val="28"/>
          <w:lang w:val="en-US" w:eastAsia="zh-CN"/>
        </w:rPr>
        <w:t>乙方执壹份，</w:t>
      </w:r>
      <w:r>
        <w:rPr>
          <w:rFonts w:hint="eastAsia" w:ascii="仿宋" w:hAnsi="仿宋" w:eastAsia="仿宋" w:cs="仿宋"/>
          <w:sz w:val="28"/>
          <w:szCs w:val="28"/>
        </w:rPr>
        <w:t>传真件具有同等法律效力。</w:t>
      </w:r>
    </w:p>
    <w:p w14:paraId="02E44A8E">
      <w:pPr>
        <w:spacing w:line="500" w:lineRule="exact"/>
        <w:rPr>
          <w:rFonts w:hint="eastAsia" w:ascii="仿宋" w:hAnsi="仿宋" w:eastAsia="仿宋" w:cs="仿宋"/>
          <w:sz w:val="24"/>
        </w:rPr>
      </w:pPr>
      <w:r>
        <w:rPr>
          <w:rFonts w:hint="eastAsia" w:ascii="仿宋" w:hAnsi="仿宋" w:eastAsia="仿宋" w:cs="仿宋"/>
          <w:sz w:val="24"/>
        </w:rPr>
        <w:t>甲方：</w:t>
      </w:r>
      <w:r>
        <w:rPr>
          <w:rFonts w:hint="eastAsia" w:ascii="仿宋" w:hAnsi="仿宋" w:eastAsia="仿宋" w:cs="仿宋"/>
          <w:sz w:val="24"/>
          <w:u w:val="single"/>
        </w:rPr>
        <w:t xml:space="preserve">凉山州现代房屋建筑集成制造有限公司 </w:t>
      </w:r>
      <w:r>
        <w:rPr>
          <w:rFonts w:hint="eastAsia" w:ascii="仿宋" w:hAnsi="仿宋" w:eastAsia="仿宋" w:cs="仿宋"/>
          <w:sz w:val="24"/>
        </w:rPr>
        <w:t xml:space="preserve">   </w:t>
      </w:r>
      <w:r>
        <w:rPr>
          <w:rFonts w:hint="eastAsia" w:ascii="仿宋" w:hAnsi="仿宋" w:eastAsia="仿宋" w:cs="仿宋"/>
          <w:sz w:val="24"/>
          <w:lang w:val="en-US" w:eastAsia="zh-CN"/>
        </w:rPr>
        <w:t xml:space="preserve">   </w:t>
      </w:r>
      <w:r>
        <w:rPr>
          <w:rFonts w:hint="eastAsia" w:ascii="仿宋" w:hAnsi="仿宋" w:eastAsia="仿宋" w:cs="仿宋"/>
          <w:sz w:val="24"/>
        </w:rPr>
        <w:t xml:space="preserve">乙方：      </w:t>
      </w:r>
    </w:p>
    <w:p w14:paraId="0B0CE036">
      <w:pPr>
        <w:spacing w:line="500" w:lineRule="exact"/>
        <w:rPr>
          <w:rFonts w:hint="eastAsia" w:ascii="仿宋" w:hAnsi="仿宋" w:eastAsia="仿宋" w:cs="仿宋"/>
          <w:sz w:val="28"/>
          <w:szCs w:val="28"/>
        </w:rPr>
      </w:pPr>
      <w:r>
        <w:rPr>
          <w:rFonts w:hint="eastAsia" w:ascii="仿宋" w:hAnsi="仿宋" w:eastAsia="仿宋" w:cs="仿宋"/>
          <w:sz w:val="28"/>
          <w:szCs w:val="28"/>
        </w:rPr>
        <w:t xml:space="preserve">法定代表人：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 法定代表人：</w:t>
      </w:r>
    </w:p>
    <w:p w14:paraId="08023B0F">
      <w:pPr>
        <w:spacing w:line="500" w:lineRule="exact"/>
        <w:rPr>
          <w:rFonts w:hint="eastAsia" w:ascii="仿宋" w:hAnsi="仿宋" w:eastAsia="仿宋" w:cs="仿宋"/>
          <w:sz w:val="28"/>
          <w:szCs w:val="28"/>
        </w:rPr>
      </w:pPr>
      <w:r>
        <w:rPr>
          <w:rFonts w:hint="eastAsia" w:ascii="仿宋" w:hAnsi="仿宋" w:eastAsia="仿宋" w:cs="仿宋"/>
          <w:sz w:val="28"/>
          <w:szCs w:val="28"/>
        </w:rPr>
        <w:t>委托代理人：                           委托代理人：</w:t>
      </w:r>
    </w:p>
    <w:p w14:paraId="58A064D6">
      <w:pPr>
        <w:spacing w:line="500" w:lineRule="exact"/>
        <w:rPr>
          <w:rFonts w:hint="eastAsia" w:ascii="仿宋" w:hAnsi="仿宋" w:eastAsia="仿宋" w:cs="仿宋"/>
          <w:sz w:val="28"/>
          <w:szCs w:val="28"/>
        </w:rPr>
      </w:pPr>
      <w:r>
        <w:rPr>
          <w:rFonts w:hint="eastAsia" w:ascii="仿宋" w:hAnsi="仿宋" w:eastAsia="仿宋" w:cs="仿宋"/>
          <w:sz w:val="28"/>
          <w:szCs w:val="28"/>
        </w:rPr>
        <w:t>202</w:t>
      </w:r>
      <w:r>
        <w:rPr>
          <w:rFonts w:hint="eastAsia" w:ascii="仿宋" w:hAnsi="仿宋" w:eastAsia="仿宋" w:cs="仿宋"/>
          <w:sz w:val="28"/>
          <w:szCs w:val="28"/>
          <w:lang w:val="en-US" w:eastAsia="zh-CN"/>
        </w:rPr>
        <w:t xml:space="preserve">6 </w:t>
      </w:r>
      <w:r>
        <w:rPr>
          <w:rFonts w:hint="eastAsia" w:ascii="仿宋" w:hAnsi="仿宋" w:eastAsia="仿宋" w:cs="仿宋"/>
          <w:sz w:val="28"/>
          <w:szCs w:val="28"/>
        </w:rPr>
        <w:t>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日                        202</w:t>
      </w:r>
      <w:r>
        <w:rPr>
          <w:rFonts w:hint="eastAsia" w:ascii="仿宋" w:hAnsi="仿宋" w:eastAsia="仿宋" w:cs="仿宋"/>
          <w:sz w:val="28"/>
          <w:szCs w:val="28"/>
          <w:lang w:val="en-US" w:eastAsia="zh-CN"/>
        </w:rPr>
        <w:t>6</w:t>
      </w:r>
      <w:r>
        <w:rPr>
          <w:rFonts w:hint="eastAsia" w:ascii="仿宋" w:hAnsi="仿宋" w:eastAsia="仿宋" w:cs="仿宋"/>
          <w:sz w:val="28"/>
          <w:szCs w:val="28"/>
        </w:rPr>
        <w:t xml:space="preserve"> 年</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月</w:t>
      </w:r>
      <w:r>
        <w:rPr>
          <w:rFonts w:hint="eastAsia" w:ascii="仿宋" w:hAnsi="仿宋" w:eastAsia="仿宋" w:cs="仿宋"/>
          <w:sz w:val="28"/>
          <w:szCs w:val="28"/>
          <w:lang w:val="en-US" w:eastAsia="zh-CN"/>
        </w:rPr>
        <w:t xml:space="preserve">  </w:t>
      </w:r>
      <w:r>
        <w:rPr>
          <w:rFonts w:hint="eastAsia" w:ascii="仿宋" w:hAnsi="仿宋" w:eastAsia="仿宋" w:cs="仿宋"/>
          <w:sz w:val="28"/>
          <w:szCs w:val="28"/>
        </w:rPr>
        <w:t xml:space="preserve">日  </w:t>
      </w:r>
    </w:p>
    <w:p w14:paraId="1C4951BF">
      <w:pPr>
        <w:widowControl/>
        <w:jc w:val="left"/>
        <w:rPr>
          <w:rFonts w:hint="eastAsia" w:ascii="仿宋" w:hAnsi="仿宋" w:eastAsia="仿宋" w:cs="仿宋"/>
          <w:sz w:val="28"/>
          <w:szCs w:val="28"/>
          <w:lang w:bidi="ar"/>
        </w:rPr>
      </w:pPr>
      <w:r>
        <w:rPr>
          <w:rFonts w:hint="eastAsia" w:ascii="仿宋" w:hAnsi="仿宋" w:eastAsia="仿宋" w:cs="仿宋"/>
          <w:sz w:val="28"/>
          <w:szCs w:val="28"/>
          <w:lang w:bidi="ar"/>
        </w:rPr>
        <w:br w:type="page"/>
      </w:r>
    </w:p>
    <w:p w14:paraId="43D1BD77">
      <w:pPr>
        <w:spacing w:line="500" w:lineRule="exact"/>
        <w:rPr>
          <w:rFonts w:hint="eastAsia" w:ascii="仿宋" w:hAnsi="仿宋" w:eastAsia="仿宋" w:cs="仿宋"/>
          <w:sz w:val="28"/>
          <w:szCs w:val="28"/>
          <w:lang w:bidi="ar"/>
        </w:rPr>
      </w:pPr>
    </w:p>
    <w:p w14:paraId="605E5718">
      <w:pPr>
        <w:spacing w:line="500" w:lineRule="exact"/>
        <w:jc w:val="center"/>
        <w:rPr>
          <w:rFonts w:hint="eastAsia" w:ascii="仿宋" w:hAnsi="仿宋" w:eastAsia="仿宋" w:cs="仿宋"/>
          <w:kern w:val="0"/>
          <w:sz w:val="28"/>
          <w:szCs w:val="28"/>
        </w:rPr>
      </w:pPr>
      <w:r>
        <w:rPr>
          <w:rFonts w:hint="eastAsia" w:ascii="仿宋" w:hAnsi="仿宋" w:eastAsia="仿宋" w:cs="仿宋"/>
          <w:b/>
          <w:bCs/>
          <w:kern w:val="0"/>
          <w:sz w:val="28"/>
          <w:szCs w:val="28"/>
          <w:lang w:bidi="ar"/>
        </w:rPr>
        <w:t>相关方环境和职业健康安全协议书</w:t>
      </w:r>
    </w:p>
    <w:p w14:paraId="1E401DE5">
      <w:pPr>
        <w:spacing w:line="500" w:lineRule="exact"/>
        <w:jc w:val="center"/>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14:paraId="1CC79C6E">
      <w:pPr>
        <w:spacing w:line="500" w:lineRule="exact"/>
        <w:jc w:val="left"/>
        <w:rPr>
          <w:rFonts w:hint="eastAsia" w:ascii="仿宋" w:hAnsi="仿宋" w:eastAsia="仿宋" w:cs="仿宋"/>
          <w:kern w:val="0"/>
          <w:sz w:val="28"/>
          <w:szCs w:val="28"/>
        </w:rPr>
      </w:pPr>
      <w:r>
        <w:rPr>
          <w:rFonts w:hint="eastAsia" w:ascii="仿宋" w:hAnsi="仿宋" w:eastAsia="仿宋" w:cs="仿宋"/>
          <w:kern w:val="0"/>
          <w:sz w:val="28"/>
          <w:szCs w:val="28"/>
          <w:lang w:bidi="ar"/>
        </w:rPr>
        <w:t>甲方：</w:t>
      </w:r>
      <w:r>
        <w:rPr>
          <w:rFonts w:hint="eastAsia" w:ascii="仿宋" w:hAnsi="仿宋" w:eastAsia="仿宋" w:cs="仿宋"/>
          <w:kern w:val="0"/>
          <w:sz w:val="28"/>
          <w:szCs w:val="28"/>
          <w:u w:val="single"/>
          <w:lang w:bidi="ar"/>
        </w:rPr>
        <w:t xml:space="preserve">凉山州现代房屋建筑集成制造有限公司 </w:t>
      </w:r>
      <w:r>
        <w:rPr>
          <w:rFonts w:hint="eastAsia" w:ascii="仿宋" w:hAnsi="仿宋" w:eastAsia="仿宋" w:cs="仿宋"/>
          <w:kern w:val="0"/>
          <w:sz w:val="28"/>
          <w:szCs w:val="28"/>
          <w:lang w:bidi="ar"/>
        </w:rPr>
        <w:t xml:space="preserve"> （以下简称甲方）</w:t>
      </w:r>
    </w:p>
    <w:p w14:paraId="30C8F151">
      <w:pPr>
        <w:spacing w:line="500" w:lineRule="exact"/>
        <w:jc w:val="left"/>
        <w:rPr>
          <w:rFonts w:hint="eastAsia" w:ascii="仿宋" w:hAnsi="仿宋" w:eastAsia="仿宋" w:cs="仿宋"/>
          <w:kern w:val="0"/>
          <w:sz w:val="28"/>
          <w:szCs w:val="28"/>
        </w:rPr>
      </w:pPr>
      <w:r>
        <w:rPr>
          <w:rFonts w:hint="eastAsia" w:ascii="仿宋" w:hAnsi="仿宋" w:eastAsia="仿宋" w:cs="仿宋"/>
          <w:kern w:val="0"/>
          <w:sz w:val="28"/>
          <w:szCs w:val="28"/>
          <w:lang w:bidi="ar"/>
        </w:rPr>
        <w:t>乙方：</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 xml:space="preserve">     </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以下简称乙方）</w:t>
      </w:r>
    </w:p>
    <w:p w14:paraId="27DE8399">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为了更好地落实甲方建立环境管理体系（ISO14001：2015）及职业健康安全管理体系（OHSAS18001：2011）的要求，确保乙方为甲方提供产品和服务过程中减少对环境的污染、资源的浪费，确保作业人员的职业健康安全，明确甲乙双方的权利、义务和责任，以符合甲方环境和职业健康安全方针。现</w:t>
      </w:r>
      <w:r>
        <w:rPr>
          <w:rFonts w:hint="eastAsia" w:ascii="仿宋" w:hAnsi="仿宋" w:eastAsia="仿宋" w:cs="仿宋"/>
          <w:sz w:val="28"/>
          <w:szCs w:val="28"/>
          <w:lang w:bidi="ar"/>
        </w:rPr>
        <w:t>甲乙双方依照《中华人民共和国民法典》及有关法律、法规的规定，在平等、自愿、协商一致的基础上</w:t>
      </w:r>
      <w:r>
        <w:rPr>
          <w:rFonts w:hint="eastAsia" w:ascii="仿宋" w:hAnsi="仿宋" w:eastAsia="仿宋" w:cs="仿宋"/>
          <w:kern w:val="0"/>
          <w:sz w:val="28"/>
          <w:szCs w:val="28"/>
          <w:lang w:bidi="ar"/>
        </w:rPr>
        <w:t xml:space="preserve">，特签订此协议书，以期实现甲方现场良好的环境绩效及甲乙双方作业的职业健康安全。 </w:t>
      </w:r>
    </w:p>
    <w:p w14:paraId="1E6B4FE3">
      <w:pPr>
        <w:spacing w:line="500" w:lineRule="exact"/>
        <w:ind w:firstLine="200"/>
        <w:rPr>
          <w:rFonts w:hint="eastAsia" w:ascii="仿宋" w:hAnsi="仿宋" w:eastAsia="仿宋" w:cs="仿宋"/>
          <w:b/>
          <w:kern w:val="0"/>
          <w:sz w:val="28"/>
          <w:szCs w:val="28"/>
        </w:rPr>
      </w:pPr>
      <w:r>
        <w:rPr>
          <w:rFonts w:hint="eastAsia" w:ascii="仿宋" w:hAnsi="仿宋" w:eastAsia="仿宋" w:cs="仿宋"/>
          <w:b/>
          <w:kern w:val="0"/>
          <w:sz w:val="28"/>
          <w:szCs w:val="28"/>
          <w:lang w:bidi="ar"/>
        </w:rPr>
        <w:t xml:space="preserve">  一、适用范围</w:t>
      </w:r>
    </w:p>
    <w:p w14:paraId="15E48000">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本协议适用于所有物资与服务的供应方、工程承包方、废弃物收购商、回收处理商、物流运输公司、服务商及个体供应商人员和车辆。</w:t>
      </w:r>
    </w:p>
    <w:p w14:paraId="7A0F2CE1">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二、甲方的权利</w:t>
      </w:r>
    </w:p>
    <w:p w14:paraId="3339AC60">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1．甲方有权进入乙方生产作业场所检查环境卫生工作，调阅有关资料，向有关单位和人员了解情况，并可要求乙方负责人员对相关事宜作出解释。</w:t>
      </w:r>
    </w:p>
    <w:p w14:paraId="4696A36F">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2．甲方有权检查乙方的资质和乙方特种从业人员是否持有从事该特种工作的上岗证。</w:t>
      </w:r>
    </w:p>
    <w:p w14:paraId="1C08BAE2">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3．甲方有权对检查中发现的污染环境、违章作业、危险作业等违法生产行为，当场予以纠正或者要求乙方限期改正。</w:t>
      </w:r>
    </w:p>
    <w:p w14:paraId="15F6369D">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4.采用先进的施工设施、施工方法等，不得采用国家或地方已禁止使用的生产工艺，生产施工设备。在生产过程中，采取必要的措施降低噪声污染，对现场的废弃物妥善处置。</w:t>
      </w:r>
    </w:p>
    <w:p w14:paraId="2199D597">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5．甲方有权对检查中发现的事故隐患，责令乙方立即排除或者对乙方下达限期整改意见。</w:t>
      </w:r>
    </w:p>
    <w:p w14:paraId="25A3D04F">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6．甲方有权对乙方在甲方管理范围内的访问和交流等可能影响甲方生产环境和安全的活动行为进行监督、管理和考核。</w:t>
      </w:r>
    </w:p>
    <w:p w14:paraId="187B20FF">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三、乙方的权利</w:t>
      </w:r>
    </w:p>
    <w:p w14:paraId="46AD9640">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r>
        <w:rPr>
          <w:rFonts w:ascii="仿宋" w:hAnsi="仿宋" w:eastAsia="仿宋" w:cs="仿宋"/>
          <w:kern w:val="0"/>
          <w:sz w:val="28"/>
          <w:szCs w:val="28"/>
          <w:lang w:bidi="ar"/>
        </w:rPr>
        <w:t xml:space="preserve"> </w:t>
      </w:r>
      <w:r>
        <w:rPr>
          <w:rFonts w:hint="eastAsia" w:ascii="仿宋" w:hAnsi="仿宋" w:eastAsia="仿宋" w:cs="仿宋"/>
          <w:kern w:val="0"/>
          <w:sz w:val="28"/>
          <w:szCs w:val="28"/>
          <w:lang w:bidi="ar"/>
        </w:rPr>
        <w:t>1．乙方有权依法自主开展环境和安全生产管理工作。</w:t>
      </w:r>
    </w:p>
    <w:p w14:paraId="0C69F742">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2．乙方有权要求甲方统一协调涉及到双方的重大环境和安全生产问题。</w:t>
      </w:r>
    </w:p>
    <w:p w14:paraId="583F68E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3．乙方有权要求被告知甲方的重大环境因素和高风险危险源。</w:t>
      </w:r>
    </w:p>
    <w:p w14:paraId="13A95705">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四、甲方应承担的责任和义务</w:t>
      </w:r>
    </w:p>
    <w:p w14:paraId="627C0526">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1．为乙方介绍项目的现场和周围环境，以及甲方的管理制度和要求。</w:t>
      </w:r>
    </w:p>
    <w:p w14:paraId="4ADE74B2">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2．按照《中华人民共和国环境保护法》和《中华人民共和国安全生产法》的规定，对乙方的环境和安全生产工作统一协调、管理。</w:t>
      </w:r>
    </w:p>
    <w:p w14:paraId="532FAE19">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3．负责对乙方人员进行环境保护及职业健康安全方面的入厂教育。</w:t>
      </w:r>
    </w:p>
    <w:p w14:paraId="6736E253">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4．有责任将重大环境因素和高风险危险源告知乙方。</w:t>
      </w:r>
    </w:p>
    <w:p w14:paraId="3F9583E9">
      <w:pPr>
        <w:spacing w:line="500" w:lineRule="exact"/>
        <w:ind w:firstLine="545" w:firstLineChars="194"/>
        <w:rPr>
          <w:rFonts w:hint="eastAsia" w:ascii="仿宋" w:hAnsi="仿宋" w:eastAsia="仿宋" w:cs="仿宋"/>
          <w:b/>
          <w:kern w:val="0"/>
          <w:sz w:val="28"/>
          <w:szCs w:val="28"/>
        </w:rPr>
      </w:pPr>
      <w:r>
        <w:rPr>
          <w:rFonts w:hint="eastAsia" w:ascii="仿宋" w:hAnsi="仿宋" w:eastAsia="仿宋" w:cs="仿宋"/>
          <w:b/>
          <w:kern w:val="0"/>
          <w:sz w:val="28"/>
          <w:szCs w:val="28"/>
          <w:lang w:bidi="ar"/>
        </w:rPr>
        <w:t>五、乙方应承担的责任和义务</w:t>
      </w:r>
    </w:p>
    <w:p w14:paraId="65F261DA">
      <w:pPr>
        <w:spacing w:line="500" w:lineRule="exact"/>
        <w:ind w:firstLine="406" w:firstLineChars="145"/>
        <w:rPr>
          <w:rFonts w:hint="eastAsia" w:ascii="仿宋" w:hAnsi="仿宋" w:eastAsia="仿宋" w:cs="仿宋"/>
          <w:kern w:val="0"/>
          <w:sz w:val="28"/>
          <w:szCs w:val="28"/>
        </w:rPr>
      </w:pPr>
      <w:r>
        <w:rPr>
          <w:rFonts w:hint="eastAsia" w:ascii="仿宋" w:hAnsi="仿宋" w:eastAsia="仿宋" w:cs="仿宋"/>
          <w:kern w:val="0"/>
          <w:sz w:val="28"/>
          <w:szCs w:val="28"/>
          <w:lang w:bidi="ar"/>
        </w:rPr>
        <w:t>（一）环境管理方面的义务</w:t>
      </w:r>
    </w:p>
    <w:p w14:paraId="1EA0CABA">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1．相关方（施工单位）负责落实施工阶段的环保要求及施工过程中环保措施，建立健全环境控制制度，主要包括：</w:t>
      </w:r>
    </w:p>
    <w:p w14:paraId="198E15F1">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（1）使用机械设备可能产生噪声污染时，向周围生活环境排放施工噪声应符合国家规定的建筑施工厂界环境噪声排放标准。</w:t>
      </w:r>
    </w:p>
    <w:p w14:paraId="7AEC8641">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（2）施工方案优先考虑采用无污染或少污染、无危害或少危害的生产工艺、生产与施工设备、先进的施工方法等，不得采用国家或地方已禁止使用的生产工艺与施工设备。</w:t>
      </w:r>
    </w:p>
    <w:p w14:paraId="5EE7654C">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（3）保护施工现场周围的环境，防止对自然环境造成不应有的破坏。</w:t>
      </w:r>
    </w:p>
    <w:p w14:paraId="6E25EDD9">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（4）防止粉尘、噪声、振动等对周围生活居住区的污染和危害。</w:t>
      </w:r>
    </w:p>
    <w:p w14:paraId="4022847C">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（5）合理处理建筑施工中产生的固体废弃物。工程竣工后，施工单位应当修整恢复在建设过程中受到破坏的环境。</w:t>
      </w:r>
    </w:p>
    <w:p w14:paraId="07415D32">
      <w:pPr>
        <w:spacing w:line="500" w:lineRule="exact"/>
        <w:ind w:firstLine="420" w:firstLineChars="150"/>
        <w:rPr>
          <w:rFonts w:hint="eastAsia" w:ascii="仿宋" w:hAnsi="仿宋" w:eastAsia="仿宋" w:cs="仿宋"/>
          <w:kern w:val="0"/>
          <w:sz w:val="28"/>
          <w:szCs w:val="28"/>
        </w:rPr>
      </w:pPr>
      <w:r>
        <w:rPr>
          <w:rFonts w:hint="eastAsia" w:ascii="仿宋" w:hAnsi="仿宋" w:eastAsia="仿宋" w:cs="仿宋"/>
          <w:kern w:val="0"/>
          <w:sz w:val="28"/>
          <w:szCs w:val="28"/>
          <w:lang w:bidi="ar"/>
        </w:rPr>
        <w:t>（6）产生的生活垃圾集中放置所属工厂指定场所，以减轻对环境的影响，并根据规定将废物合理处理。按照工作岗位的工作区域确定环境管理责任人，明确管理责任。</w:t>
      </w:r>
    </w:p>
    <w:p w14:paraId="71A0F9F6">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2．回收废旧物资的部门，应按规定提供相应的资质，回收物品处理时，避免二次污染。</w:t>
      </w:r>
    </w:p>
    <w:p w14:paraId="47A2586A">
      <w:pPr>
        <w:spacing w:line="500" w:lineRule="exact"/>
        <w:ind w:firstLine="140" w:firstLineChars="5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3．储运过程中，应遵守交通运输法规，保证运输车辆状况良好，车辆排放的废气、噪声及车辆冲洗废水要符合国家规定的排放标准，不得扰乱厂区附近居民的生活。</w:t>
      </w:r>
    </w:p>
    <w:p w14:paraId="3A26B2B3">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4．所提供的产品及产品的原材料、生产过程、服务应满足（或设法满足）国家、地方、行业的有关环境保护方面的法律、法规要求，在保证质量的前提下，确保安全与环境性能，并减少包装材料的使用。</w:t>
      </w:r>
    </w:p>
    <w:p w14:paraId="79A24ED9">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（二）安全管理方面的义务</w:t>
      </w:r>
    </w:p>
    <w:p w14:paraId="62B7C228">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1．相关方（施工单位）负责落实施工阶段的安全要求及施工过程中的安全措施，主要包括：</w:t>
      </w:r>
    </w:p>
    <w:p w14:paraId="3EA064F4">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（1）项目施工方</w:t>
      </w:r>
      <w:r>
        <w:rPr>
          <w:rFonts w:hint="eastAsia" w:ascii="仿宋" w:hAnsi="仿宋" w:eastAsia="仿宋" w:cs="仿宋"/>
          <w:sz w:val="28"/>
          <w:szCs w:val="28"/>
          <w:lang w:bidi="ar"/>
        </w:rPr>
        <w:t>必须具备本项目的安全生产能力及相关资质。</w:t>
      </w:r>
    </w:p>
    <w:p w14:paraId="2A4DB81D">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（2）项目施工时制定严格的安全技术保障措施，教育自己的员工按照相应的安全操作规程操作，并遵守安全生产规章制度（包括甲方告知的制度及乙方自己的制度）。</w:t>
      </w:r>
    </w:p>
    <w:p w14:paraId="029CF15A">
      <w:pPr>
        <w:spacing w:line="500" w:lineRule="exact"/>
        <w:ind w:firstLine="280" w:firstLineChars="100"/>
        <w:rPr>
          <w:rFonts w:hint="eastAsia" w:ascii="仿宋" w:hAnsi="仿宋" w:eastAsia="仿宋" w:cs="仿宋"/>
          <w:kern w:val="0"/>
          <w:sz w:val="28"/>
          <w:szCs w:val="28"/>
        </w:rPr>
      </w:pPr>
      <w:r>
        <w:rPr>
          <w:rFonts w:hint="eastAsia" w:ascii="仿宋" w:hAnsi="仿宋" w:eastAsia="仿宋" w:cs="仿宋"/>
          <w:kern w:val="0"/>
          <w:sz w:val="28"/>
          <w:szCs w:val="28"/>
          <w:lang w:bidi="ar"/>
        </w:rPr>
        <w:t>（3）施工现场人员必须按规定佩带合格的劳动防护用具（乙方自备），特种作业人员必须持证上岗，严格执行操作规程，并确保在指定地点作业。</w:t>
      </w:r>
    </w:p>
    <w:p w14:paraId="59E3C1B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2．进入厂区，必须遵守公司的安全生产管理规章制度。</w:t>
      </w:r>
    </w:p>
    <w:p w14:paraId="118C6AC6">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3．必须主动接受公司的安全、防火教育和交底。</w:t>
      </w:r>
    </w:p>
    <w:p w14:paraId="52E8E2C1">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4．外来人员进入生产现场，须有公司内业务负责人员陪同，并按照生产现场人行路线行走。</w:t>
      </w:r>
    </w:p>
    <w:p w14:paraId="4B4FE220">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5．进入生产现场，按要求穿戴好劳动防护用品，严禁坦胸露背、穿凉鞋、拖鞋。</w:t>
      </w:r>
    </w:p>
    <w:p w14:paraId="52A2C190">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6．不能与同行人员打闹，酒后不能进入作业场所。</w:t>
      </w:r>
    </w:p>
    <w:p w14:paraId="48E88648">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7．不准随意移动作业区内的各类设备及工具。</w:t>
      </w:r>
    </w:p>
    <w:p w14:paraId="1B745140">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8．运输危险化学品和易燃易爆品，要具备运输资质，采取一定的防护措施，避免运输途中产生泄漏，在搬运、装卸过程中注意轻拿轻放，避免野蛮装卸。</w:t>
      </w:r>
    </w:p>
    <w:p w14:paraId="585DB69A">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9．经批准进入厂区的应注意观看各类警示标识，遵守警示标识的指令。不准在吊物下通过或停留。</w:t>
      </w:r>
    </w:p>
    <w:p w14:paraId="1E330E2F">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10．外来车辆进入厂区内减速慢行，车辆右行，并按公司规定的线路行驶，不能并行，不得高声鸣笛。</w:t>
      </w:r>
    </w:p>
    <w:p w14:paraId="27B3EB8E">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11．厂区内全面禁止吸烟，凡吸烟者均按照1000元/次给予经济处罚。</w:t>
      </w:r>
    </w:p>
    <w:p w14:paraId="3C606F31">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12．厂区内临时用电、动火必须制定详细的施工方案，并经甲方安全部门、保卫部门批准后方可作业。</w:t>
      </w:r>
    </w:p>
    <w:p w14:paraId="5A968503">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（三）其他义务</w:t>
      </w:r>
    </w:p>
    <w:p w14:paraId="5B79B89A">
      <w:pPr>
        <w:spacing w:line="500" w:lineRule="exact"/>
        <w:ind w:firstLine="2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1．乙方应主动配合甲方的相关检查，并对甲方要求其解释的事项作出口头或书面解释。</w:t>
      </w:r>
    </w:p>
    <w:p w14:paraId="67ABD717">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2．乙方应对甲方提出的改进方案和建议积极响应，及时与甲方沟通、协调，共同解决问题。</w:t>
      </w:r>
    </w:p>
    <w:p w14:paraId="466783D1">
      <w:pPr>
        <w:spacing w:line="500" w:lineRule="exact"/>
        <w:ind w:firstLine="543" w:firstLineChars="194"/>
        <w:rPr>
          <w:rFonts w:hint="eastAsia" w:ascii="仿宋" w:hAnsi="仿宋" w:eastAsia="仿宋" w:cs="仿宋"/>
          <w:kern w:val="0"/>
          <w:sz w:val="28"/>
          <w:szCs w:val="28"/>
        </w:rPr>
      </w:pPr>
      <w:r>
        <w:rPr>
          <w:rFonts w:hint="eastAsia" w:ascii="仿宋" w:hAnsi="仿宋" w:eastAsia="仿宋" w:cs="仿宋"/>
          <w:kern w:val="0"/>
          <w:sz w:val="28"/>
          <w:szCs w:val="28"/>
          <w:lang w:bidi="ar"/>
        </w:rPr>
        <w:t>3．乙方在向甲方提供产品或服务的过程中</w:t>
      </w:r>
      <w:r>
        <w:rPr>
          <w:rFonts w:hint="eastAsia" w:ascii="仿宋" w:hAnsi="仿宋" w:eastAsia="仿宋" w:cs="仿宋"/>
          <w:sz w:val="28"/>
          <w:szCs w:val="28"/>
          <w:lang w:bidi="ar"/>
        </w:rPr>
        <w:t>应最大限度保护好环境，确保工作人员的职业健康安全，满足甲方对乙方提出改进的要求。</w:t>
      </w:r>
    </w:p>
    <w:p w14:paraId="0C38C970">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4．对项目过程中发生的事故，乙方负责及时向有关部门报告，建立处理事故的应急部门，并承担因事故所产生的所有经济损失。如果因事故给甲方造成损失的，乙方应承担全部赔偿责任。</w:t>
      </w:r>
    </w:p>
    <w:p w14:paraId="79947F5D">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5．违反本协议造成的一切事故由乙方负责，给甲方造成的一切损失及相关部门的行政处罚和法律责任均由乙方承担。</w:t>
      </w:r>
    </w:p>
    <w:p w14:paraId="50E6FD08">
      <w:pPr>
        <w:spacing w:line="500" w:lineRule="exact"/>
        <w:ind w:firstLine="560" w:firstLineChars="200"/>
        <w:rPr>
          <w:rFonts w:hint="eastAsia" w:ascii="仿宋" w:hAnsi="仿宋" w:eastAsia="仿宋" w:cs="仿宋"/>
          <w:kern w:val="0"/>
          <w:sz w:val="28"/>
          <w:szCs w:val="28"/>
        </w:rPr>
      </w:pPr>
      <w:r>
        <w:rPr>
          <w:rFonts w:hint="eastAsia" w:ascii="仿宋" w:hAnsi="仿宋" w:eastAsia="仿宋" w:cs="仿宋"/>
          <w:kern w:val="0"/>
          <w:sz w:val="28"/>
          <w:szCs w:val="28"/>
          <w:lang w:bidi="ar"/>
        </w:rPr>
        <w:t>6．以上对甲方的环境保护及职业健康安全等相关要求由乙方的</w:t>
      </w:r>
      <w:r>
        <w:rPr>
          <w:rFonts w:hint="eastAsia" w:ascii="仿宋" w:hAnsi="仿宋" w:eastAsia="仿宋" w:cs="仿宋"/>
          <w:kern w:val="0"/>
          <w:sz w:val="28"/>
          <w:szCs w:val="28"/>
          <w:u w:val="single"/>
          <w:lang w:bidi="ar"/>
        </w:rPr>
        <w:t xml:space="preserve">           </w:t>
      </w:r>
      <w:r>
        <w:rPr>
          <w:rFonts w:hint="eastAsia" w:ascii="仿宋" w:hAnsi="仿宋" w:eastAsia="仿宋" w:cs="仿宋"/>
          <w:kern w:val="0"/>
          <w:sz w:val="28"/>
          <w:szCs w:val="28"/>
          <w:lang w:bidi="ar"/>
        </w:rPr>
        <w:t>（</w:t>
      </w:r>
      <w:r>
        <w:rPr>
          <w:rFonts w:hint="eastAsia" w:ascii="仿宋" w:hAnsi="仿宋" w:eastAsia="仿宋" w:cs="仿宋"/>
          <w:kern w:val="0"/>
          <w:sz w:val="28"/>
          <w:szCs w:val="28"/>
          <w:lang w:eastAsia="zh-CN" w:bidi="ar"/>
        </w:rPr>
        <w:t>罗燕</w:t>
      </w:r>
      <w:r>
        <w:rPr>
          <w:rFonts w:hint="eastAsia" w:ascii="仿宋" w:hAnsi="仿宋" w:eastAsia="仿宋" w:cs="仿宋"/>
          <w:kern w:val="0"/>
          <w:sz w:val="28"/>
          <w:szCs w:val="28"/>
          <w:lang w:bidi="ar"/>
        </w:rPr>
        <w:t>）负责解释协调，甲方可随时与其沟通联系。</w:t>
      </w:r>
    </w:p>
    <w:p w14:paraId="48860BA0">
      <w:pPr>
        <w:spacing w:line="500" w:lineRule="exact"/>
        <w:ind w:firstLine="562" w:firstLineChars="200"/>
        <w:rPr>
          <w:rFonts w:hint="eastAsia" w:ascii="仿宋" w:hAnsi="仿宋" w:eastAsia="仿宋" w:cs="仿宋"/>
          <w:b/>
          <w:sz w:val="28"/>
          <w:szCs w:val="28"/>
        </w:rPr>
      </w:pPr>
      <w:r>
        <w:rPr>
          <w:rFonts w:hint="eastAsia" w:ascii="仿宋" w:hAnsi="仿宋" w:eastAsia="仿宋" w:cs="仿宋"/>
          <w:b/>
          <w:sz w:val="28"/>
          <w:szCs w:val="28"/>
          <w:lang w:bidi="ar"/>
        </w:rPr>
        <w:t>六、协议的生效、变更和解除</w:t>
      </w:r>
    </w:p>
    <w:p w14:paraId="5978CC4B">
      <w:pPr>
        <w:spacing w:line="500" w:lineRule="exact"/>
        <w:ind w:firstLine="560" w:firstLineChars="200"/>
        <w:rPr>
          <w:rFonts w:hint="eastAsia" w:ascii="仿宋" w:hAnsi="仿宋" w:eastAsia="仿宋" w:cs="仿宋"/>
          <w:kern w:val="0"/>
          <w:sz w:val="28"/>
          <w:szCs w:val="28"/>
          <w:lang w:eastAsia="zh-CN"/>
        </w:rPr>
      </w:pPr>
      <w:r>
        <w:rPr>
          <w:rFonts w:hint="eastAsia" w:ascii="仿宋" w:hAnsi="仿宋" w:eastAsia="仿宋" w:cs="仿宋"/>
          <w:kern w:val="0"/>
          <w:sz w:val="28"/>
          <w:szCs w:val="28"/>
          <w:lang w:bidi="ar"/>
        </w:rPr>
        <w:t>1.本协议一式</w:t>
      </w:r>
      <w:r>
        <w:rPr>
          <w:rFonts w:hint="eastAsia" w:ascii="仿宋" w:hAnsi="仿宋" w:eastAsia="仿宋" w:cs="仿宋"/>
          <w:kern w:val="0"/>
          <w:sz w:val="28"/>
          <w:szCs w:val="28"/>
          <w:lang w:val="en-US" w:eastAsia="zh-CN" w:bidi="ar"/>
        </w:rPr>
        <w:t>肆</w:t>
      </w:r>
      <w:r>
        <w:rPr>
          <w:rFonts w:hint="eastAsia" w:ascii="仿宋" w:hAnsi="仿宋" w:eastAsia="仿宋" w:cs="仿宋"/>
          <w:kern w:val="0"/>
          <w:sz w:val="28"/>
          <w:szCs w:val="28"/>
          <w:lang w:bidi="ar"/>
        </w:rPr>
        <w:t>份,经双方代表签字并盖章后生效，甲方持</w:t>
      </w:r>
      <w:r>
        <w:rPr>
          <w:rFonts w:hint="eastAsia" w:ascii="仿宋" w:hAnsi="仿宋" w:eastAsia="仿宋" w:cs="仿宋"/>
          <w:kern w:val="0"/>
          <w:sz w:val="28"/>
          <w:szCs w:val="28"/>
          <w:lang w:val="en-US" w:eastAsia="zh-CN" w:bidi="ar"/>
        </w:rPr>
        <w:t>叁</w:t>
      </w:r>
      <w:r>
        <w:rPr>
          <w:rFonts w:hint="eastAsia" w:ascii="仿宋" w:hAnsi="仿宋" w:eastAsia="仿宋" w:cs="仿宋"/>
          <w:kern w:val="0"/>
          <w:sz w:val="28"/>
          <w:szCs w:val="28"/>
          <w:lang w:bidi="ar"/>
        </w:rPr>
        <w:t>份,乙方持</w:t>
      </w:r>
      <w:r>
        <w:rPr>
          <w:rFonts w:hint="eastAsia" w:ascii="仿宋" w:hAnsi="仿宋" w:eastAsia="仿宋" w:cs="仿宋"/>
          <w:kern w:val="0"/>
          <w:sz w:val="28"/>
          <w:szCs w:val="28"/>
          <w:lang w:val="en-US" w:eastAsia="zh-CN" w:bidi="ar"/>
        </w:rPr>
        <w:t>壹</w:t>
      </w:r>
      <w:r>
        <w:rPr>
          <w:rFonts w:hint="eastAsia" w:ascii="仿宋" w:hAnsi="仿宋" w:eastAsia="仿宋" w:cs="仿宋"/>
          <w:kern w:val="0"/>
          <w:sz w:val="28"/>
          <w:szCs w:val="28"/>
          <w:lang w:bidi="ar"/>
        </w:rPr>
        <w:t>份,协议有效期自</w:t>
      </w:r>
      <w:r>
        <w:rPr>
          <w:rFonts w:hint="eastAsia" w:ascii="仿宋" w:hAnsi="仿宋" w:eastAsia="仿宋" w:cs="仿宋"/>
          <w:kern w:val="0"/>
          <w:sz w:val="28"/>
          <w:szCs w:val="28"/>
          <w:u w:val="single"/>
          <w:lang w:eastAsia="zh-CN" w:bidi="ar"/>
        </w:rPr>
        <w:t>合同签字之</w:t>
      </w:r>
      <w:r>
        <w:rPr>
          <w:rFonts w:hint="eastAsia" w:ascii="仿宋" w:hAnsi="仿宋" w:eastAsia="仿宋" w:cs="仿宋"/>
          <w:kern w:val="0"/>
          <w:sz w:val="28"/>
          <w:szCs w:val="28"/>
          <w:u w:val="single"/>
          <w:lang w:bidi="ar"/>
        </w:rPr>
        <w:t>日</w:t>
      </w:r>
      <w:r>
        <w:rPr>
          <w:rFonts w:hint="eastAsia" w:ascii="仿宋" w:hAnsi="仿宋" w:eastAsia="仿宋" w:cs="仿宋"/>
          <w:kern w:val="0"/>
          <w:sz w:val="28"/>
          <w:szCs w:val="28"/>
          <w:lang w:bidi="ar"/>
        </w:rPr>
        <w:t>至</w:t>
      </w:r>
      <w:r>
        <w:rPr>
          <w:rFonts w:hint="eastAsia" w:ascii="仿宋" w:hAnsi="仿宋" w:eastAsia="仿宋" w:cs="仿宋"/>
          <w:kern w:val="0"/>
          <w:sz w:val="28"/>
          <w:szCs w:val="28"/>
          <w:u w:val="single"/>
          <w:lang w:bidi="ar"/>
        </w:rPr>
        <w:t xml:space="preserve"> 材料到场并验收合格</w:t>
      </w:r>
      <w:r>
        <w:rPr>
          <w:rFonts w:hint="eastAsia" w:ascii="仿宋" w:hAnsi="仿宋" w:eastAsia="仿宋" w:cs="仿宋"/>
          <w:kern w:val="0"/>
          <w:sz w:val="28"/>
          <w:szCs w:val="28"/>
          <w:u w:val="single"/>
          <w:lang w:eastAsia="zh-CN" w:bidi="ar"/>
        </w:rPr>
        <w:t>。</w:t>
      </w:r>
    </w:p>
    <w:p w14:paraId="0A424AE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2．本协议经双方书面同意，可以予以修改、补充或调整。</w:t>
      </w:r>
    </w:p>
    <w:p w14:paraId="2C40BB8A">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3．本协议未尽事宜，双方应本着互惠互利、友好协商的原则另行约定，并应以附件或补充协议等书面形式体现。</w:t>
      </w:r>
    </w:p>
    <w:p w14:paraId="4A677061">
      <w:pPr>
        <w:spacing w:line="500" w:lineRule="exact"/>
        <w:ind w:firstLine="560" w:firstLineChars="200"/>
        <w:rPr>
          <w:rFonts w:hint="eastAsia" w:ascii="仿宋" w:hAnsi="仿宋" w:eastAsia="仿宋" w:cs="仿宋"/>
          <w:kern w:val="0"/>
          <w:sz w:val="28"/>
          <w:szCs w:val="28"/>
          <w:lang w:bidi="ar"/>
        </w:rPr>
      </w:pPr>
      <w:r>
        <w:rPr>
          <w:rFonts w:hint="eastAsia" w:ascii="仿宋" w:hAnsi="仿宋" w:eastAsia="仿宋" w:cs="仿宋"/>
          <w:kern w:val="0"/>
          <w:sz w:val="28"/>
          <w:szCs w:val="28"/>
          <w:lang w:bidi="ar"/>
        </w:rPr>
        <w:t xml:space="preserve">  </w:t>
      </w:r>
    </w:p>
    <w:p w14:paraId="7D4F0B82">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甲方单位（签章）：                          乙方单位（签章）：</w:t>
      </w:r>
    </w:p>
    <w:p w14:paraId="5C7964FF">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14:paraId="382484B2">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甲方代表（签字）：                          乙方代表（签字）：</w:t>
      </w:r>
    </w:p>
    <w:p w14:paraId="6C037661">
      <w:pPr>
        <w:spacing w:line="500" w:lineRule="exact"/>
        <w:ind w:firstLine="1120" w:firstLineChars="400"/>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w:t>
      </w:r>
    </w:p>
    <w:p w14:paraId="5BE15FA6">
      <w:pPr>
        <w:spacing w:line="500" w:lineRule="exact"/>
        <w:rPr>
          <w:rFonts w:hint="eastAsia" w:ascii="仿宋" w:hAnsi="仿宋" w:eastAsia="仿宋" w:cs="仿宋"/>
          <w:kern w:val="0"/>
          <w:sz w:val="28"/>
          <w:szCs w:val="28"/>
        </w:rPr>
      </w:pPr>
      <w:r>
        <w:rPr>
          <w:rFonts w:hint="eastAsia" w:ascii="仿宋" w:hAnsi="仿宋" w:eastAsia="仿宋" w:cs="仿宋"/>
          <w:kern w:val="0"/>
          <w:sz w:val="28"/>
          <w:szCs w:val="28"/>
          <w:lang w:bidi="ar"/>
        </w:rPr>
        <w:t xml:space="preserve">   日期：202</w:t>
      </w:r>
      <w:r>
        <w:rPr>
          <w:rFonts w:hint="eastAsia" w:ascii="仿宋" w:hAnsi="仿宋" w:eastAsia="仿宋" w:cs="仿宋"/>
          <w:kern w:val="0"/>
          <w:sz w:val="28"/>
          <w:szCs w:val="28"/>
          <w:lang w:val="en-US" w:eastAsia="zh-CN" w:bidi="ar"/>
        </w:rPr>
        <w:t>6</w:t>
      </w:r>
      <w:r>
        <w:rPr>
          <w:rFonts w:hint="eastAsia" w:ascii="仿宋" w:hAnsi="仿宋" w:eastAsia="仿宋" w:cs="仿宋"/>
          <w:kern w:val="0"/>
          <w:sz w:val="28"/>
          <w:szCs w:val="28"/>
          <w:lang w:bidi="ar"/>
        </w:rPr>
        <w:t>年</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日                  日期：202</w:t>
      </w:r>
      <w:r>
        <w:rPr>
          <w:rFonts w:hint="eastAsia" w:ascii="仿宋" w:hAnsi="仿宋" w:eastAsia="仿宋" w:cs="仿宋"/>
          <w:kern w:val="0"/>
          <w:sz w:val="28"/>
          <w:szCs w:val="28"/>
          <w:lang w:val="en-US" w:eastAsia="zh-CN" w:bidi="ar"/>
        </w:rPr>
        <w:t xml:space="preserve">6 </w:t>
      </w:r>
      <w:r>
        <w:rPr>
          <w:rFonts w:hint="eastAsia" w:ascii="仿宋" w:hAnsi="仿宋" w:eastAsia="仿宋" w:cs="仿宋"/>
          <w:kern w:val="0"/>
          <w:sz w:val="28"/>
          <w:szCs w:val="28"/>
          <w:lang w:bidi="ar"/>
        </w:rPr>
        <w:t>年</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月</w:t>
      </w:r>
      <w:r>
        <w:rPr>
          <w:rFonts w:hint="eastAsia" w:ascii="仿宋" w:hAnsi="仿宋" w:eastAsia="仿宋" w:cs="仿宋"/>
          <w:kern w:val="0"/>
          <w:sz w:val="28"/>
          <w:szCs w:val="28"/>
          <w:lang w:val="en-US" w:eastAsia="zh-CN" w:bidi="ar"/>
        </w:rPr>
        <w:t xml:space="preserve">   </w:t>
      </w:r>
      <w:r>
        <w:rPr>
          <w:rFonts w:hint="eastAsia" w:ascii="仿宋" w:hAnsi="仿宋" w:eastAsia="仿宋" w:cs="仿宋"/>
          <w:kern w:val="0"/>
          <w:sz w:val="28"/>
          <w:szCs w:val="28"/>
          <w:lang w:bidi="ar"/>
        </w:rPr>
        <w:t>日</w:t>
      </w:r>
    </w:p>
    <w:p w14:paraId="701F393F">
      <w:pPr>
        <w:spacing w:line="500" w:lineRule="exact"/>
        <w:rPr>
          <w:rFonts w:hint="eastAsia" w:ascii="仿宋" w:hAnsi="仿宋" w:eastAsia="仿宋" w:cs="仿宋"/>
          <w:sz w:val="28"/>
          <w:szCs w:val="28"/>
        </w:rPr>
      </w:pPr>
    </w:p>
    <w:p w14:paraId="78E40CD6">
      <w:pPr>
        <w:spacing w:line="500" w:lineRule="exact"/>
        <w:jc w:val="center"/>
        <w:rPr>
          <w:rFonts w:hint="eastAsia" w:ascii="仿宋" w:hAnsi="仿宋" w:eastAsia="仿宋" w:cs="仿宋"/>
          <w:b/>
          <w:sz w:val="28"/>
          <w:szCs w:val="28"/>
        </w:rPr>
      </w:pPr>
      <w:r>
        <w:rPr>
          <w:rFonts w:hint="eastAsia" w:ascii="仿宋" w:hAnsi="仿宋" w:eastAsia="仿宋" w:cs="仿宋"/>
          <w:b/>
          <w:sz w:val="28"/>
          <w:szCs w:val="28"/>
          <w:lang w:bidi="ar"/>
        </w:rPr>
        <w:t>供方诚信廉洁责任规范承诺</w:t>
      </w:r>
    </w:p>
    <w:p w14:paraId="5FCD5DC2">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一、</w:t>
      </w:r>
      <w:r>
        <w:rPr>
          <w:rFonts w:hint="eastAsia" w:ascii="仿宋" w:hAnsi="仿宋" w:eastAsia="仿宋" w:cs="仿宋"/>
          <w:b/>
          <w:sz w:val="28"/>
          <w:szCs w:val="28"/>
          <w:lang w:bidi="ar"/>
        </w:rPr>
        <w:t>目的、范围：</w:t>
      </w:r>
    </w:p>
    <w:p w14:paraId="6492CA98">
      <w:pPr>
        <w:spacing w:line="500" w:lineRule="exact"/>
        <w:ind w:firstLine="570"/>
        <w:rPr>
          <w:rFonts w:hint="eastAsia" w:ascii="仿宋" w:hAnsi="仿宋" w:eastAsia="仿宋" w:cs="仿宋"/>
          <w:sz w:val="28"/>
          <w:szCs w:val="28"/>
        </w:rPr>
      </w:pPr>
      <w:r>
        <w:rPr>
          <w:rFonts w:hint="eastAsia" w:ascii="仿宋" w:hAnsi="仿宋" w:eastAsia="仿宋" w:cs="仿宋"/>
          <w:sz w:val="28"/>
          <w:szCs w:val="28"/>
          <w:lang w:bidi="ar"/>
        </w:rPr>
        <w:t>为进一步改进和完善企业的物资采购管理，健全监督约束机制，规范凉山州现代房屋建筑集成制造有限公司（以下简称需方）采购等人员行为，加强对采购工作的监督管理，本着诚信、互惠互利和依法经营的原则，实行供方诚信廉洁责任规范制度。本规范适用于与需方有业务往来的所有供方。</w:t>
      </w:r>
    </w:p>
    <w:p w14:paraId="6E73115E">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二、职责：</w:t>
      </w:r>
    </w:p>
    <w:p w14:paraId="4F6E2F6B">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1、各业务部门为本规范的归口管理部门，负责本规范的有效实施。</w:t>
      </w:r>
    </w:p>
    <w:p w14:paraId="511E07D8">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2、公司纪委为本规范实施的监督部门。</w:t>
      </w:r>
    </w:p>
    <w:p w14:paraId="081FB97F">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三、管理内容：</w:t>
      </w:r>
    </w:p>
    <w:p w14:paraId="441BF050">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（一）、供方行为规范:</w:t>
      </w:r>
    </w:p>
    <w:p w14:paraId="7EDF0939">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1、不准向需方提供已经知道或应该知道不合格（期、质、量）的物资，不准以次充好，以劣充优。</w:t>
      </w:r>
    </w:p>
    <w:p w14:paraId="4D71B995">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2、不准向需方采购人员、领导干部等有关人员提供回扣、好处费、有价证券、信用卡、支付凭证或报销发票。</w:t>
      </w:r>
    </w:p>
    <w:p w14:paraId="1EE955EF">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3、不准向需方采购人员、领导干部等有关人员提供高消费宴请、礼品、礼金和公款支付的娱乐性活动。</w:t>
      </w:r>
    </w:p>
    <w:p w14:paraId="78926C44">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4、不准向需方采购人员、领导干部等有关人员提供借款作为私用。</w:t>
      </w:r>
    </w:p>
    <w:p w14:paraId="2450609F">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5、不准向需方采购人员、领导干部的配偶、子女、亲属、子女配偶的亲属、领导干部身边的工作人员等做出违反第2、3、4条的行为。</w:t>
      </w:r>
    </w:p>
    <w:p w14:paraId="3A97673D">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6、不准安排采购人员、领导干部等人员的配偶、子女、亲属、子女配偶的亲属、领导干部身边的工作人员的亲属在供方企业就职谋业。</w:t>
      </w:r>
    </w:p>
    <w:p w14:paraId="5D6060D5">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7、对需方采购人员、领导干部等有关人员的行为进行监督，有责任对不良行为、损害企业利益、信誉等行为进行举报。不得瞒报、谎报。</w:t>
      </w:r>
    </w:p>
    <w:p w14:paraId="556FA4C4">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8、不准损害需方的利益，对图纸、技术资料、价格、管理规定及管理流程、加工工艺等商业秘密负责保密。</w:t>
      </w:r>
    </w:p>
    <w:p w14:paraId="3710E7CB">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9、对违规违纪问题的调查、取证予以全力配合。</w:t>
      </w:r>
    </w:p>
    <w:p w14:paraId="1E992280">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（二）、责任追究：</w:t>
      </w:r>
    </w:p>
    <w:p w14:paraId="73CD5479">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1、违反第1条规定，对造成的经济损失由供方全额承担，并取消其供货资格。</w:t>
      </w:r>
    </w:p>
    <w:p w14:paraId="272EAD34">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2、违反第2、3、4、5、条规定的，一经核实，取消其供货资格。触犯法律的，移交司法机关处理。</w:t>
      </w:r>
    </w:p>
    <w:p w14:paraId="44B7787C">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3、违反第6条规定，供方必须限期妥善解决，否则取消其供货资格。</w:t>
      </w:r>
    </w:p>
    <w:p w14:paraId="4D9609A8">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4、违反第7条规定，故意隐瞒事实真相的，经核实后，取消其供货资格。</w:t>
      </w:r>
    </w:p>
    <w:p w14:paraId="0FFD5F5B">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5、违反第8条规定，给需方造成的一切经济损失由供方承担，需方视情节轻重给予取消供货资格或诉诸法律，追究责任。</w:t>
      </w:r>
    </w:p>
    <w:p w14:paraId="063FDA10">
      <w:pPr>
        <w:spacing w:line="500" w:lineRule="exact"/>
        <w:ind w:firstLine="560" w:firstLineChars="200"/>
        <w:rPr>
          <w:rFonts w:hint="eastAsia" w:ascii="仿宋" w:hAnsi="仿宋" w:eastAsia="仿宋" w:cs="仿宋"/>
          <w:sz w:val="28"/>
          <w:szCs w:val="28"/>
        </w:rPr>
      </w:pPr>
      <w:r>
        <w:rPr>
          <w:rFonts w:hint="eastAsia" w:ascii="仿宋" w:hAnsi="仿宋" w:eastAsia="仿宋" w:cs="仿宋"/>
          <w:sz w:val="28"/>
          <w:szCs w:val="28"/>
          <w:lang w:bidi="ar"/>
        </w:rPr>
        <w:t>6、对违规违纪问题，需方有向供方调查、取证的权利，供方应积极配合。如发生故意干扰、阻止调查、取证工作；故意提供虚假材料、作假证、为当事人解脱责任等行为，造成严重后果，需方将取消其供货资格。</w:t>
      </w:r>
    </w:p>
    <w:p w14:paraId="5A9D4D89">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（三）、供方承诺：</w:t>
      </w:r>
    </w:p>
    <w:p w14:paraId="5FB463AC">
      <w:pPr>
        <w:spacing w:line="500" w:lineRule="exact"/>
        <w:ind w:firstLine="630"/>
        <w:rPr>
          <w:rFonts w:hint="eastAsia" w:ascii="仿宋" w:hAnsi="仿宋" w:eastAsia="仿宋" w:cs="仿宋"/>
          <w:sz w:val="28"/>
          <w:szCs w:val="28"/>
        </w:rPr>
      </w:pPr>
      <w:r>
        <w:rPr>
          <w:rFonts w:hint="eastAsia" w:ascii="仿宋" w:hAnsi="仿宋" w:eastAsia="仿宋" w:cs="仿宋"/>
          <w:sz w:val="28"/>
          <w:szCs w:val="28"/>
          <w:lang w:bidi="ar"/>
        </w:rPr>
        <w:t>对于上述行为规范，我方愿意遵守执行，做好物资供应工作，如有违反，我方愿意承担一切法律责任。</w:t>
      </w:r>
    </w:p>
    <w:p w14:paraId="2660B4B2">
      <w:pPr>
        <w:spacing w:line="500" w:lineRule="exact"/>
        <w:rPr>
          <w:rFonts w:hint="eastAsia" w:ascii="仿宋" w:hAnsi="仿宋" w:eastAsia="仿宋" w:cs="仿宋"/>
          <w:b/>
          <w:sz w:val="28"/>
          <w:szCs w:val="28"/>
        </w:rPr>
      </w:pPr>
      <w:r>
        <w:rPr>
          <w:rFonts w:hint="eastAsia" w:ascii="仿宋" w:hAnsi="仿宋" w:eastAsia="仿宋" w:cs="仿宋"/>
          <w:b/>
          <w:sz w:val="28"/>
          <w:szCs w:val="28"/>
          <w:lang w:bidi="ar"/>
        </w:rPr>
        <w:t xml:space="preserve"> 四、本规范一式</w:t>
      </w:r>
      <w:r>
        <w:rPr>
          <w:rFonts w:hint="eastAsia" w:ascii="仿宋" w:hAnsi="仿宋" w:eastAsia="仿宋" w:cs="仿宋"/>
          <w:b/>
          <w:sz w:val="28"/>
          <w:szCs w:val="28"/>
          <w:lang w:val="en-US" w:eastAsia="zh-CN" w:bidi="ar"/>
        </w:rPr>
        <w:t>肆</w:t>
      </w:r>
      <w:r>
        <w:rPr>
          <w:rFonts w:hint="eastAsia" w:ascii="仿宋" w:hAnsi="仿宋" w:eastAsia="仿宋" w:cs="仿宋"/>
          <w:b/>
          <w:sz w:val="28"/>
          <w:szCs w:val="28"/>
          <w:lang w:bidi="ar"/>
        </w:rPr>
        <w:t>份，</w:t>
      </w:r>
      <w:r>
        <w:rPr>
          <w:rFonts w:hint="eastAsia" w:ascii="仿宋" w:hAnsi="仿宋" w:eastAsia="仿宋" w:cs="仿宋"/>
          <w:b/>
          <w:sz w:val="28"/>
          <w:szCs w:val="28"/>
          <w:lang w:val="en-US" w:eastAsia="zh-CN" w:bidi="ar"/>
        </w:rPr>
        <w:t>甲方叁份，乙</w:t>
      </w:r>
      <w:r>
        <w:rPr>
          <w:rFonts w:hint="eastAsia" w:ascii="仿宋" w:hAnsi="仿宋" w:eastAsia="仿宋" w:cs="仿宋"/>
          <w:b/>
          <w:sz w:val="28"/>
          <w:szCs w:val="28"/>
          <w:lang w:bidi="ar"/>
        </w:rPr>
        <w:t>方执</w:t>
      </w:r>
      <w:r>
        <w:rPr>
          <w:rFonts w:hint="eastAsia" w:ascii="仿宋" w:hAnsi="仿宋" w:eastAsia="仿宋" w:cs="仿宋"/>
          <w:b/>
          <w:sz w:val="28"/>
          <w:szCs w:val="28"/>
          <w:lang w:val="en-US" w:eastAsia="zh-CN" w:bidi="ar"/>
        </w:rPr>
        <w:t>壹</w:t>
      </w:r>
      <w:r>
        <w:rPr>
          <w:rFonts w:hint="eastAsia" w:ascii="仿宋" w:hAnsi="仿宋" w:eastAsia="仿宋" w:cs="仿宋"/>
          <w:b/>
          <w:sz w:val="28"/>
          <w:szCs w:val="28"/>
          <w:lang w:bidi="ar"/>
        </w:rPr>
        <w:t>份。</w:t>
      </w:r>
    </w:p>
    <w:p w14:paraId="6700EA20">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w:t>
      </w:r>
    </w:p>
    <w:p w14:paraId="2922C92F">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供方单位盖章：</w:t>
      </w:r>
    </w:p>
    <w:p w14:paraId="368CD7B5">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w:t>
      </w:r>
    </w:p>
    <w:p w14:paraId="543C071B">
      <w:pPr>
        <w:spacing w:line="500" w:lineRule="exact"/>
        <w:rPr>
          <w:rFonts w:hint="eastAsia" w:ascii="仿宋" w:hAnsi="仿宋" w:eastAsia="仿宋" w:cs="仿宋"/>
          <w:b/>
          <w:sz w:val="28"/>
          <w:szCs w:val="28"/>
        </w:rPr>
      </w:pPr>
      <w:r>
        <w:rPr>
          <w:rFonts w:hint="eastAsia" w:ascii="仿宋" w:hAnsi="仿宋" w:eastAsia="仿宋" w:cs="仿宋"/>
          <w:sz w:val="28"/>
          <w:szCs w:val="28"/>
          <w:lang w:bidi="ar"/>
        </w:rPr>
        <w:t xml:space="preserve">    </w:t>
      </w:r>
      <w:r>
        <w:rPr>
          <w:rFonts w:hint="eastAsia" w:ascii="仿宋" w:hAnsi="仿宋" w:eastAsia="仿宋" w:cs="仿宋"/>
          <w:b/>
          <w:sz w:val="28"/>
          <w:szCs w:val="28"/>
          <w:lang w:bidi="ar"/>
        </w:rPr>
        <w:t>供方代表签字：</w:t>
      </w:r>
    </w:p>
    <w:p w14:paraId="1DE9742C">
      <w:pPr>
        <w:spacing w:line="500" w:lineRule="exact"/>
        <w:rPr>
          <w:rFonts w:hint="eastAsia" w:ascii="仿宋" w:hAnsi="仿宋" w:eastAsia="仿宋" w:cs="仿宋"/>
          <w:sz w:val="28"/>
          <w:szCs w:val="28"/>
        </w:rPr>
      </w:pPr>
      <w:r>
        <w:rPr>
          <w:rFonts w:hint="eastAsia" w:ascii="仿宋" w:hAnsi="仿宋" w:eastAsia="仿宋" w:cs="仿宋"/>
          <w:sz w:val="28"/>
          <w:szCs w:val="28"/>
          <w:lang w:bidi="ar"/>
        </w:rPr>
        <w:t xml:space="preserve">      202</w:t>
      </w:r>
      <w:r>
        <w:rPr>
          <w:rFonts w:hint="eastAsia" w:ascii="仿宋" w:hAnsi="仿宋" w:eastAsia="仿宋" w:cs="仿宋"/>
          <w:sz w:val="28"/>
          <w:szCs w:val="28"/>
          <w:lang w:val="en-US" w:eastAsia="zh-CN" w:bidi="ar"/>
        </w:rPr>
        <w:t xml:space="preserve">6 </w:t>
      </w:r>
      <w:r>
        <w:rPr>
          <w:rFonts w:hint="eastAsia" w:ascii="仿宋" w:hAnsi="仿宋" w:eastAsia="仿宋" w:cs="仿宋"/>
          <w:sz w:val="28"/>
          <w:szCs w:val="28"/>
          <w:lang w:bidi="ar"/>
        </w:rPr>
        <w:t>年</w:t>
      </w:r>
      <w:r>
        <w:rPr>
          <w:rFonts w:hint="eastAsia" w:ascii="仿宋" w:hAnsi="仿宋" w:eastAsia="仿宋" w:cs="仿宋"/>
          <w:sz w:val="28"/>
          <w:szCs w:val="28"/>
          <w:lang w:val="en-US" w:eastAsia="zh-CN" w:bidi="ar"/>
        </w:rPr>
        <w:t xml:space="preserve"> </w:t>
      </w:r>
      <w:r>
        <w:rPr>
          <w:rFonts w:hint="eastAsia" w:ascii="仿宋" w:hAnsi="仿宋" w:eastAsia="仿宋" w:cs="仿宋"/>
          <w:sz w:val="28"/>
          <w:szCs w:val="28"/>
          <w:lang w:bidi="ar"/>
        </w:rPr>
        <w:t>月</w:t>
      </w:r>
      <w:r>
        <w:rPr>
          <w:rFonts w:hint="eastAsia" w:ascii="仿宋" w:hAnsi="仿宋" w:eastAsia="仿宋" w:cs="仿宋"/>
          <w:sz w:val="28"/>
          <w:szCs w:val="28"/>
          <w:lang w:val="en-US" w:eastAsia="zh-CN" w:bidi="ar"/>
        </w:rPr>
        <w:t xml:space="preserve"> </w:t>
      </w:r>
      <w:r>
        <w:rPr>
          <w:rFonts w:hint="eastAsia" w:ascii="仿宋" w:hAnsi="仿宋" w:eastAsia="仿宋" w:cs="仿宋"/>
          <w:sz w:val="28"/>
          <w:szCs w:val="28"/>
          <w:lang w:bidi="ar"/>
        </w:rPr>
        <w:t>日</w:t>
      </w:r>
    </w:p>
    <w:p w14:paraId="201A7BE7">
      <w:pPr>
        <w:spacing w:line="500" w:lineRule="exact"/>
        <w:rPr>
          <w:rFonts w:hint="eastAsia" w:ascii="仿宋" w:hAnsi="仿宋" w:eastAsia="仿宋" w:cs="仿宋"/>
          <w:sz w:val="28"/>
          <w:szCs w:val="28"/>
        </w:rPr>
      </w:pPr>
    </w:p>
    <w:p w14:paraId="330FFE12">
      <w:pPr>
        <w:spacing w:line="500" w:lineRule="exact"/>
        <w:rPr>
          <w:rFonts w:hint="eastAsia" w:ascii="仿宋" w:hAnsi="仿宋" w:eastAsia="仿宋" w:cs="仿宋"/>
          <w:sz w:val="28"/>
          <w:szCs w:val="28"/>
        </w:rPr>
      </w:pPr>
    </w:p>
    <w:p w14:paraId="0792D860">
      <w:pPr>
        <w:spacing w:line="500" w:lineRule="exact"/>
        <w:rPr>
          <w:rFonts w:hint="eastAsia" w:ascii="仿宋" w:hAnsi="仿宋" w:eastAsia="仿宋" w:cs="仿宋"/>
          <w:sz w:val="28"/>
          <w:szCs w:val="28"/>
        </w:rPr>
      </w:pPr>
    </w:p>
    <w:p w14:paraId="27839A91">
      <w:pPr>
        <w:spacing w:line="500" w:lineRule="exact"/>
        <w:rPr>
          <w:rFonts w:hint="eastAsia" w:ascii="仿宋" w:hAnsi="仿宋" w:eastAsia="仿宋" w:cs="仿宋"/>
          <w:sz w:val="28"/>
          <w:szCs w:val="28"/>
        </w:rPr>
      </w:pPr>
    </w:p>
    <w:sectPr>
      <w:footerReference r:id="rId3" w:type="default"/>
      <w:pgSz w:w="11906" w:h="16838"/>
      <w:pgMar w:top="1134" w:right="1080" w:bottom="1134" w:left="10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73DFC">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952A19">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53952A19">
                    <w:pPr>
                      <w:pStyle w:val="2"/>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8</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088121"/>
    <w:multiLevelType w:val="singleLevel"/>
    <w:tmpl w:val="92088121"/>
    <w:lvl w:ilvl="0" w:tentative="0">
      <w:start w:val="4"/>
      <w:numFmt w:val="chineseCounting"/>
      <w:suff w:val="nothing"/>
      <w:lvlText w:val="%1、"/>
      <w:lvlJc w:val="left"/>
      <w:rPr>
        <w:rFonts w:hint="eastAsia"/>
      </w:rPr>
    </w:lvl>
  </w:abstractNum>
  <w:abstractNum w:abstractNumId="1">
    <w:nsid w:val="D9EE3FE8"/>
    <w:multiLevelType w:val="singleLevel"/>
    <w:tmpl w:val="D9EE3FE8"/>
    <w:lvl w:ilvl="0" w:tentative="0">
      <w:start w:val="6"/>
      <w:numFmt w:val="chineseCounting"/>
      <w:suff w:val="nothing"/>
      <w:lvlText w:val="%1、"/>
      <w:lvlJc w:val="left"/>
      <w:pPr>
        <w:ind w:left="420"/>
      </w:pPr>
      <w:rPr>
        <w:rFonts w:hint="eastAsia"/>
      </w:rPr>
    </w:lvl>
  </w:abstractNum>
  <w:abstractNum w:abstractNumId="2">
    <w:nsid w:val="363933A5"/>
    <w:multiLevelType w:val="singleLevel"/>
    <w:tmpl w:val="363933A5"/>
    <w:lvl w:ilvl="0" w:tentative="0">
      <w:start w:val="1"/>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VkOTkwN2I1NGM2ODhjODZkMjhhZDI3ODI5YzVhMjgifQ=="/>
  </w:docVars>
  <w:rsids>
    <w:rsidRoot w:val="6B774665"/>
    <w:rsid w:val="000169A8"/>
    <w:rsid w:val="000243F0"/>
    <w:rsid w:val="00052EEF"/>
    <w:rsid w:val="00064C9A"/>
    <w:rsid w:val="000A34A7"/>
    <w:rsid w:val="000C0BF0"/>
    <w:rsid w:val="000C417D"/>
    <w:rsid w:val="000D3FAB"/>
    <w:rsid w:val="000D7D05"/>
    <w:rsid w:val="000E4526"/>
    <w:rsid w:val="00117812"/>
    <w:rsid w:val="00122ACC"/>
    <w:rsid w:val="001313A7"/>
    <w:rsid w:val="00137B94"/>
    <w:rsid w:val="001927D2"/>
    <w:rsid w:val="001F3E1A"/>
    <w:rsid w:val="0021442E"/>
    <w:rsid w:val="00242657"/>
    <w:rsid w:val="0025188A"/>
    <w:rsid w:val="00263358"/>
    <w:rsid w:val="0026629A"/>
    <w:rsid w:val="00282FA5"/>
    <w:rsid w:val="002B2997"/>
    <w:rsid w:val="002B7764"/>
    <w:rsid w:val="002D39EE"/>
    <w:rsid w:val="002D5234"/>
    <w:rsid w:val="00320396"/>
    <w:rsid w:val="00320565"/>
    <w:rsid w:val="00330CA4"/>
    <w:rsid w:val="003421FB"/>
    <w:rsid w:val="003564DE"/>
    <w:rsid w:val="0036417F"/>
    <w:rsid w:val="00386D60"/>
    <w:rsid w:val="003E5B55"/>
    <w:rsid w:val="003F1127"/>
    <w:rsid w:val="00436E6B"/>
    <w:rsid w:val="00441F1F"/>
    <w:rsid w:val="0044638C"/>
    <w:rsid w:val="004C0A4B"/>
    <w:rsid w:val="004C3E81"/>
    <w:rsid w:val="004D4A82"/>
    <w:rsid w:val="004F72DC"/>
    <w:rsid w:val="00512227"/>
    <w:rsid w:val="00514C5B"/>
    <w:rsid w:val="00527A17"/>
    <w:rsid w:val="00531D7B"/>
    <w:rsid w:val="005335E7"/>
    <w:rsid w:val="00541378"/>
    <w:rsid w:val="00541F6E"/>
    <w:rsid w:val="00543FD0"/>
    <w:rsid w:val="0054482C"/>
    <w:rsid w:val="005461A7"/>
    <w:rsid w:val="00586B50"/>
    <w:rsid w:val="005B5785"/>
    <w:rsid w:val="005B58A6"/>
    <w:rsid w:val="005C14A9"/>
    <w:rsid w:val="005C1ED0"/>
    <w:rsid w:val="005C2291"/>
    <w:rsid w:val="005F67A0"/>
    <w:rsid w:val="00634C64"/>
    <w:rsid w:val="006463B5"/>
    <w:rsid w:val="00667485"/>
    <w:rsid w:val="006B6742"/>
    <w:rsid w:val="006C74BA"/>
    <w:rsid w:val="006E69C0"/>
    <w:rsid w:val="006F4748"/>
    <w:rsid w:val="007119B6"/>
    <w:rsid w:val="00715B32"/>
    <w:rsid w:val="007200AE"/>
    <w:rsid w:val="0073292F"/>
    <w:rsid w:val="007351FF"/>
    <w:rsid w:val="00735BCC"/>
    <w:rsid w:val="00765852"/>
    <w:rsid w:val="007737E3"/>
    <w:rsid w:val="007C7AE3"/>
    <w:rsid w:val="00811F82"/>
    <w:rsid w:val="00815AA9"/>
    <w:rsid w:val="00825111"/>
    <w:rsid w:val="00860626"/>
    <w:rsid w:val="00880498"/>
    <w:rsid w:val="008C1053"/>
    <w:rsid w:val="008C222F"/>
    <w:rsid w:val="008C659D"/>
    <w:rsid w:val="008F6854"/>
    <w:rsid w:val="00902F0D"/>
    <w:rsid w:val="009416DD"/>
    <w:rsid w:val="0094218D"/>
    <w:rsid w:val="00947134"/>
    <w:rsid w:val="009567CF"/>
    <w:rsid w:val="009634EC"/>
    <w:rsid w:val="00982FC1"/>
    <w:rsid w:val="009C090E"/>
    <w:rsid w:val="009D331B"/>
    <w:rsid w:val="009D69E9"/>
    <w:rsid w:val="009F6F86"/>
    <w:rsid w:val="00A2393A"/>
    <w:rsid w:val="00A26B6E"/>
    <w:rsid w:val="00A3562A"/>
    <w:rsid w:val="00A47AB8"/>
    <w:rsid w:val="00A60E10"/>
    <w:rsid w:val="00A61777"/>
    <w:rsid w:val="00A836C5"/>
    <w:rsid w:val="00AE280C"/>
    <w:rsid w:val="00AE4B33"/>
    <w:rsid w:val="00AE605F"/>
    <w:rsid w:val="00AF61FD"/>
    <w:rsid w:val="00B24EE9"/>
    <w:rsid w:val="00B561B3"/>
    <w:rsid w:val="00BA0C78"/>
    <w:rsid w:val="00BA3818"/>
    <w:rsid w:val="00BC2856"/>
    <w:rsid w:val="00BD237F"/>
    <w:rsid w:val="00BD60BE"/>
    <w:rsid w:val="00C16F80"/>
    <w:rsid w:val="00C23FF0"/>
    <w:rsid w:val="00CA19F7"/>
    <w:rsid w:val="00CC1543"/>
    <w:rsid w:val="00CC3628"/>
    <w:rsid w:val="00CC50AF"/>
    <w:rsid w:val="00CF5039"/>
    <w:rsid w:val="00D03754"/>
    <w:rsid w:val="00D12EFC"/>
    <w:rsid w:val="00D2652D"/>
    <w:rsid w:val="00D66B27"/>
    <w:rsid w:val="00D6772D"/>
    <w:rsid w:val="00D762DB"/>
    <w:rsid w:val="00D87289"/>
    <w:rsid w:val="00D9376B"/>
    <w:rsid w:val="00DC06F4"/>
    <w:rsid w:val="00DC6D6A"/>
    <w:rsid w:val="00DE3B9A"/>
    <w:rsid w:val="00E00B8B"/>
    <w:rsid w:val="00E13722"/>
    <w:rsid w:val="00E16912"/>
    <w:rsid w:val="00E16BF1"/>
    <w:rsid w:val="00E3476F"/>
    <w:rsid w:val="00E876EC"/>
    <w:rsid w:val="00E93176"/>
    <w:rsid w:val="00EE3BE6"/>
    <w:rsid w:val="00F155CD"/>
    <w:rsid w:val="00F23315"/>
    <w:rsid w:val="00F2619E"/>
    <w:rsid w:val="00F373D2"/>
    <w:rsid w:val="00F5035B"/>
    <w:rsid w:val="00F576F5"/>
    <w:rsid w:val="00F71C27"/>
    <w:rsid w:val="00F750E2"/>
    <w:rsid w:val="00F76D71"/>
    <w:rsid w:val="00FB4C54"/>
    <w:rsid w:val="00FC50FF"/>
    <w:rsid w:val="00FF0977"/>
    <w:rsid w:val="02FF6942"/>
    <w:rsid w:val="05CB19F7"/>
    <w:rsid w:val="07917757"/>
    <w:rsid w:val="095F21BE"/>
    <w:rsid w:val="09D97D26"/>
    <w:rsid w:val="09DB1131"/>
    <w:rsid w:val="0FA45019"/>
    <w:rsid w:val="11BA7B07"/>
    <w:rsid w:val="1287412E"/>
    <w:rsid w:val="15177DCA"/>
    <w:rsid w:val="1677505C"/>
    <w:rsid w:val="17564241"/>
    <w:rsid w:val="187C0846"/>
    <w:rsid w:val="19267830"/>
    <w:rsid w:val="19CA28B1"/>
    <w:rsid w:val="1A916F24"/>
    <w:rsid w:val="1B0A046A"/>
    <w:rsid w:val="1B1C613F"/>
    <w:rsid w:val="1DB474FF"/>
    <w:rsid w:val="21EF317C"/>
    <w:rsid w:val="21FA5DA0"/>
    <w:rsid w:val="23307944"/>
    <w:rsid w:val="238D0238"/>
    <w:rsid w:val="23A241F8"/>
    <w:rsid w:val="24451E80"/>
    <w:rsid w:val="26D1482E"/>
    <w:rsid w:val="28EC417C"/>
    <w:rsid w:val="2A4725E6"/>
    <w:rsid w:val="2E905A1F"/>
    <w:rsid w:val="31AD2183"/>
    <w:rsid w:val="33FB393B"/>
    <w:rsid w:val="34064223"/>
    <w:rsid w:val="355D7DA8"/>
    <w:rsid w:val="3679148F"/>
    <w:rsid w:val="371C3C43"/>
    <w:rsid w:val="38CE6927"/>
    <w:rsid w:val="395D6E46"/>
    <w:rsid w:val="3AA84A60"/>
    <w:rsid w:val="3ACE4486"/>
    <w:rsid w:val="3AD2116E"/>
    <w:rsid w:val="3E5C46DC"/>
    <w:rsid w:val="3F5F3140"/>
    <w:rsid w:val="40036D78"/>
    <w:rsid w:val="411F0AC9"/>
    <w:rsid w:val="414A563B"/>
    <w:rsid w:val="41EA1493"/>
    <w:rsid w:val="42B042C8"/>
    <w:rsid w:val="43125C0F"/>
    <w:rsid w:val="434E2209"/>
    <w:rsid w:val="44603A69"/>
    <w:rsid w:val="465869CB"/>
    <w:rsid w:val="480F0DED"/>
    <w:rsid w:val="48433DCC"/>
    <w:rsid w:val="489B0207"/>
    <w:rsid w:val="490743C0"/>
    <w:rsid w:val="49C66341"/>
    <w:rsid w:val="4AC40429"/>
    <w:rsid w:val="4D365B18"/>
    <w:rsid w:val="4DD55EB5"/>
    <w:rsid w:val="51944DC0"/>
    <w:rsid w:val="51E52138"/>
    <w:rsid w:val="52A03B08"/>
    <w:rsid w:val="52CD304A"/>
    <w:rsid w:val="53722A0D"/>
    <w:rsid w:val="542C51C2"/>
    <w:rsid w:val="54CE39B2"/>
    <w:rsid w:val="55E069DD"/>
    <w:rsid w:val="56805FC6"/>
    <w:rsid w:val="58135FD6"/>
    <w:rsid w:val="582E0030"/>
    <w:rsid w:val="58CE1C52"/>
    <w:rsid w:val="5908019E"/>
    <w:rsid w:val="5B200937"/>
    <w:rsid w:val="5CF52D6E"/>
    <w:rsid w:val="5D5E2A07"/>
    <w:rsid w:val="5D96422F"/>
    <w:rsid w:val="5E354DB9"/>
    <w:rsid w:val="5ECD6F89"/>
    <w:rsid w:val="5F5E5B7E"/>
    <w:rsid w:val="5FAD2D6E"/>
    <w:rsid w:val="605A18BA"/>
    <w:rsid w:val="61D65283"/>
    <w:rsid w:val="63C1486F"/>
    <w:rsid w:val="67683024"/>
    <w:rsid w:val="677B7253"/>
    <w:rsid w:val="68754C2F"/>
    <w:rsid w:val="6997629B"/>
    <w:rsid w:val="6B6F018F"/>
    <w:rsid w:val="6B774665"/>
    <w:rsid w:val="6BA50055"/>
    <w:rsid w:val="6E991CED"/>
    <w:rsid w:val="6EFE21E3"/>
    <w:rsid w:val="71A87BB7"/>
    <w:rsid w:val="71E94E9E"/>
    <w:rsid w:val="726A6DFA"/>
    <w:rsid w:val="72864FF3"/>
    <w:rsid w:val="73A61143"/>
    <w:rsid w:val="74003C69"/>
    <w:rsid w:val="74540BFC"/>
    <w:rsid w:val="74804F94"/>
    <w:rsid w:val="75BE4754"/>
    <w:rsid w:val="76E01F41"/>
    <w:rsid w:val="78C00D2A"/>
    <w:rsid w:val="78CF0CA5"/>
    <w:rsid w:val="79202C4B"/>
    <w:rsid w:val="79715E16"/>
    <w:rsid w:val="7B52399D"/>
    <w:rsid w:val="7CCA7222"/>
    <w:rsid w:val="7D050953"/>
    <w:rsid w:val="7E2F5B31"/>
    <w:rsid w:val="7E9F3CED"/>
    <w:rsid w:val="7EBC7738"/>
    <w:rsid w:val="7F052E8D"/>
    <w:rsid w:val="7F1837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szCs w:val="18"/>
    </w:rPr>
  </w:style>
  <w:style w:type="paragraph" w:styleId="3">
    <w:name w:val="header"/>
    <w:basedOn w:val="1"/>
    <w:link w:val="10"/>
    <w:qFormat/>
    <w:uiPriority w:val="0"/>
    <w:pPr>
      <w:tabs>
        <w:tab w:val="center" w:pos="4153"/>
        <w:tab w:val="right" w:pos="8306"/>
      </w:tabs>
      <w:snapToGrid w:val="0"/>
      <w:jc w:val="center"/>
    </w:pPr>
    <w:rPr>
      <w:sz w:val="18"/>
      <w:szCs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FollowedHyperlink"/>
    <w:basedOn w:val="6"/>
    <w:unhideWhenUsed/>
    <w:qFormat/>
    <w:uiPriority w:val="99"/>
    <w:rPr>
      <w:color w:val="800080"/>
      <w:u w:val="single"/>
    </w:rPr>
  </w:style>
  <w:style w:type="character" w:styleId="8">
    <w:name w:val="Hyperlink"/>
    <w:basedOn w:val="6"/>
    <w:unhideWhenUsed/>
    <w:qFormat/>
    <w:uiPriority w:val="99"/>
    <w:rPr>
      <w:color w:val="0000FF"/>
      <w:u w:val="single"/>
    </w:rPr>
  </w:style>
  <w:style w:type="character" w:customStyle="1" w:styleId="9">
    <w:name w:val="font01"/>
    <w:basedOn w:val="6"/>
    <w:qFormat/>
    <w:uiPriority w:val="0"/>
    <w:rPr>
      <w:rFonts w:ascii="Calibri" w:hAnsi="Calibri" w:cs="Calibri"/>
      <w:b/>
      <w:color w:val="000000"/>
      <w:sz w:val="24"/>
      <w:szCs w:val="24"/>
      <w:u w:val="none"/>
    </w:rPr>
  </w:style>
  <w:style w:type="character" w:customStyle="1" w:styleId="10">
    <w:name w:val="页眉 字符"/>
    <w:basedOn w:val="6"/>
    <w:link w:val="3"/>
    <w:qFormat/>
    <w:uiPriority w:val="0"/>
    <w:rPr>
      <w:kern w:val="2"/>
      <w:sz w:val="18"/>
      <w:szCs w:val="18"/>
    </w:rPr>
  </w:style>
  <w:style w:type="paragraph" w:customStyle="1" w:styleId="11">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12">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
    <w:name w:val="xl68"/>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14">
    <w:name w:val="xl69"/>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15">
    <w:name w:val="xl70"/>
    <w:basedOn w:val="1"/>
    <w:qFormat/>
    <w:uiPriority w:val="0"/>
    <w:pPr>
      <w:widowControl/>
      <w:spacing w:before="100" w:beforeAutospacing="1" w:after="100" w:afterAutospacing="1"/>
      <w:jc w:val="center"/>
    </w:pPr>
    <w:rPr>
      <w:rFonts w:ascii="宋体" w:hAnsi="宋体" w:cs="宋体"/>
      <w:kern w:val="0"/>
      <w:sz w:val="28"/>
      <w:szCs w:val="28"/>
    </w:rPr>
  </w:style>
  <w:style w:type="paragraph" w:customStyle="1" w:styleId="16">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7">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1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0">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1">
    <w:name w:val="xl7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2">
    <w:name w:val="xl7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4">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6">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7">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28">
    <w:name w:val="xl8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kern w:val="0"/>
      <w:sz w:val="24"/>
    </w:rPr>
  </w:style>
  <w:style w:type="paragraph" w:customStyle="1" w:styleId="29">
    <w:name w:val="xl8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kern w:val="0"/>
      <w:sz w:val="24"/>
    </w:rPr>
  </w:style>
  <w:style w:type="paragraph" w:customStyle="1" w:styleId="30">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rPr>
  </w:style>
  <w:style w:type="paragraph" w:customStyle="1" w:styleId="3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32">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styleId="33">
    <w:name w:val="List Paragraph"/>
    <w:basedOn w:val="1"/>
    <w:unhideWhenUsed/>
    <w:qFormat/>
    <w:uiPriority w:val="99"/>
    <w:pPr>
      <w:ind w:firstLine="420" w:firstLineChars="200"/>
    </w:pPr>
    <w:rPr>
      <w:rFonts w:asciiTheme="minorHAnsi" w:hAnsiTheme="minorHAnsi" w:eastAsiaTheme="minorEastAsia" w:cstheme="minorBidi"/>
    </w:rPr>
  </w:style>
  <w:style w:type="character" w:customStyle="1" w:styleId="34">
    <w:name w:val="font21"/>
    <w:basedOn w:val="6"/>
    <w:qFormat/>
    <w:uiPriority w:val="0"/>
    <w:rPr>
      <w:rFonts w:hint="default" w:ascii="Calibri" w:hAnsi="Calibri" w:cs="Calibri"/>
      <w:color w:val="000000"/>
      <w:sz w:val="21"/>
      <w:szCs w:val="21"/>
      <w:u w:val="none"/>
    </w:rPr>
  </w:style>
  <w:style w:type="character" w:customStyle="1" w:styleId="35">
    <w:name w:val="font11"/>
    <w:basedOn w:val="6"/>
    <w:qFormat/>
    <w:uiPriority w:val="0"/>
    <w:rPr>
      <w:rFonts w:hint="eastAsia" w:ascii="宋体" w:hAnsi="宋体" w:eastAsia="宋体"/>
      <w:color w:val="000000"/>
      <w:sz w:val="21"/>
      <w:szCs w:val="21"/>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7261</Words>
  <Characters>7490</Characters>
  <Lines>261</Lines>
  <Paragraphs>265</Paragraphs>
  <TotalTime>3</TotalTime>
  <ScaleCrop>false</ScaleCrop>
  <LinksUpToDate>false</LinksUpToDate>
  <CharactersWithSpaces>7960</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2023-02-27T08:22:00Z</dcterms:created>
  <dc:creator>Administrator</dc:creator>
  <cp:lastModifiedBy>大双</cp:lastModifiedBy>
  <dcterms:modified xsi:type="dcterms:W3CDTF">2026-03-02T04:30:51Z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41A7109E34914799AC9C963A2EB3B071_13</vt:lpwstr>
  </property>
  <property fmtid="{D5CDD505-2E9C-101B-9397-08002B2CF9AE}" pid="4" name="KSOTemplateDocerSaveRecord">
    <vt:lpwstr>eyJoZGlkIjoiNThkN2ViYWQ5ZTEzMDg3NDM3N2VjMWVkN2U3MWE2NmMiLCJ1c2VySWQiOiI1MjY0MzA2MjkifQ==</vt:lpwstr>
  </property>
</Properties>
</file>