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3D2E98">
      <w:pPr>
        <w:spacing w:line="560" w:lineRule="exact"/>
        <w:jc w:val="center"/>
        <w:rPr>
          <w:rFonts w:hint="eastAsia" w:cs="Times New Roman"/>
          <w:b/>
          <w:bCs w:val="0"/>
          <w:color w:val="auto"/>
          <w:sz w:val="36"/>
          <w:szCs w:val="36"/>
          <w:highlight w:val="none"/>
          <w:lang w:val="en-US" w:eastAsia="zh-CN"/>
        </w:rPr>
      </w:pPr>
      <w:r>
        <w:rPr>
          <w:rFonts w:hint="eastAsia" w:cs="Times New Roman"/>
          <w:b/>
          <w:bCs w:val="0"/>
          <w:color w:val="auto"/>
          <w:sz w:val="36"/>
          <w:szCs w:val="36"/>
          <w:highlight w:val="none"/>
          <w:lang w:eastAsia="zh-CN"/>
        </w:rPr>
        <w:t>广元物流集团有限公司</w:t>
      </w:r>
      <w:r>
        <w:rPr>
          <w:rFonts w:hint="eastAsia" w:cs="Times New Roman"/>
          <w:b/>
          <w:bCs w:val="0"/>
          <w:color w:val="auto"/>
          <w:sz w:val="36"/>
          <w:szCs w:val="36"/>
          <w:highlight w:val="none"/>
          <w:lang w:val="en-US" w:eastAsia="zh-CN"/>
        </w:rPr>
        <w:t>多式联运大楼办公家具采购</w:t>
      </w:r>
    </w:p>
    <w:p w14:paraId="18DA0CB3">
      <w:pPr>
        <w:spacing w:line="560" w:lineRule="exact"/>
        <w:jc w:val="center"/>
        <w:rPr>
          <w:rFonts w:hint="default" w:ascii="Times New Roman" w:hAnsi="Times New Roman" w:eastAsia="仿宋_GB2312" w:cs="Times New Roman"/>
          <w:b/>
          <w:bCs w:val="0"/>
          <w:color w:val="auto"/>
          <w:sz w:val="36"/>
          <w:szCs w:val="36"/>
          <w:highlight w:val="none"/>
          <w:lang w:eastAsia="zh-CN"/>
        </w:rPr>
      </w:pPr>
      <w:r>
        <w:rPr>
          <w:rFonts w:hint="default" w:ascii="Times New Roman" w:hAnsi="Times New Roman" w:eastAsia="仿宋_GB2312" w:cs="Times New Roman"/>
          <w:b/>
          <w:bCs w:val="0"/>
          <w:color w:val="auto"/>
          <w:sz w:val="36"/>
          <w:szCs w:val="36"/>
          <w:highlight w:val="none"/>
          <w:lang w:eastAsia="zh-CN"/>
        </w:rPr>
        <w:t>变更</w:t>
      </w:r>
      <w:r>
        <w:rPr>
          <w:rFonts w:hint="eastAsia" w:cs="Times New Roman"/>
          <w:b/>
          <w:bCs w:val="0"/>
          <w:color w:val="auto"/>
          <w:sz w:val="36"/>
          <w:szCs w:val="36"/>
          <w:highlight w:val="none"/>
          <w:lang w:eastAsia="zh-CN"/>
        </w:rPr>
        <w:t>（</w:t>
      </w:r>
      <w:r>
        <w:rPr>
          <w:rFonts w:hint="eastAsia" w:cs="Times New Roman"/>
          <w:b/>
          <w:bCs w:val="0"/>
          <w:color w:val="auto"/>
          <w:sz w:val="36"/>
          <w:szCs w:val="36"/>
          <w:highlight w:val="none"/>
          <w:lang w:val="en-US" w:eastAsia="zh-CN"/>
        </w:rPr>
        <w:t>补遗</w:t>
      </w:r>
      <w:r>
        <w:rPr>
          <w:rFonts w:hint="eastAsia" w:cs="Times New Roman"/>
          <w:b/>
          <w:bCs w:val="0"/>
          <w:color w:val="auto"/>
          <w:sz w:val="36"/>
          <w:szCs w:val="36"/>
          <w:highlight w:val="none"/>
          <w:lang w:eastAsia="zh-CN"/>
        </w:rPr>
        <w:t>）</w:t>
      </w:r>
      <w:r>
        <w:rPr>
          <w:rFonts w:hint="default" w:ascii="Times New Roman" w:hAnsi="Times New Roman" w:eastAsia="仿宋_GB2312" w:cs="Times New Roman"/>
          <w:b/>
          <w:bCs w:val="0"/>
          <w:color w:val="auto"/>
          <w:sz w:val="36"/>
          <w:szCs w:val="36"/>
          <w:highlight w:val="none"/>
          <w:lang w:eastAsia="zh-CN"/>
        </w:rPr>
        <w:t>公告</w:t>
      </w:r>
    </w:p>
    <w:p w14:paraId="4ED9599B">
      <w:pPr>
        <w:keepNext w:val="0"/>
        <w:keepLines w:val="0"/>
        <w:pageBreakBefore w:val="0"/>
        <w:kinsoku/>
        <w:overflowPunct/>
        <w:topLinePunct w:val="0"/>
        <w:autoSpaceDE/>
        <w:autoSpaceDN/>
        <w:bidi w:val="0"/>
        <w:adjustRightInd/>
        <w:spacing w:line="480" w:lineRule="exact"/>
        <w:jc w:val="left"/>
        <w:rPr>
          <w:rFonts w:hint="eastAsia" w:ascii="仿宋_GB2312" w:hAnsi="仿宋_GB2312" w:eastAsia="仿宋_GB2312" w:cs="仿宋_GB2312"/>
          <w:color w:val="auto"/>
          <w:sz w:val="28"/>
          <w:szCs w:val="28"/>
          <w:highlight w:val="none"/>
        </w:rPr>
      </w:pPr>
    </w:p>
    <w:p w14:paraId="336AC45B">
      <w:pPr>
        <w:keepNext w:val="0"/>
        <w:keepLines w:val="0"/>
        <w:pageBreakBefore w:val="0"/>
        <w:kinsoku/>
        <w:overflowPunct/>
        <w:topLinePunct w:val="0"/>
        <w:autoSpaceDE/>
        <w:autoSpaceDN/>
        <w:bidi w:val="0"/>
        <w:adjustRightInd/>
        <w:spacing w:line="480" w:lineRule="exact"/>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各有关</w:t>
      </w:r>
      <w:r>
        <w:rPr>
          <w:rFonts w:hint="eastAsia" w:ascii="仿宋_GB2312" w:hAnsi="仿宋_GB2312" w:cs="仿宋_GB2312"/>
          <w:color w:val="auto"/>
          <w:sz w:val="28"/>
          <w:szCs w:val="28"/>
          <w:highlight w:val="none"/>
          <w:lang w:val="en-US" w:eastAsia="zh-CN"/>
        </w:rPr>
        <w:t>供应商</w:t>
      </w:r>
      <w:r>
        <w:rPr>
          <w:rFonts w:hint="eastAsia" w:ascii="仿宋_GB2312" w:hAnsi="仿宋_GB2312" w:eastAsia="仿宋_GB2312" w:cs="仿宋_GB2312"/>
          <w:color w:val="auto"/>
          <w:sz w:val="28"/>
          <w:szCs w:val="28"/>
          <w:highlight w:val="none"/>
        </w:rPr>
        <w:t>：</w:t>
      </w:r>
    </w:p>
    <w:p w14:paraId="627ABDBD">
      <w:pPr>
        <w:keepNext w:val="0"/>
        <w:keepLines w:val="0"/>
        <w:pageBreakBefore w:val="0"/>
        <w:widowControl w:val="0"/>
        <w:kinsoku/>
        <w:wordWrap w:val="0"/>
        <w:overflowPunct/>
        <w:topLinePunct w:val="0"/>
        <w:autoSpaceDE/>
        <w:autoSpaceDN/>
        <w:bidi w:val="0"/>
        <w:adjustRightInd/>
        <w:snapToGrid/>
        <w:spacing w:line="480" w:lineRule="exact"/>
        <w:ind w:firstLine="552"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202</w:t>
      </w:r>
      <w:r>
        <w:rPr>
          <w:rFonts w:hint="eastAsia" w:ascii="仿宋_GB2312" w:hAnsi="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年</w:t>
      </w:r>
      <w:r>
        <w:rPr>
          <w:rFonts w:hint="eastAsia" w:ascii="仿宋_GB2312" w:hAnsi="仿宋_GB2312" w:cs="仿宋_GB2312"/>
          <w:color w:val="auto"/>
          <w:sz w:val="28"/>
          <w:szCs w:val="28"/>
          <w:highlight w:val="none"/>
          <w:lang w:val="en-US" w:eastAsia="zh-CN"/>
        </w:rPr>
        <w:t>12</w:t>
      </w:r>
      <w:r>
        <w:rPr>
          <w:rFonts w:hint="eastAsia" w:ascii="仿宋_GB2312" w:hAnsi="仿宋_GB2312" w:eastAsia="仿宋_GB2312" w:cs="仿宋_GB2312"/>
          <w:color w:val="auto"/>
          <w:sz w:val="28"/>
          <w:szCs w:val="28"/>
          <w:highlight w:val="none"/>
        </w:rPr>
        <w:t>月</w:t>
      </w:r>
      <w:r>
        <w:rPr>
          <w:rFonts w:hint="eastAsia" w:ascii="仿宋_GB2312" w:hAnsi="仿宋_GB2312" w:cs="仿宋_GB2312"/>
          <w:color w:val="auto"/>
          <w:sz w:val="28"/>
          <w:szCs w:val="28"/>
          <w:highlight w:val="none"/>
          <w:lang w:val="en-US" w:eastAsia="zh-CN"/>
        </w:rPr>
        <w:t>12</w:t>
      </w:r>
      <w:r>
        <w:rPr>
          <w:rFonts w:hint="eastAsia" w:ascii="仿宋_GB2312" w:hAnsi="仿宋_GB2312" w:eastAsia="仿宋_GB2312" w:cs="仿宋_GB2312"/>
          <w:color w:val="auto"/>
          <w:sz w:val="28"/>
          <w:szCs w:val="28"/>
          <w:highlight w:val="none"/>
        </w:rPr>
        <w:t>日发布的“</w:t>
      </w:r>
      <w:r>
        <w:rPr>
          <w:rFonts w:hint="eastAsia" w:ascii="仿宋_GB2312" w:hAnsi="仿宋_GB2312" w:cs="仿宋_GB2312"/>
          <w:color w:val="auto"/>
          <w:sz w:val="28"/>
          <w:szCs w:val="28"/>
          <w:highlight w:val="none"/>
          <w:lang w:eastAsia="zh-CN"/>
        </w:rPr>
        <w:t>广元物流集团有限公司</w:t>
      </w:r>
      <w:r>
        <w:rPr>
          <w:rFonts w:hint="eastAsia" w:ascii="仿宋_GB2312" w:hAnsi="仿宋_GB2312" w:cs="仿宋_GB2312"/>
          <w:color w:val="auto"/>
          <w:sz w:val="28"/>
          <w:szCs w:val="28"/>
          <w:highlight w:val="none"/>
          <w:lang w:val="en-US" w:eastAsia="zh-CN"/>
        </w:rPr>
        <w:t>多式联运大楼办公家具采购</w:t>
      </w:r>
      <w:r>
        <w:rPr>
          <w:rFonts w:hint="eastAsia" w:ascii="仿宋_GB2312" w:hAnsi="仿宋_GB2312" w:eastAsia="仿宋_GB2312" w:cs="仿宋_GB2312"/>
          <w:color w:val="auto"/>
          <w:sz w:val="28"/>
          <w:szCs w:val="28"/>
          <w:highlight w:val="none"/>
        </w:rPr>
        <w:t>”（项目编号：SWUEECG202525508/</w:t>
      </w:r>
      <w:r>
        <w:rPr>
          <w:rFonts w:hint="eastAsia" w:ascii="仿宋_GB2312" w:hAnsi="仿宋_GB2312" w:eastAsia="仿宋_GB2312" w:cs="仿宋_GB2312"/>
          <w:color w:val="auto"/>
          <w:sz w:val="28"/>
          <w:szCs w:val="28"/>
          <w:highlight w:val="none"/>
          <w:lang w:eastAsia="zh-CN"/>
        </w:rPr>
        <w:t>XJSGY-2025-</w:t>
      </w:r>
      <w:r>
        <w:rPr>
          <w:rFonts w:hint="eastAsia" w:ascii="仿宋_GB2312" w:hAnsi="仿宋_GB2312" w:eastAsia="仿宋_GB2312" w:cs="仿宋_GB2312"/>
          <w:color w:val="auto"/>
          <w:sz w:val="28"/>
          <w:szCs w:val="28"/>
          <w:highlight w:val="none"/>
          <w:lang w:val="en-US" w:eastAsia="zh-CN"/>
        </w:rPr>
        <w:t>449</w:t>
      </w:r>
      <w:r>
        <w:rPr>
          <w:rFonts w:hint="eastAsia" w:ascii="仿宋_GB2312" w:hAnsi="仿宋_GB2312" w:eastAsia="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采购公告及2025年12月12日发布的本项目变更（补遗）公告，</w:t>
      </w:r>
      <w:r>
        <w:rPr>
          <w:rFonts w:hint="eastAsia" w:ascii="仿宋_GB2312" w:hAnsi="仿宋_GB2312" w:eastAsia="仿宋_GB2312" w:cs="仿宋_GB2312"/>
          <w:color w:val="auto"/>
          <w:sz w:val="28"/>
          <w:szCs w:val="28"/>
          <w:highlight w:val="none"/>
        </w:rPr>
        <w:t>现作以下</w:t>
      </w:r>
      <w:r>
        <w:rPr>
          <w:rFonts w:hint="eastAsia" w:ascii="仿宋_GB2312" w:hAnsi="仿宋_GB2312" w:eastAsia="仿宋_GB2312" w:cs="仿宋_GB2312"/>
          <w:color w:val="auto"/>
          <w:sz w:val="28"/>
          <w:szCs w:val="28"/>
          <w:highlight w:val="none"/>
          <w:lang w:eastAsia="zh-CN"/>
        </w:rPr>
        <w:t>变更（</w:t>
      </w:r>
      <w:r>
        <w:rPr>
          <w:rFonts w:hint="eastAsia" w:ascii="仿宋_GB2312" w:hAnsi="仿宋_GB2312" w:eastAsia="仿宋_GB2312" w:cs="仿宋_GB2312"/>
          <w:color w:val="auto"/>
          <w:sz w:val="28"/>
          <w:szCs w:val="28"/>
          <w:highlight w:val="none"/>
          <w:lang w:val="en-US" w:eastAsia="zh-CN"/>
        </w:rPr>
        <w:t>补遗</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w:t>
      </w:r>
    </w:p>
    <w:p w14:paraId="7704B62E">
      <w:pPr>
        <w:keepNext w:val="0"/>
        <w:keepLines w:val="0"/>
        <w:pageBreakBefore w:val="0"/>
        <w:widowControl w:val="0"/>
        <w:kinsoku/>
        <w:wordWrap w:val="0"/>
        <w:overflowPunct/>
        <w:topLinePunct w:val="0"/>
        <w:autoSpaceDE/>
        <w:autoSpaceDN/>
        <w:bidi w:val="0"/>
        <w:adjustRightInd/>
        <w:snapToGrid/>
        <w:spacing w:line="480" w:lineRule="exact"/>
        <w:ind w:firstLine="552" w:firstLineChars="200"/>
        <w:textAlignment w:val="auto"/>
        <w:rPr>
          <w:rFonts w:hint="eastAsia" w:ascii="仿宋_GB2312" w:hAnsi="仿宋_GB2312" w:cs="仿宋_GB2312"/>
          <w:color w:val="auto"/>
          <w:sz w:val="28"/>
          <w:szCs w:val="28"/>
          <w:highlight w:val="none"/>
          <w:lang w:val="en-US" w:eastAsia="zh-CN"/>
        </w:rPr>
      </w:pPr>
      <w:bookmarkStart w:id="0" w:name="_Toc443393294"/>
      <w:bookmarkStart w:id="1" w:name="_Toc217446032"/>
      <w:bookmarkStart w:id="2" w:name="_Toc213496268"/>
      <w:bookmarkStart w:id="3" w:name="_Toc11231674"/>
      <w:bookmarkStart w:id="4" w:name="_Toc184274915"/>
      <w:bookmarkStart w:id="5" w:name="_Toc441921235"/>
      <w:bookmarkStart w:id="6" w:name="_Toc11242923"/>
      <w:bookmarkStart w:id="7" w:name="_Toc189727030"/>
      <w:bookmarkStart w:id="8" w:name="_Toc184283909"/>
      <w:bookmarkStart w:id="9" w:name="_Toc13563627"/>
      <w:bookmarkStart w:id="10" w:name="_Toc256502487"/>
      <w:bookmarkStart w:id="11" w:name="_Toc229393328"/>
      <w:bookmarkStart w:id="12" w:name="_Toc229393496"/>
      <w:bookmarkStart w:id="13" w:name="_Toc479755709"/>
      <w:bookmarkStart w:id="14" w:name="_Toc213396760"/>
      <w:bookmarkStart w:id="15" w:name="_Toc213396946"/>
      <w:bookmarkStart w:id="16" w:name="_Toc441679459"/>
      <w:bookmarkStart w:id="17" w:name="_Toc315962965"/>
      <w:bookmarkStart w:id="18" w:name="_Toc442099347"/>
      <w:bookmarkStart w:id="19" w:name="_Toc32312182"/>
      <w:bookmarkStart w:id="20" w:name="_Toc443383561"/>
      <w:bookmarkStart w:id="21" w:name="_Toc229393580"/>
      <w:bookmarkStart w:id="22" w:name="_Toc389231698"/>
      <w:bookmarkStart w:id="23" w:name="_Toc213397010"/>
      <w:r>
        <w:rPr>
          <w:rFonts w:hint="eastAsia" w:ascii="仿宋_GB2312" w:hAnsi="仿宋_GB2312" w:cs="仿宋_GB2312"/>
          <w:color w:val="auto"/>
          <w:sz w:val="28"/>
          <w:szCs w:val="28"/>
          <w:highlight w:val="none"/>
          <w:lang w:val="en-US" w:eastAsia="zh-CN"/>
        </w:rPr>
        <w:t>一、本项目竞争性磋商文件第三章采购人要求</w:t>
      </w:r>
    </w:p>
    <w:p w14:paraId="15E38A3C">
      <w:pPr>
        <w:keepNext w:val="0"/>
        <w:keepLines w:val="0"/>
        <w:pageBreakBefore w:val="0"/>
        <w:widowControl w:val="0"/>
        <w:kinsoku/>
        <w:wordWrap w:val="0"/>
        <w:overflowPunct/>
        <w:topLinePunct w:val="0"/>
        <w:autoSpaceDE/>
        <w:autoSpaceDN/>
        <w:bidi w:val="0"/>
        <w:adjustRightInd/>
        <w:snapToGrid/>
        <w:spacing w:line="480" w:lineRule="exact"/>
        <w:ind w:firstLine="552" w:firstLineChars="200"/>
        <w:textAlignment w:val="auto"/>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lang w:eastAsia="zh-CN"/>
        </w:rPr>
        <w:t>1、</w:t>
      </w:r>
      <w:bookmarkStart w:id="24" w:name="OLE_LINK31"/>
      <w:bookmarkStart w:id="25" w:name="OLE_LINK30"/>
      <w:bookmarkStart w:id="26" w:name="OLE_LINK36"/>
      <w:r>
        <w:rPr>
          <w:rFonts w:hint="eastAsia" w:ascii="仿宋_GB2312" w:hAnsi="仿宋_GB2312" w:cs="仿宋_GB2312"/>
          <w:color w:val="auto"/>
          <w:sz w:val="28"/>
          <w:szCs w:val="28"/>
          <w:highlight w:val="none"/>
          <w:lang w:eastAsia="zh-CN"/>
        </w:rPr>
        <w:t>（一）采购清单及技术参数要求</w:t>
      </w:r>
      <w:bookmarkEnd w:id="24"/>
      <w:bookmarkEnd w:id="25"/>
      <w:bookmarkEnd w:id="26"/>
      <w:r>
        <w:rPr>
          <w:rFonts w:hint="eastAsia" w:ascii="仿宋_GB2312" w:hAnsi="仿宋_GB2312" w:cs="仿宋_GB2312"/>
          <w:color w:val="auto"/>
          <w:sz w:val="28"/>
          <w:szCs w:val="28"/>
          <w:highlight w:val="none"/>
          <w:lang w:val="en-US" w:eastAsia="zh-CN"/>
        </w:rPr>
        <w:t>中：</w:t>
      </w:r>
      <w:r>
        <w:rPr>
          <w:rFonts w:hint="eastAsia" w:ascii="仿宋_GB2312" w:hAnsi="仿宋_GB2312" w:cs="仿宋_GB2312"/>
          <w:color w:val="auto"/>
          <w:sz w:val="28"/>
          <w:szCs w:val="28"/>
          <w:highlight w:val="none"/>
          <w:lang w:eastAsia="zh-CN"/>
        </w:rPr>
        <w:t>注：</w:t>
      </w:r>
      <w:r>
        <w:rPr>
          <w:rFonts w:hint="eastAsia" w:ascii="仿宋_GB2312" w:hAnsi="仿宋_GB2312" w:cs="仿宋_GB2312"/>
          <w:color w:val="auto"/>
          <w:sz w:val="28"/>
          <w:szCs w:val="28"/>
          <w:highlight w:val="none"/>
          <w:lang w:val="en-US" w:eastAsia="zh-CN"/>
        </w:rPr>
        <w:t>1.以上参数为本次采购项目最低要求，供应商提供的产品参数应优于或者相当于以上参数，不允许有负偏离（规格除外，允许±100mm误差）。上表中各产品要求提供相关证明材料的，供应商须在响应文件中逐一提供相关证明材料，并加盖公章。未提供相应证明材料或提供材料无效的将视为未响应。</w:t>
      </w:r>
      <w:r>
        <w:rPr>
          <w:rFonts w:hint="eastAsia" w:ascii="仿宋_GB2312" w:hAnsi="仿宋_GB2312" w:cs="仿宋_GB2312"/>
          <w:color w:val="auto"/>
          <w:sz w:val="28"/>
          <w:szCs w:val="28"/>
          <w:highlight w:val="none"/>
          <w:lang w:eastAsia="zh-CN"/>
        </w:rPr>
        <w:t>2.以上清单所涉及数量在项目实施过程中可能会根据现场实际情况发生变化，以实际供货数量结算。</w:t>
      </w:r>
      <w:bookmarkStart w:id="27" w:name="OLE_LINK13"/>
      <w:r>
        <w:rPr>
          <w:rFonts w:hint="eastAsia" w:ascii="仿宋_GB2312" w:hAnsi="仿宋_GB2312" w:cs="仿宋_GB2312"/>
          <w:b/>
          <w:bCs/>
          <w:color w:val="auto"/>
          <w:sz w:val="28"/>
          <w:szCs w:val="28"/>
          <w:highlight w:val="none"/>
          <w:lang w:eastAsia="zh-CN"/>
        </w:rPr>
        <w:t>更正为：</w:t>
      </w:r>
      <w:r>
        <w:rPr>
          <w:rFonts w:hint="eastAsia" w:ascii="仿宋_GB2312" w:hAnsi="仿宋_GB2312" w:cs="仿宋_GB2312"/>
          <w:color w:val="auto"/>
          <w:sz w:val="28"/>
          <w:szCs w:val="28"/>
          <w:highlight w:val="none"/>
          <w:lang w:eastAsia="zh-CN"/>
        </w:rPr>
        <w:t xml:space="preserve"> 注：1.以上参数为本次采购项目最低要求，供应商提供的产品参数应优于或者相当于以上参数，不允许有负偏离（规格除外，允许±5mm误差）（</w:t>
      </w:r>
      <w:bookmarkStart w:id="28" w:name="OLE_LINK22"/>
      <w:bookmarkStart w:id="29" w:name="OLE_LINK21"/>
      <w:r>
        <w:rPr>
          <w:rFonts w:hint="eastAsia" w:ascii="仿宋_GB2312" w:hAnsi="仿宋_GB2312" w:cs="仿宋_GB2312"/>
          <w:color w:val="auto"/>
          <w:sz w:val="28"/>
          <w:szCs w:val="28"/>
          <w:highlight w:val="none"/>
          <w:lang w:eastAsia="zh-CN"/>
        </w:rPr>
        <w:t>实质性要求</w:t>
      </w:r>
      <w:bookmarkEnd w:id="28"/>
      <w:bookmarkEnd w:id="29"/>
      <w:r>
        <w:rPr>
          <w:rFonts w:hint="eastAsia" w:ascii="仿宋_GB2312" w:hAnsi="仿宋_GB2312" w:cs="仿宋_GB2312"/>
          <w:color w:val="auto"/>
          <w:sz w:val="28"/>
          <w:szCs w:val="28"/>
          <w:highlight w:val="none"/>
          <w:lang w:eastAsia="zh-CN"/>
        </w:rPr>
        <w:t>）。上表各产品“技术参数要求”中“▲”参数要求提供相关证明材料的，供应商须在响应文件中</w:t>
      </w:r>
      <w:r>
        <w:rPr>
          <w:rFonts w:hint="eastAsia" w:ascii="仿宋_GB2312" w:hAnsi="仿宋_GB2312" w:cs="仿宋_GB2312"/>
          <w:color w:val="auto"/>
          <w:sz w:val="28"/>
          <w:szCs w:val="28"/>
          <w:highlight w:val="none"/>
          <w:lang w:val="en-US" w:eastAsia="zh-CN"/>
        </w:rPr>
        <w:t>按</w:t>
      </w:r>
      <w:r>
        <w:rPr>
          <w:rFonts w:hint="eastAsia" w:ascii="仿宋_GB2312" w:hAnsi="仿宋_GB2312" w:cs="仿宋_GB2312"/>
          <w:color w:val="auto"/>
          <w:sz w:val="28"/>
          <w:szCs w:val="28"/>
          <w:highlight w:val="none"/>
          <w:lang w:eastAsia="zh-CN"/>
        </w:rPr>
        <w:t>要求提供相关证明材料佐证并加盖公章（检验报告中规格尺寸可不作要求）。未提供或提供材料无法佐证相关参数的，视为不满足（实质性要求）。</w:t>
      </w:r>
      <w:r>
        <w:rPr>
          <w:rFonts w:hint="eastAsia" w:ascii="仿宋_GB2312" w:hAnsi="仿宋_GB2312" w:cs="仿宋_GB2312"/>
          <w:color w:val="auto"/>
          <w:sz w:val="28"/>
          <w:szCs w:val="28"/>
          <w:highlight w:val="none"/>
          <w:lang w:val="en-US" w:eastAsia="zh-CN"/>
        </w:rPr>
        <w:t>2</w:t>
      </w:r>
      <w:r>
        <w:rPr>
          <w:rFonts w:hint="eastAsia" w:ascii="仿宋_GB2312" w:hAnsi="仿宋_GB2312" w:cs="仿宋_GB2312"/>
          <w:color w:val="auto"/>
          <w:sz w:val="28"/>
          <w:szCs w:val="28"/>
          <w:highlight w:val="none"/>
          <w:lang w:eastAsia="zh-CN"/>
        </w:rPr>
        <w:t>.以上清单所涉及数量在项目实施过程中可能会根据现场实际情况发生变化，具体以实际供货数量结算。”</w:t>
      </w:r>
    </w:p>
    <w:bookmarkEnd w:id="27"/>
    <w:p w14:paraId="2D4A098A">
      <w:pPr>
        <w:keepNext w:val="0"/>
        <w:keepLines w:val="0"/>
        <w:pageBreakBefore w:val="0"/>
        <w:widowControl w:val="0"/>
        <w:kinsoku/>
        <w:wordWrap w:val="0"/>
        <w:overflowPunct/>
        <w:topLinePunct w:val="0"/>
        <w:autoSpaceDE/>
        <w:autoSpaceDN/>
        <w:bidi w:val="0"/>
        <w:adjustRightInd/>
        <w:snapToGrid/>
        <w:spacing w:line="480" w:lineRule="exact"/>
        <w:ind w:firstLine="552" w:firstLineChars="200"/>
        <w:textAlignment w:val="auto"/>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lang w:eastAsia="zh-CN"/>
        </w:rPr>
        <w:t>2、</w:t>
      </w:r>
      <w:bookmarkStart w:id="30" w:name="OLE_LINK34"/>
      <w:bookmarkStart w:id="31" w:name="OLE_LINK35"/>
      <w:r>
        <w:rPr>
          <w:rFonts w:hint="eastAsia" w:ascii="仿宋_GB2312" w:hAnsi="仿宋_GB2312" w:cs="仿宋_GB2312"/>
          <w:color w:val="auto"/>
          <w:sz w:val="28"/>
          <w:szCs w:val="28"/>
          <w:highlight w:val="none"/>
          <w:lang w:eastAsia="zh-CN"/>
        </w:rPr>
        <w:t>（二）质量要</w:t>
      </w:r>
      <w:bookmarkEnd w:id="30"/>
      <w:bookmarkEnd w:id="31"/>
      <w:r>
        <w:rPr>
          <w:rFonts w:hint="eastAsia" w:ascii="仿宋_GB2312" w:hAnsi="仿宋_GB2312" w:cs="仿宋_GB2312"/>
          <w:color w:val="auto"/>
          <w:sz w:val="28"/>
          <w:szCs w:val="28"/>
          <w:highlight w:val="none"/>
          <w:lang w:val="en-US" w:eastAsia="zh-CN"/>
        </w:rPr>
        <w:t>求</w:t>
      </w:r>
      <w:r>
        <w:rPr>
          <w:rFonts w:hint="eastAsia" w:ascii="仿宋_GB2312" w:hAnsi="仿宋_GB2312" w:cs="仿宋_GB2312"/>
          <w:color w:val="auto"/>
          <w:sz w:val="28"/>
          <w:szCs w:val="28"/>
          <w:highlight w:val="none"/>
          <w:lang w:eastAsia="zh-CN"/>
        </w:rPr>
        <w:t>：1.成交供应商应严格按照技术要求和国家（行业）标准生产和检验，确保产品质量，完全符合竞争性谈判文件和设计文件规定的质量、规格和性能的要求。2.成交供应商供应的货物应达到国家及行业现行质量标准和设计要求。</w:t>
      </w:r>
      <w:r>
        <w:rPr>
          <w:rFonts w:hint="eastAsia" w:ascii="仿宋_GB2312" w:hAnsi="仿宋_GB2312" w:cs="仿宋_GB2312"/>
          <w:b/>
          <w:bCs/>
          <w:color w:val="auto"/>
          <w:sz w:val="28"/>
          <w:szCs w:val="28"/>
          <w:highlight w:val="none"/>
          <w:lang w:eastAsia="zh-CN"/>
        </w:rPr>
        <w:t>更正为</w:t>
      </w:r>
      <w:r>
        <w:rPr>
          <w:rFonts w:hint="eastAsia" w:ascii="仿宋_GB2312" w:hAnsi="仿宋_GB2312" w:cs="仿宋_GB2312"/>
          <w:color w:val="auto"/>
          <w:sz w:val="28"/>
          <w:szCs w:val="28"/>
          <w:highlight w:val="none"/>
          <w:lang w:eastAsia="zh-CN"/>
        </w:rPr>
        <w:t>：（二）质量要求(实质性要求)： 1.成交供应商应严格按照技术要求和国家（行业）标准生产和检验，确保产品质量，完全符合竞争性谈判文件规定的质量、规格和性能的要求。2.成交供应商供应的货物应达到国家及行业现行质量标准和设计要求。3</w:t>
      </w:r>
      <w:r>
        <w:rPr>
          <w:rFonts w:hint="eastAsia" w:ascii="仿宋_GB2312" w:hAnsi="仿宋_GB2312" w:cs="仿宋_GB2312"/>
          <w:color w:val="auto"/>
          <w:sz w:val="28"/>
          <w:szCs w:val="28"/>
          <w:highlight w:val="none"/>
          <w:lang w:val="en-US" w:eastAsia="zh-CN"/>
        </w:rPr>
        <w:t>.</w:t>
      </w:r>
      <w:bookmarkStart w:id="49" w:name="_GoBack"/>
      <w:bookmarkEnd w:id="49"/>
      <w:r>
        <w:rPr>
          <w:rFonts w:hint="eastAsia" w:ascii="仿宋_GB2312" w:hAnsi="仿宋_GB2312" w:cs="仿宋_GB2312"/>
          <w:color w:val="auto"/>
          <w:sz w:val="28"/>
          <w:szCs w:val="28"/>
          <w:highlight w:val="none"/>
          <w:lang w:eastAsia="zh-CN"/>
        </w:rPr>
        <w:t>成交供应商签订合同前，须将“技术参数要求”中“▲”参数要求提供的相应的检验报告原件供采购人验证，若不满足将按虚假响应处理。”</w:t>
      </w:r>
      <w:r>
        <w:rPr>
          <w:rFonts w:hint="eastAsia" w:ascii="仿宋_GB2312" w:hAnsi="仿宋_GB2312" w:cs="仿宋_GB2312"/>
          <w:color w:val="auto"/>
          <w:sz w:val="28"/>
          <w:szCs w:val="28"/>
          <w:highlight w:val="none"/>
          <w:lang w:eastAsia="zh-CN"/>
        </w:rPr>
        <w:br w:type="textWrapping"/>
      </w:r>
      <w:r>
        <w:rPr>
          <w:rFonts w:hint="eastAsia" w:ascii="仿宋_GB2312" w:hAnsi="仿宋_GB2312" w:cs="仿宋_GB2312"/>
          <w:color w:val="auto"/>
          <w:sz w:val="28"/>
          <w:szCs w:val="28"/>
          <w:highlight w:val="none"/>
          <w:lang w:eastAsia="zh-CN"/>
        </w:rPr>
        <w:t xml:space="preserve">   3、（一）采购清单及技术参数要</w:t>
      </w:r>
      <w:r>
        <w:rPr>
          <w:rFonts w:hint="eastAsia" w:ascii="仿宋_GB2312" w:hAnsi="仿宋_GB2312" w:cs="仿宋_GB2312"/>
          <w:color w:val="auto"/>
          <w:sz w:val="28"/>
          <w:szCs w:val="28"/>
          <w:highlight w:val="none"/>
          <w:lang w:val="en-US" w:eastAsia="zh-CN"/>
        </w:rPr>
        <w:t>求</w:t>
      </w:r>
      <w:r>
        <w:rPr>
          <w:rFonts w:hint="eastAsia" w:ascii="仿宋_GB2312" w:hAnsi="仿宋_GB2312" w:cs="仿宋_GB2312"/>
          <w:color w:val="auto"/>
          <w:sz w:val="28"/>
          <w:szCs w:val="28"/>
          <w:highlight w:val="none"/>
          <w:lang w:eastAsia="zh-CN"/>
        </w:rPr>
        <w:t>中：“</w:t>
      </w:r>
      <w:bookmarkStart w:id="32" w:name="OLE_LINK29"/>
      <w:r>
        <w:rPr>
          <w:rFonts w:hint="eastAsia" w:ascii="仿宋_GB2312" w:hAnsi="仿宋_GB2312" w:cs="仿宋_GB2312"/>
          <w:color w:val="auto"/>
          <w:sz w:val="28"/>
          <w:szCs w:val="28"/>
          <w:highlight w:val="none"/>
          <w:lang w:eastAsia="zh-CN"/>
        </w:rPr>
        <w:t>中密度纤维</w:t>
      </w:r>
      <w:bookmarkEnd w:id="32"/>
      <w:r>
        <w:rPr>
          <w:rFonts w:hint="eastAsia" w:ascii="仿宋_GB2312" w:hAnsi="仿宋_GB2312" w:cs="仿宋_GB2312"/>
          <w:color w:val="auto"/>
          <w:sz w:val="28"/>
          <w:szCs w:val="28"/>
          <w:highlight w:val="none"/>
          <w:lang w:eastAsia="zh-CN"/>
        </w:rPr>
        <w:t>”</w:t>
      </w:r>
      <w:r>
        <w:rPr>
          <w:rFonts w:hint="eastAsia" w:ascii="仿宋_GB2312" w:hAnsi="仿宋_GB2312" w:cs="仿宋_GB2312"/>
          <w:b/>
          <w:bCs/>
          <w:color w:val="auto"/>
          <w:sz w:val="28"/>
          <w:szCs w:val="28"/>
          <w:highlight w:val="none"/>
          <w:lang w:eastAsia="zh-CN"/>
        </w:rPr>
        <w:t>更</w:t>
      </w:r>
      <w:r>
        <w:rPr>
          <w:rFonts w:hint="eastAsia" w:ascii="仿宋_GB2312" w:hAnsi="仿宋_GB2312" w:cs="仿宋_GB2312"/>
          <w:b/>
          <w:bCs/>
          <w:color w:val="auto"/>
          <w:sz w:val="28"/>
          <w:szCs w:val="28"/>
          <w:highlight w:val="none"/>
          <w:lang w:val="en-US" w:eastAsia="zh-CN"/>
        </w:rPr>
        <w:t>正</w:t>
      </w:r>
      <w:r>
        <w:rPr>
          <w:rFonts w:hint="eastAsia" w:ascii="仿宋_GB2312" w:hAnsi="仿宋_GB2312" w:cs="仿宋_GB2312"/>
          <w:b/>
          <w:bCs/>
          <w:color w:val="auto"/>
          <w:sz w:val="28"/>
          <w:szCs w:val="28"/>
          <w:highlight w:val="none"/>
          <w:lang w:eastAsia="zh-CN"/>
        </w:rPr>
        <w:t>为</w:t>
      </w:r>
      <w:r>
        <w:rPr>
          <w:rFonts w:hint="eastAsia" w:ascii="仿宋_GB2312" w:hAnsi="仿宋_GB2312" w:cs="仿宋_GB2312"/>
          <w:color w:val="auto"/>
          <w:sz w:val="28"/>
          <w:szCs w:val="28"/>
          <w:highlight w:val="none"/>
          <w:lang w:eastAsia="zh-CN"/>
        </w:rPr>
        <w:t>“中密度纤维板”。</w:t>
      </w:r>
    </w:p>
    <w:p w14:paraId="725CC498">
      <w:pPr>
        <w:keepNext w:val="0"/>
        <w:keepLines w:val="0"/>
        <w:pageBreakBefore w:val="0"/>
        <w:widowControl w:val="0"/>
        <w:kinsoku/>
        <w:wordWrap w:val="0"/>
        <w:overflowPunct/>
        <w:topLinePunct w:val="0"/>
        <w:autoSpaceDE/>
        <w:autoSpaceDN/>
        <w:bidi w:val="0"/>
        <w:adjustRightInd/>
        <w:snapToGrid/>
        <w:spacing w:line="480" w:lineRule="exact"/>
        <w:ind w:firstLine="552" w:firstLineChars="200"/>
        <w:textAlignment w:val="auto"/>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lang w:eastAsia="zh-CN"/>
        </w:rPr>
        <w:t>（一）采购清单及技术参数要求中：部分产品技术参数中标准编号书写重复，如</w:t>
      </w:r>
      <w:bookmarkStart w:id="33" w:name="OLE_LINK39"/>
      <w:bookmarkStart w:id="34" w:name="OLE_LINK40"/>
      <w:r>
        <w:rPr>
          <w:rFonts w:hint="eastAsia" w:ascii="仿宋_GB2312" w:hAnsi="仿宋_GB2312" w:cs="仿宋_GB2312"/>
          <w:color w:val="auto"/>
          <w:sz w:val="28"/>
          <w:szCs w:val="28"/>
          <w:highlight w:val="none"/>
          <w:lang w:eastAsia="zh-CN"/>
        </w:rPr>
        <w:t xml:space="preserve"> “</w:t>
      </w:r>
      <w:bookmarkStart w:id="35" w:name="OLE_LINK38"/>
      <w:bookmarkStart w:id="36" w:name="OLE_LINK37"/>
      <w:r>
        <w:rPr>
          <w:rFonts w:hint="eastAsia" w:ascii="仿宋_GB2312" w:hAnsi="仿宋_GB2312" w:cs="仿宋_GB2312"/>
          <w:color w:val="auto"/>
          <w:sz w:val="28"/>
          <w:szCs w:val="28"/>
          <w:highlight w:val="none"/>
          <w:lang w:eastAsia="zh-CN"/>
        </w:rPr>
        <w:t>GB/TGB/T</w:t>
      </w:r>
      <w:bookmarkEnd w:id="33"/>
      <w:bookmarkEnd w:id="34"/>
      <w:bookmarkEnd w:id="35"/>
      <w:bookmarkEnd w:id="36"/>
      <w:r>
        <w:rPr>
          <w:rFonts w:hint="eastAsia" w:ascii="仿宋_GB2312" w:hAnsi="仿宋_GB2312" w:cs="仿宋_GB2312"/>
          <w:color w:val="auto"/>
          <w:sz w:val="28"/>
          <w:szCs w:val="28"/>
          <w:highlight w:val="none"/>
          <w:lang w:eastAsia="zh-CN"/>
        </w:rPr>
        <w:t>”，现将“GB/TGB/T”</w:t>
      </w:r>
      <w:r>
        <w:rPr>
          <w:rFonts w:hint="eastAsia" w:ascii="仿宋_GB2312" w:hAnsi="仿宋_GB2312" w:cs="仿宋_GB2312"/>
          <w:b/>
          <w:bCs/>
          <w:color w:val="auto"/>
          <w:sz w:val="28"/>
          <w:szCs w:val="28"/>
          <w:highlight w:val="none"/>
          <w:lang w:eastAsia="zh-CN"/>
        </w:rPr>
        <w:t>更正为：</w:t>
      </w:r>
      <w:r>
        <w:rPr>
          <w:rFonts w:hint="eastAsia" w:ascii="仿宋_GB2312" w:hAnsi="仿宋_GB2312" w:cs="仿宋_GB2312"/>
          <w:color w:val="auto"/>
          <w:sz w:val="28"/>
          <w:szCs w:val="28"/>
          <w:highlight w:val="none"/>
          <w:lang w:eastAsia="zh-CN"/>
        </w:rPr>
        <w:t>“GB/T”，涉及</w:t>
      </w:r>
      <w:bookmarkStart w:id="37" w:name="OLE_LINK42"/>
      <w:bookmarkStart w:id="38" w:name="OLE_LINK41"/>
      <w:r>
        <w:rPr>
          <w:rFonts w:hint="eastAsia" w:ascii="仿宋_GB2312" w:hAnsi="仿宋_GB2312" w:cs="仿宋_GB2312"/>
          <w:color w:val="auto"/>
          <w:sz w:val="28"/>
          <w:szCs w:val="28"/>
          <w:highlight w:val="none"/>
          <w:lang w:eastAsia="zh-CN"/>
        </w:rPr>
        <w:t>董事经理办公室沙发、茶几、衣帽架等产品</w:t>
      </w:r>
      <w:bookmarkEnd w:id="37"/>
      <w:bookmarkEnd w:id="38"/>
      <w:r>
        <w:rPr>
          <w:rFonts w:hint="eastAsia" w:ascii="仿宋_GB2312" w:hAnsi="仿宋_GB2312" w:cs="仿宋_GB2312"/>
          <w:color w:val="auto"/>
          <w:sz w:val="28"/>
          <w:szCs w:val="28"/>
          <w:highlight w:val="none"/>
          <w:lang w:eastAsia="zh-CN"/>
        </w:rPr>
        <w:t>。</w:t>
      </w:r>
    </w:p>
    <w:p w14:paraId="19DE47CD">
      <w:pPr>
        <w:keepNext w:val="0"/>
        <w:keepLines w:val="0"/>
        <w:pageBreakBefore w:val="0"/>
        <w:widowControl w:val="0"/>
        <w:kinsoku/>
        <w:wordWrap w:val="0"/>
        <w:overflowPunct/>
        <w:topLinePunct w:val="0"/>
        <w:autoSpaceDE/>
        <w:autoSpaceDN/>
        <w:bidi w:val="0"/>
        <w:adjustRightInd/>
        <w:snapToGrid/>
        <w:spacing w:line="480" w:lineRule="exact"/>
        <w:ind w:firstLine="276" w:firstLineChars="100"/>
        <w:textAlignment w:val="auto"/>
        <w:rPr>
          <w:rFonts w:hint="eastAsia" w:ascii="仿宋_GB2312" w:hAnsi="仿宋_GB2312" w:cs="仿宋_GB2312"/>
          <w:color w:val="auto"/>
          <w:sz w:val="28"/>
          <w:szCs w:val="28"/>
          <w:highlight w:val="none"/>
          <w:lang w:eastAsia="zh-CN"/>
        </w:rPr>
      </w:pPr>
      <w:bookmarkStart w:id="39" w:name="OLE_LINK18"/>
      <w:bookmarkStart w:id="40" w:name="OLE_LINK17"/>
      <w:r>
        <w:rPr>
          <w:rFonts w:hint="eastAsia" w:ascii="仿宋_GB2312" w:hAnsi="仿宋_GB2312" w:cs="仿宋_GB2312"/>
          <w:color w:val="auto"/>
          <w:sz w:val="28"/>
          <w:szCs w:val="28"/>
          <w:highlight w:val="none"/>
          <w:lang w:eastAsia="zh-CN"/>
        </w:rPr>
        <w:t xml:space="preserve"> （一）采购清单及技术参数要求中</w:t>
      </w:r>
      <w:bookmarkEnd w:id="39"/>
      <w:bookmarkEnd w:id="40"/>
      <w:r>
        <w:rPr>
          <w:rFonts w:hint="eastAsia" w:ascii="仿宋_GB2312" w:hAnsi="仿宋_GB2312" w:cs="仿宋_GB2312"/>
          <w:color w:val="auto"/>
          <w:sz w:val="28"/>
          <w:szCs w:val="28"/>
          <w:highlight w:val="none"/>
          <w:lang w:eastAsia="zh-CN"/>
        </w:rPr>
        <w:t>：“董事、经理办公室（25㎡，共15间）的 “</w:t>
      </w:r>
      <w:bookmarkStart w:id="41" w:name="OLE_LINK8"/>
      <w:bookmarkStart w:id="42" w:name="OLE_LINK7"/>
      <w:r>
        <w:rPr>
          <w:rFonts w:hint="eastAsia" w:ascii="仿宋_GB2312" w:hAnsi="仿宋_GB2312" w:cs="仿宋_GB2312"/>
          <w:color w:val="auto"/>
          <w:sz w:val="28"/>
          <w:szCs w:val="28"/>
          <w:highlight w:val="none"/>
          <w:lang w:eastAsia="zh-CN"/>
        </w:rPr>
        <w:t>班前椅</w:t>
      </w:r>
      <w:bookmarkEnd w:id="41"/>
      <w:bookmarkEnd w:id="42"/>
      <w:r>
        <w:rPr>
          <w:rFonts w:hint="eastAsia" w:ascii="仿宋_GB2312" w:hAnsi="仿宋_GB2312" w:cs="仿宋_GB2312"/>
          <w:color w:val="auto"/>
          <w:sz w:val="28"/>
          <w:szCs w:val="28"/>
          <w:highlight w:val="none"/>
          <w:lang w:eastAsia="zh-CN"/>
        </w:rPr>
        <w:t>”：▲3.椅架：符合的标准，有害物质限量中可溶性（铅≤20mg/kg、镉≤10mg/kg、铬≤15mg/kg、汞≤25mg/kg）；中性盐雾试验连续喷雾≥350h，镀层对基体的保护等级≥10级，耐腐蚀≥10级，铜加速乙酸盐雾试验连续喷雾≥350h，镀层对基体的保护等级≥10级，耐腐蚀≥10级，玩具材料中可迁移元素中（锑≤25mg/kg、砷≤20mg/kg、钡≤200mg/kg、镉≤18mg/kg、铬≤16mg/kg、铅≤25mg/kg、汞≤13mg/kg、硒≤180mg/kg）；表面粗糙度≤1.65μm，下屈服强度ReL≥240MPa。投标人提供国家认可的第三方检测机构出具符合技术参数内容的“椅架”检验检测报告复印件（报告必须带“CMA”标识）进行佐证。</w:t>
      </w:r>
      <w:r>
        <w:rPr>
          <w:rFonts w:hint="eastAsia" w:ascii="仿宋_GB2312" w:hAnsi="仿宋_GB2312" w:cs="仿宋_GB2312"/>
          <w:b/>
          <w:bCs/>
          <w:color w:val="auto"/>
          <w:sz w:val="28"/>
          <w:szCs w:val="28"/>
          <w:highlight w:val="none"/>
          <w:lang w:eastAsia="zh-CN"/>
        </w:rPr>
        <w:t>更正为：</w:t>
      </w:r>
      <w:r>
        <w:rPr>
          <w:rFonts w:hint="eastAsia" w:ascii="仿宋_GB2312" w:hAnsi="仿宋_GB2312" w:cs="仿宋_GB2312"/>
          <w:color w:val="auto"/>
          <w:sz w:val="28"/>
          <w:szCs w:val="28"/>
          <w:highlight w:val="none"/>
          <w:lang w:eastAsia="zh-CN"/>
        </w:rPr>
        <w:t>▲3.椅架：有害物质限量中可溶性（铅≤20mg/kg、镉≤10mg/kg、铬≤15mg/kg、汞≤25mg/kg）；中性盐雾试验连续喷雾≥350h，镀层对基体的保护等级≥10级，耐腐蚀≥10级，铜加速乙酸盐雾试验连续喷雾≥350h，镀层对基体的保护等级≥10级，耐腐蚀≥10级，玩具材料中可迁移元素中（锑≤25mg/kg、砷≤20mg/kg、钡≤200mg/kg、镉≤18mg/kg、铬≤16mg/kg、铅≤25mg/kg、汞≤13mg/kg、硒≤180mg/kg）；表面粗糙度≤1.65μm，下屈服强度ReL≥240MPa。投标人提供国家认可的第三方检测机构出具符合技术参数内容的“椅架”检验检测报告复印件（报告必须带“CMA”标识）进行佐证。</w:t>
      </w:r>
    </w:p>
    <w:p w14:paraId="6C00CAAE">
      <w:pPr>
        <w:keepNext w:val="0"/>
        <w:keepLines w:val="0"/>
        <w:pageBreakBefore w:val="0"/>
        <w:widowControl w:val="0"/>
        <w:kinsoku/>
        <w:wordWrap w:val="0"/>
        <w:overflowPunct/>
        <w:topLinePunct w:val="0"/>
        <w:autoSpaceDE/>
        <w:autoSpaceDN/>
        <w:bidi w:val="0"/>
        <w:adjustRightInd/>
        <w:snapToGrid/>
        <w:spacing w:line="480" w:lineRule="exact"/>
        <w:ind w:firstLine="552" w:firstLineChars="200"/>
        <w:textAlignment w:val="auto"/>
        <w:rPr>
          <w:rFonts w:hint="eastAsia" w:ascii="仿宋_GB2312" w:hAnsi="仿宋_GB2312" w:cs="仿宋_GB2312"/>
          <w:color w:val="auto"/>
          <w:sz w:val="28"/>
          <w:szCs w:val="28"/>
          <w:highlight w:val="none"/>
          <w:lang w:eastAsia="zh-CN"/>
        </w:rPr>
      </w:pPr>
      <w:bookmarkStart w:id="43" w:name="OLE_LINK9"/>
      <w:bookmarkStart w:id="44" w:name="OLE_LINK10"/>
      <w:r>
        <w:rPr>
          <w:rFonts w:hint="eastAsia" w:ascii="仿宋_GB2312" w:hAnsi="仿宋_GB2312" w:cs="仿宋_GB2312"/>
          <w:color w:val="auto"/>
          <w:sz w:val="28"/>
          <w:szCs w:val="28"/>
          <w:highlight w:val="none"/>
          <w:lang w:eastAsia="zh-CN"/>
        </w:rPr>
        <w:t xml:space="preserve"> （一）采购清单及技术参数要求中</w:t>
      </w:r>
      <w:bookmarkEnd w:id="43"/>
      <w:bookmarkEnd w:id="44"/>
      <w:r>
        <w:rPr>
          <w:rFonts w:hint="eastAsia" w:ascii="仿宋_GB2312" w:hAnsi="仿宋_GB2312" w:cs="仿宋_GB2312"/>
          <w:color w:val="auto"/>
          <w:sz w:val="28"/>
          <w:szCs w:val="28"/>
          <w:highlight w:val="none"/>
          <w:lang w:eastAsia="zh-CN"/>
        </w:rPr>
        <w:t>：</w:t>
      </w:r>
      <w:bookmarkStart w:id="45" w:name="OLE_LINK14"/>
      <w:bookmarkStart w:id="46" w:name="OLE_LINK12"/>
      <w:r>
        <w:rPr>
          <w:rFonts w:hint="eastAsia" w:ascii="仿宋_GB2312" w:hAnsi="仿宋_GB2312" w:cs="仿宋_GB2312"/>
          <w:color w:val="auto"/>
          <w:sz w:val="28"/>
          <w:szCs w:val="28"/>
          <w:highlight w:val="none"/>
          <w:lang w:eastAsia="zh-CN"/>
        </w:rPr>
        <w:t>管理层单人办公室（15㎡，共15间）</w:t>
      </w:r>
      <w:bookmarkEnd w:id="45"/>
      <w:bookmarkEnd w:id="46"/>
      <w:r>
        <w:rPr>
          <w:rFonts w:hint="eastAsia" w:ascii="仿宋_GB2312" w:hAnsi="仿宋_GB2312" w:cs="仿宋_GB2312"/>
          <w:color w:val="auto"/>
          <w:sz w:val="28"/>
          <w:szCs w:val="28"/>
          <w:highlight w:val="none"/>
          <w:lang w:eastAsia="zh-CN"/>
        </w:rPr>
        <w:t>班前椅：3.椅架：符合的标准，有害物质限量中可溶性（铅≤20mg/kg、镉≤10mg/kg、铬≤15mg/kg、汞≤25mg/kg）；中性盐雾试验连续喷雾≥350h，镀层对基体的保护等级≥10级，耐腐蚀≥10级，铜加速乙酸盐雾试验连续喷雾≥350h，镀层对基体的保护等级≥10级，耐腐蚀≥10级，玩具材料中可迁移元素中（锑≤25mg/kg、砷≤20mg/kg、钡≤200mg/kg、镉≤18mg/kg、铬≤16mg/kg、铅≤25mg/kg、汞≤13mg/kg、硒≤180mg/kg）；表面粗糙度≤1.65μm，下屈服强度ReL≥240MPa.</w:t>
      </w:r>
      <w:r>
        <w:rPr>
          <w:rFonts w:hint="eastAsia" w:ascii="仿宋_GB2312" w:hAnsi="仿宋_GB2312" w:cs="仿宋_GB2312"/>
          <w:b/>
          <w:bCs/>
          <w:color w:val="auto"/>
          <w:sz w:val="28"/>
          <w:szCs w:val="28"/>
          <w:highlight w:val="none"/>
          <w:lang w:eastAsia="zh-CN"/>
        </w:rPr>
        <w:t>更正为</w:t>
      </w:r>
      <w:r>
        <w:rPr>
          <w:rFonts w:hint="eastAsia" w:ascii="仿宋_GB2312" w:hAnsi="仿宋_GB2312" w:cs="仿宋_GB2312"/>
          <w:color w:val="auto"/>
          <w:sz w:val="28"/>
          <w:szCs w:val="28"/>
          <w:highlight w:val="none"/>
          <w:lang w:eastAsia="zh-CN"/>
        </w:rPr>
        <w:t>3.椅架：有害物质限量中可溶性（铅≤20mg/kg、镉≤10mg/kg、铬≤15mg/kg、汞≤25mg/kg）；中性盐雾试验连续喷雾≥350h，镀层对基体的保护等级≥10级，耐腐蚀≥10级，铜加速乙酸盐雾试验连续喷雾≥350h，镀层对基体的保护等级≥10级，耐腐蚀≥10级，玩具材料中可迁移元素中（锑≤25mg/kg、砷≤20mg/kg、钡≤200mg/kg、镉≤18mg/kg、铬≤16mg/kg、铅≤25mg/kg、汞≤13mg/kg、硒≤180mg/kg）；表面粗糙度≤1.65μm，下屈服强度ReL≥240MPa。</w:t>
      </w:r>
    </w:p>
    <w:p w14:paraId="2B83B4A1">
      <w:pPr>
        <w:keepNext w:val="0"/>
        <w:keepLines w:val="0"/>
        <w:pageBreakBefore w:val="0"/>
        <w:widowControl w:val="0"/>
        <w:kinsoku/>
        <w:wordWrap w:val="0"/>
        <w:overflowPunct/>
        <w:topLinePunct w:val="0"/>
        <w:autoSpaceDE/>
        <w:autoSpaceDN/>
        <w:bidi w:val="0"/>
        <w:adjustRightInd/>
        <w:snapToGrid/>
        <w:spacing w:line="480" w:lineRule="exact"/>
        <w:ind w:firstLine="552" w:firstLineChars="200"/>
        <w:textAlignment w:val="auto"/>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lang w:eastAsia="zh-CN"/>
        </w:rPr>
        <w:t xml:space="preserve"> （一）采购清单及技术参数要求中：会议室中的</w:t>
      </w:r>
      <w:bookmarkStart w:id="47" w:name="OLE_LINK1"/>
      <w:bookmarkStart w:id="48" w:name="OLE_LINK2"/>
      <w:r>
        <w:rPr>
          <w:rFonts w:hint="eastAsia" w:ascii="仿宋_GB2312" w:hAnsi="仿宋_GB2312" w:cs="仿宋_GB2312"/>
          <w:color w:val="auto"/>
          <w:sz w:val="28"/>
          <w:szCs w:val="28"/>
          <w:highlight w:val="none"/>
          <w:lang w:eastAsia="zh-CN"/>
        </w:rPr>
        <w:t>大会议椅</w:t>
      </w:r>
      <w:bookmarkEnd w:id="47"/>
      <w:bookmarkEnd w:id="48"/>
      <w:r>
        <w:rPr>
          <w:rFonts w:hint="eastAsia" w:ascii="仿宋_GB2312" w:hAnsi="仿宋_GB2312" w:cs="仿宋_GB2312"/>
          <w:color w:val="auto"/>
          <w:sz w:val="28"/>
          <w:szCs w:val="28"/>
          <w:highlight w:val="none"/>
          <w:lang w:eastAsia="zh-CN"/>
        </w:rPr>
        <w:t>：3.椅架：符合的标准，有害物质限量中可溶性（铅≤20mg/kg、镉≤10mg/kg、铬≤15mg/kg、汞≤25mg/kg）；中性盐雾试验连续喷雾≥350h，镀层对基体的保护等级≥10级，耐腐蚀≥10级，铜加速乙酸盐雾试验连续喷雾≥350h，镀层对基体的保护等级≥10级，耐腐蚀≥10级，玩具材料中可迁移元素中（锑≤25mg/kg、砷≤20mg/kg、钡≤200mg/kg、镉≤18mg/kg、铬≤16mg/kg、铅≤25mg/kg、汞≤13mg/kg、硒≤180mg/kg）；表面粗糙度≤1.65μm，下屈服强度ReL≥240MPa。</w:t>
      </w:r>
      <w:r>
        <w:rPr>
          <w:rFonts w:hint="eastAsia" w:ascii="仿宋_GB2312" w:hAnsi="仿宋_GB2312" w:cs="仿宋_GB2312"/>
          <w:b/>
          <w:bCs/>
          <w:color w:val="auto"/>
          <w:sz w:val="28"/>
          <w:szCs w:val="28"/>
          <w:highlight w:val="none"/>
          <w:lang w:eastAsia="zh-CN"/>
        </w:rPr>
        <w:t>更正为：</w:t>
      </w:r>
      <w:r>
        <w:rPr>
          <w:rFonts w:hint="eastAsia" w:ascii="仿宋_GB2312" w:hAnsi="仿宋_GB2312" w:cs="仿宋_GB2312"/>
          <w:color w:val="auto"/>
          <w:sz w:val="28"/>
          <w:szCs w:val="28"/>
          <w:highlight w:val="none"/>
          <w:lang w:eastAsia="zh-CN"/>
        </w:rPr>
        <w:t>3.椅架：符合的标准，有害物质限量中可溶性（铅≤20mg/kg、镉≤10mg/kg、铬≤15mg/kg、汞≤25mg/kg）；中性盐雾试验连续喷雾≥350h，镀层对基体的保护等级≥10级，耐腐蚀≥10级，铜加速乙酸盐雾试验连续喷雾≥350h，镀层对基体的保护等级≥10级，耐腐蚀≥10级，玩具材料中可迁移元素中（锑≤25mg/kg、砷≤20mg/kg、钡≤200mg/kg、镉≤18mg/kg、铬≤16mg/kg、铅≤25mg/kg、汞≤13mg/kg、硒≤180mg/kg）；表面粗糙度≤1.65μm，下屈服强度ReL≥240MPa。</w:t>
      </w:r>
    </w:p>
    <w:p w14:paraId="18CC029D">
      <w:pPr>
        <w:keepNext w:val="0"/>
        <w:keepLines w:val="0"/>
        <w:pageBreakBefore w:val="0"/>
        <w:widowControl w:val="0"/>
        <w:kinsoku/>
        <w:wordWrap/>
        <w:overflowPunct/>
        <w:topLinePunct w:val="0"/>
        <w:bidi w:val="0"/>
        <w:spacing w:after="0" w:line="480" w:lineRule="exact"/>
        <w:textAlignment w:val="auto"/>
        <w:rPr>
          <w:rFonts w:hint="eastAsia" w:cs="Times New Roman"/>
          <w:b w:val="0"/>
          <w:bCs w:val="0"/>
          <w:color w:val="auto"/>
          <w:sz w:val="28"/>
          <w:szCs w:val="28"/>
          <w:highlight w:val="none"/>
          <w:lang w:val="en-US" w:eastAsia="zh-CN"/>
        </w:rPr>
      </w:pPr>
      <w:r>
        <w:rPr>
          <w:rFonts w:hint="eastAsia" w:ascii="仿宋_GB2312" w:hAnsi="仿宋_GB2312" w:cs="仿宋_GB2312"/>
          <w:b w:val="0"/>
          <w:bCs w:val="0"/>
          <w:color w:val="auto"/>
          <w:sz w:val="28"/>
          <w:szCs w:val="28"/>
          <w:highlight w:val="none"/>
          <w:lang w:val="en-US" w:eastAsia="zh-CN"/>
        </w:rPr>
        <w:t xml:space="preserve">    </w:t>
      </w:r>
      <w:r>
        <w:rPr>
          <w:rFonts w:hint="eastAsia" w:ascii="仿宋_GB2312" w:hAnsi="仿宋_GB2312" w:cs="仿宋_GB2312"/>
          <w:b/>
          <w:bCs/>
          <w:color w:val="auto"/>
          <w:sz w:val="28"/>
          <w:szCs w:val="28"/>
          <w:highlight w:val="none"/>
          <w:lang w:val="en-US" w:eastAsia="zh-CN"/>
        </w:rPr>
        <w:t>二、“</w:t>
      </w:r>
      <w:r>
        <w:rPr>
          <w:rFonts w:hint="default" w:ascii="Times New Roman" w:hAnsi="Times New Roman" w:eastAsia="仿宋_GB2312" w:cs="Times New Roman"/>
          <w:b w:val="0"/>
          <w:bCs w:val="0"/>
          <w:color w:val="auto"/>
          <w:sz w:val="28"/>
          <w:szCs w:val="28"/>
          <w:highlight w:val="none"/>
        </w:rPr>
        <w:t>响应文件接收时间：</w:t>
      </w:r>
      <w:r>
        <w:rPr>
          <w:rFonts w:hint="eastAsia" w:ascii="Times New Roman" w:hAnsi="Times New Roman" w:eastAsia="仿宋_GB2312" w:cs="Times New Roman"/>
          <w:b/>
          <w:bCs/>
          <w:color w:val="auto"/>
          <w:sz w:val="28"/>
          <w:szCs w:val="28"/>
          <w:highlight w:val="none"/>
          <w:lang w:eastAsia="zh-CN"/>
        </w:rPr>
        <w:t>2025年</w:t>
      </w:r>
      <w:r>
        <w:rPr>
          <w:rFonts w:hint="eastAsia" w:ascii="Times New Roman" w:hAnsi="Times New Roman" w:eastAsia="仿宋_GB2312" w:cs="Times New Roman"/>
          <w:b/>
          <w:bCs/>
          <w:color w:val="auto"/>
          <w:sz w:val="28"/>
          <w:szCs w:val="28"/>
          <w:highlight w:val="none"/>
          <w:lang w:val="en-US" w:eastAsia="zh-CN"/>
        </w:rPr>
        <w:t>12</w:t>
      </w:r>
      <w:r>
        <w:rPr>
          <w:rFonts w:hint="eastAsia" w:ascii="Times New Roman" w:hAnsi="Times New Roman" w:eastAsia="仿宋_GB2312" w:cs="Times New Roman"/>
          <w:b/>
          <w:bCs/>
          <w:color w:val="auto"/>
          <w:sz w:val="28"/>
          <w:szCs w:val="28"/>
          <w:highlight w:val="none"/>
          <w:lang w:eastAsia="zh-CN"/>
        </w:rPr>
        <w:t>月</w:t>
      </w:r>
      <w:r>
        <w:rPr>
          <w:rFonts w:hint="eastAsia" w:ascii="Times New Roman" w:hAnsi="Times New Roman" w:eastAsia="仿宋_GB2312" w:cs="Times New Roman"/>
          <w:b/>
          <w:bCs/>
          <w:color w:val="auto"/>
          <w:sz w:val="28"/>
          <w:szCs w:val="28"/>
          <w:highlight w:val="none"/>
          <w:lang w:val="en-US" w:eastAsia="zh-CN"/>
        </w:rPr>
        <w:t>19</w:t>
      </w:r>
      <w:r>
        <w:rPr>
          <w:rFonts w:hint="eastAsia" w:ascii="Times New Roman" w:hAnsi="Times New Roman" w:eastAsia="仿宋_GB2312" w:cs="Times New Roman"/>
          <w:b/>
          <w:bCs/>
          <w:color w:val="auto"/>
          <w:sz w:val="28"/>
          <w:szCs w:val="28"/>
          <w:highlight w:val="none"/>
          <w:lang w:eastAsia="zh-CN"/>
        </w:rPr>
        <w:t>日</w:t>
      </w:r>
      <w:r>
        <w:rPr>
          <w:rFonts w:hint="default" w:ascii="Times New Roman" w:hAnsi="Times New Roman" w:eastAsia="仿宋_GB2312" w:cs="Times New Roman"/>
          <w:b w:val="0"/>
          <w:bCs w:val="0"/>
          <w:color w:val="auto"/>
          <w:sz w:val="28"/>
          <w:szCs w:val="28"/>
          <w:highlight w:val="none"/>
        </w:rPr>
        <w:t>9:</w:t>
      </w:r>
      <w:r>
        <w:rPr>
          <w:rFonts w:hint="default" w:ascii="Times New Roman" w:hAnsi="Times New Roman" w:eastAsia="仿宋_GB2312" w:cs="Times New Roman"/>
          <w:b w:val="0"/>
          <w:bCs w:val="0"/>
          <w:color w:val="auto"/>
          <w:sz w:val="28"/>
          <w:szCs w:val="28"/>
          <w:highlight w:val="none"/>
          <w:lang w:val="en-US" w:eastAsia="zh-CN"/>
        </w:rPr>
        <w:t>30</w:t>
      </w:r>
      <w:r>
        <w:rPr>
          <w:rFonts w:hint="default" w:ascii="Times New Roman" w:hAnsi="Times New Roman" w:eastAsia="仿宋_GB2312" w:cs="Times New Roman"/>
          <w:b w:val="0"/>
          <w:bCs w:val="0"/>
          <w:color w:val="auto"/>
          <w:sz w:val="28"/>
          <w:szCs w:val="28"/>
          <w:highlight w:val="none"/>
        </w:rPr>
        <w:t>-</w:t>
      </w:r>
      <w:r>
        <w:rPr>
          <w:rFonts w:hint="default" w:ascii="Times New Roman" w:hAnsi="Times New Roman" w:eastAsia="仿宋_GB2312" w:cs="Times New Roman"/>
          <w:b w:val="0"/>
          <w:bCs w:val="0"/>
          <w:color w:val="auto"/>
          <w:sz w:val="28"/>
          <w:szCs w:val="28"/>
          <w:highlight w:val="none"/>
          <w:lang w:val="en-US" w:eastAsia="zh-CN"/>
        </w:rPr>
        <w:t>10</w:t>
      </w:r>
      <w:r>
        <w:rPr>
          <w:rFonts w:hint="default" w:ascii="Times New Roman" w:hAnsi="Times New Roman" w:eastAsia="仿宋_GB2312" w:cs="Times New Roman"/>
          <w:b w:val="0"/>
          <w:bCs w:val="0"/>
          <w:color w:val="auto"/>
          <w:sz w:val="28"/>
          <w:szCs w:val="28"/>
          <w:highlight w:val="none"/>
        </w:rPr>
        <w:t>:</w:t>
      </w:r>
      <w:r>
        <w:rPr>
          <w:rFonts w:hint="default" w:ascii="Times New Roman" w:hAnsi="Times New Roman" w:eastAsia="仿宋_GB2312" w:cs="Times New Roman"/>
          <w:b w:val="0"/>
          <w:bCs w:val="0"/>
          <w:color w:val="auto"/>
          <w:sz w:val="28"/>
          <w:szCs w:val="28"/>
          <w:highlight w:val="none"/>
          <w:lang w:val="en-US" w:eastAsia="zh-CN"/>
        </w:rPr>
        <w:t>0</w:t>
      </w:r>
      <w:r>
        <w:rPr>
          <w:rFonts w:hint="default" w:ascii="Times New Roman" w:hAnsi="Times New Roman" w:eastAsia="仿宋_GB2312" w:cs="Times New Roman"/>
          <w:b w:val="0"/>
          <w:bCs w:val="0"/>
          <w:color w:val="auto"/>
          <w:sz w:val="28"/>
          <w:szCs w:val="28"/>
          <w:highlight w:val="none"/>
        </w:rPr>
        <w:t>0（北京时间）。</w:t>
      </w:r>
      <w:r>
        <w:rPr>
          <w:rFonts w:hint="eastAsia" w:cs="Times New Roman"/>
          <w:b w:val="0"/>
          <w:bCs w:val="0"/>
          <w:color w:val="auto"/>
          <w:sz w:val="28"/>
          <w:szCs w:val="28"/>
          <w:highlight w:val="none"/>
          <w:lang w:eastAsia="zh-CN"/>
        </w:rPr>
        <w:t>”</w:t>
      </w:r>
      <w:r>
        <w:rPr>
          <w:rFonts w:hint="eastAsia" w:cs="Times New Roman"/>
          <w:b/>
          <w:bCs/>
          <w:color w:val="auto"/>
          <w:sz w:val="28"/>
          <w:szCs w:val="28"/>
          <w:highlight w:val="none"/>
          <w:lang w:val="en-US" w:eastAsia="zh-CN"/>
        </w:rPr>
        <w:t>变更为：</w:t>
      </w:r>
      <w:r>
        <w:rPr>
          <w:rFonts w:hint="eastAsia" w:cs="Times New Roman"/>
          <w:b w:val="0"/>
          <w:bCs w:val="0"/>
          <w:color w:val="auto"/>
          <w:sz w:val="28"/>
          <w:szCs w:val="28"/>
          <w:highlight w:val="none"/>
          <w:lang w:val="en-US" w:eastAsia="zh-CN"/>
        </w:rPr>
        <w:t>“</w:t>
      </w:r>
      <w:r>
        <w:rPr>
          <w:rFonts w:hint="default" w:ascii="Times New Roman" w:hAnsi="Times New Roman" w:eastAsia="仿宋_GB2312" w:cs="Times New Roman"/>
          <w:b w:val="0"/>
          <w:bCs w:val="0"/>
          <w:color w:val="auto"/>
          <w:sz w:val="28"/>
          <w:szCs w:val="28"/>
          <w:highlight w:val="none"/>
        </w:rPr>
        <w:t>响应文件接收时间：</w:t>
      </w:r>
      <w:r>
        <w:rPr>
          <w:rFonts w:hint="eastAsia" w:ascii="Times New Roman" w:hAnsi="Times New Roman" w:eastAsia="仿宋_GB2312" w:cs="Times New Roman"/>
          <w:b/>
          <w:bCs/>
          <w:color w:val="auto"/>
          <w:sz w:val="28"/>
          <w:szCs w:val="28"/>
          <w:highlight w:val="none"/>
          <w:lang w:eastAsia="zh-CN"/>
        </w:rPr>
        <w:t>2025年</w:t>
      </w:r>
      <w:r>
        <w:rPr>
          <w:rFonts w:hint="eastAsia" w:ascii="Times New Roman" w:hAnsi="Times New Roman" w:eastAsia="仿宋_GB2312" w:cs="Times New Roman"/>
          <w:b/>
          <w:bCs/>
          <w:color w:val="auto"/>
          <w:sz w:val="28"/>
          <w:szCs w:val="28"/>
          <w:highlight w:val="none"/>
          <w:lang w:val="en-US" w:eastAsia="zh-CN"/>
        </w:rPr>
        <w:t>12</w:t>
      </w:r>
      <w:r>
        <w:rPr>
          <w:rFonts w:hint="eastAsia" w:ascii="Times New Roman" w:hAnsi="Times New Roman" w:eastAsia="仿宋_GB2312" w:cs="Times New Roman"/>
          <w:b/>
          <w:bCs/>
          <w:color w:val="auto"/>
          <w:sz w:val="28"/>
          <w:szCs w:val="28"/>
          <w:highlight w:val="none"/>
          <w:lang w:eastAsia="zh-CN"/>
        </w:rPr>
        <w:t>月</w:t>
      </w:r>
      <w:r>
        <w:rPr>
          <w:rFonts w:hint="eastAsia" w:cs="Times New Roman"/>
          <w:b/>
          <w:bCs/>
          <w:color w:val="auto"/>
          <w:sz w:val="28"/>
          <w:szCs w:val="28"/>
          <w:highlight w:val="none"/>
          <w:lang w:val="en-US" w:eastAsia="zh-CN"/>
        </w:rPr>
        <w:t>22</w:t>
      </w:r>
      <w:r>
        <w:rPr>
          <w:rFonts w:hint="eastAsia" w:ascii="Times New Roman" w:hAnsi="Times New Roman" w:eastAsia="仿宋_GB2312" w:cs="Times New Roman"/>
          <w:b/>
          <w:bCs/>
          <w:color w:val="auto"/>
          <w:sz w:val="28"/>
          <w:szCs w:val="28"/>
          <w:highlight w:val="none"/>
          <w:lang w:eastAsia="zh-CN"/>
        </w:rPr>
        <w:t>日</w:t>
      </w:r>
      <w:r>
        <w:rPr>
          <w:rFonts w:hint="default" w:ascii="Times New Roman" w:hAnsi="Times New Roman" w:eastAsia="仿宋_GB2312" w:cs="Times New Roman"/>
          <w:b w:val="0"/>
          <w:bCs w:val="0"/>
          <w:color w:val="auto"/>
          <w:sz w:val="28"/>
          <w:szCs w:val="28"/>
          <w:highlight w:val="none"/>
        </w:rPr>
        <w:t>9:</w:t>
      </w:r>
      <w:r>
        <w:rPr>
          <w:rFonts w:hint="default" w:ascii="Times New Roman" w:hAnsi="Times New Roman" w:eastAsia="仿宋_GB2312" w:cs="Times New Roman"/>
          <w:b w:val="0"/>
          <w:bCs w:val="0"/>
          <w:color w:val="auto"/>
          <w:sz w:val="28"/>
          <w:szCs w:val="28"/>
          <w:highlight w:val="none"/>
          <w:lang w:val="en-US" w:eastAsia="zh-CN"/>
        </w:rPr>
        <w:t>30</w:t>
      </w:r>
      <w:r>
        <w:rPr>
          <w:rFonts w:hint="default" w:ascii="Times New Roman" w:hAnsi="Times New Roman" w:eastAsia="仿宋_GB2312" w:cs="Times New Roman"/>
          <w:b w:val="0"/>
          <w:bCs w:val="0"/>
          <w:color w:val="auto"/>
          <w:sz w:val="28"/>
          <w:szCs w:val="28"/>
          <w:highlight w:val="none"/>
        </w:rPr>
        <w:t>-</w:t>
      </w:r>
      <w:r>
        <w:rPr>
          <w:rFonts w:hint="default" w:ascii="Times New Roman" w:hAnsi="Times New Roman" w:eastAsia="仿宋_GB2312" w:cs="Times New Roman"/>
          <w:b w:val="0"/>
          <w:bCs w:val="0"/>
          <w:color w:val="auto"/>
          <w:sz w:val="28"/>
          <w:szCs w:val="28"/>
          <w:highlight w:val="none"/>
          <w:lang w:val="en-US" w:eastAsia="zh-CN"/>
        </w:rPr>
        <w:t>10</w:t>
      </w:r>
      <w:r>
        <w:rPr>
          <w:rFonts w:hint="default" w:ascii="Times New Roman" w:hAnsi="Times New Roman" w:eastAsia="仿宋_GB2312" w:cs="Times New Roman"/>
          <w:b w:val="0"/>
          <w:bCs w:val="0"/>
          <w:color w:val="auto"/>
          <w:sz w:val="28"/>
          <w:szCs w:val="28"/>
          <w:highlight w:val="none"/>
        </w:rPr>
        <w:t>:</w:t>
      </w:r>
      <w:r>
        <w:rPr>
          <w:rFonts w:hint="default" w:ascii="Times New Roman" w:hAnsi="Times New Roman" w:eastAsia="仿宋_GB2312" w:cs="Times New Roman"/>
          <w:b w:val="0"/>
          <w:bCs w:val="0"/>
          <w:color w:val="auto"/>
          <w:sz w:val="28"/>
          <w:szCs w:val="28"/>
          <w:highlight w:val="none"/>
          <w:lang w:val="en-US" w:eastAsia="zh-CN"/>
        </w:rPr>
        <w:t>0</w:t>
      </w:r>
      <w:r>
        <w:rPr>
          <w:rFonts w:hint="default" w:ascii="Times New Roman" w:hAnsi="Times New Roman" w:eastAsia="仿宋_GB2312" w:cs="Times New Roman"/>
          <w:b w:val="0"/>
          <w:bCs w:val="0"/>
          <w:color w:val="auto"/>
          <w:sz w:val="28"/>
          <w:szCs w:val="28"/>
          <w:highlight w:val="none"/>
        </w:rPr>
        <w:t>0（北京时间）。</w:t>
      </w:r>
      <w:r>
        <w:rPr>
          <w:rFonts w:hint="eastAsia" w:cs="Times New Roman"/>
          <w:b w:val="0"/>
          <w:bCs w:val="0"/>
          <w:color w:val="auto"/>
          <w:sz w:val="28"/>
          <w:szCs w:val="28"/>
          <w:highlight w:val="none"/>
          <w:lang w:val="en-US" w:eastAsia="zh-CN"/>
        </w:rPr>
        <w:t>”</w:t>
      </w:r>
    </w:p>
    <w:p w14:paraId="6BB37309">
      <w:pPr>
        <w:keepNext w:val="0"/>
        <w:keepLines w:val="0"/>
        <w:pageBreakBefore w:val="0"/>
        <w:widowControl w:val="0"/>
        <w:kinsoku/>
        <w:wordWrap/>
        <w:overflowPunct/>
        <w:topLinePunct w:val="0"/>
        <w:bidi w:val="0"/>
        <w:spacing w:after="0" w:line="480" w:lineRule="exact"/>
        <w:ind w:firstLine="552" w:firstLineChars="200"/>
        <w:textAlignment w:val="auto"/>
        <w:rPr>
          <w:rFonts w:hint="eastAsia" w:cs="Times New Roman"/>
          <w:b w:val="0"/>
          <w:bCs w:val="0"/>
          <w:color w:val="auto"/>
          <w:sz w:val="28"/>
          <w:szCs w:val="28"/>
          <w:highlight w:val="none"/>
          <w:lang w:eastAsia="zh-CN"/>
        </w:rPr>
      </w:pPr>
      <w:r>
        <w:rPr>
          <w:rFonts w:hint="eastAsia" w:cs="Times New Roman"/>
          <w:b w:val="0"/>
          <w:bCs w:val="0"/>
          <w:color w:val="auto"/>
          <w:sz w:val="28"/>
          <w:szCs w:val="28"/>
          <w:highlight w:val="none"/>
          <w:lang w:eastAsia="zh-CN"/>
        </w:rPr>
        <w:t>“</w:t>
      </w:r>
      <w:r>
        <w:rPr>
          <w:rFonts w:hint="default" w:ascii="Times New Roman" w:hAnsi="Times New Roman" w:eastAsia="仿宋_GB2312" w:cs="Times New Roman"/>
          <w:b w:val="0"/>
          <w:bCs w:val="0"/>
          <w:color w:val="auto"/>
          <w:sz w:val="28"/>
          <w:szCs w:val="28"/>
          <w:highlight w:val="none"/>
        </w:rPr>
        <w:t>递交响应文件截止时间：</w:t>
      </w:r>
      <w:r>
        <w:rPr>
          <w:rFonts w:hint="eastAsia" w:ascii="Times New Roman" w:hAnsi="Times New Roman" w:eastAsia="仿宋_GB2312" w:cs="Times New Roman"/>
          <w:b/>
          <w:bCs/>
          <w:color w:val="auto"/>
          <w:sz w:val="28"/>
          <w:szCs w:val="28"/>
          <w:highlight w:val="none"/>
          <w:lang w:eastAsia="zh-CN"/>
        </w:rPr>
        <w:t>2025年</w:t>
      </w:r>
      <w:r>
        <w:rPr>
          <w:rFonts w:hint="eastAsia" w:ascii="Times New Roman" w:hAnsi="Times New Roman" w:eastAsia="仿宋_GB2312" w:cs="Times New Roman"/>
          <w:b/>
          <w:bCs/>
          <w:color w:val="auto"/>
          <w:sz w:val="28"/>
          <w:szCs w:val="28"/>
          <w:highlight w:val="none"/>
          <w:lang w:val="en-US" w:eastAsia="zh-CN"/>
        </w:rPr>
        <w:t>12</w:t>
      </w:r>
      <w:r>
        <w:rPr>
          <w:rFonts w:hint="eastAsia" w:ascii="Times New Roman" w:hAnsi="Times New Roman" w:eastAsia="仿宋_GB2312" w:cs="Times New Roman"/>
          <w:b/>
          <w:bCs/>
          <w:color w:val="auto"/>
          <w:sz w:val="28"/>
          <w:szCs w:val="28"/>
          <w:highlight w:val="none"/>
          <w:lang w:eastAsia="zh-CN"/>
        </w:rPr>
        <w:t>月</w:t>
      </w:r>
      <w:r>
        <w:rPr>
          <w:rFonts w:hint="eastAsia" w:ascii="Times New Roman" w:hAnsi="Times New Roman" w:eastAsia="仿宋_GB2312" w:cs="Times New Roman"/>
          <w:b/>
          <w:bCs/>
          <w:color w:val="auto"/>
          <w:sz w:val="28"/>
          <w:szCs w:val="28"/>
          <w:highlight w:val="none"/>
          <w:lang w:val="en-US" w:eastAsia="zh-CN"/>
        </w:rPr>
        <w:t>19</w:t>
      </w:r>
      <w:r>
        <w:rPr>
          <w:rFonts w:hint="eastAsia" w:ascii="Times New Roman" w:hAnsi="Times New Roman" w:eastAsia="仿宋_GB2312" w:cs="Times New Roman"/>
          <w:b/>
          <w:bCs/>
          <w:color w:val="auto"/>
          <w:sz w:val="28"/>
          <w:szCs w:val="28"/>
          <w:highlight w:val="none"/>
          <w:lang w:eastAsia="zh-CN"/>
        </w:rPr>
        <w:t>日</w:t>
      </w:r>
      <w:r>
        <w:rPr>
          <w:rFonts w:hint="default" w:ascii="Times New Roman" w:hAnsi="Times New Roman" w:eastAsia="仿宋_GB2312" w:cs="Times New Roman"/>
          <w:b w:val="0"/>
          <w:bCs w:val="0"/>
          <w:color w:val="auto"/>
          <w:sz w:val="28"/>
          <w:szCs w:val="28"/>
          <w:highlight w:val="none"/>
          <w:lang w:val="en-US" w:eastAsia="zh-CN"/>
        </w:rPr>
        <w:t>10</w:t>
      </w:r>
      <w:r>
        <w:rPr>
          <w:rFonts w:hint="default" w:ascii="Times New Roman" w:hAnsi="Times New Roman" w:eastAsia="仿宋_GB2312" w:cs="Times New Roman"/>
          <w:b w:val="0"/>
          <w:bCs w:val="0"/>
          <w:color w:val="auto"/>
          <w:sz w:val="28"/>
          <w:szCs w:val="28"/>
          <w:highlight w:val="none"/>
        </w:rPr>
        <w:t>:</w:t>
      </w:r>
      <w:r>
        <w:rPr>
          <w:rFonts w:hint="default" w:ascii="Times New Roman" w:hAnsi="Times New Roman" w:eastAsia="仿宋_GB2312" w:cs="Times New Roman"/>
          <w:b w:val="0"/>
          <w:bCs w:val="0"/>
          <w:color w:val="auto"/>
          <w:sz w:val="28"/>
          <w:szCs w:val="28"/>
          <w:highlight w:val="none"/>
          <w:lang w:val="en-US" w:eastAsia="zh-CN"/>
        </w:rPr>
        <w:t>0</w:t>
      </w:r>
      <w:r>
        <w:rPr>
          <w:rFonts w:hint="default" w:ascii="Times New Roman" w:hAnsi="Times New Roman" w:eastAsia="仿宋_GB2312" w:cs="Times New Roman"/>
          <w:b w:val="0"/>
          <w:bCs w:val="0"/>
          <w:color w:val="auto"/>
          <w:sz w:val="28"/>
          <w:szCs w:val="28"/>
          <w:highlight w:val="none"/>
        </w:rPr>
        <w:t>0（北京时间）。</w:t>
      </w:r>
      <w:r>
        <w:rPr>
          <w:rFonts w:hint="eastAsia" w:cs="Times New Roman"/>
          <w:b w:val="0"/>
          <w:bCs w:val="0"/>
          <w:color w:val="auto"/>
          <w:sz w:val="28"/>
          <w:szCs w:val="28"/>
          <w:highlight w:val="none"/>
          <w:lang w:eastAsia="zh-CN"/>
        </w:rPr>
        <w:t>”</w:t>
      </w:r>
      <w:r>
        <w:rPr>
          <w:rFonts w:hint="eastAsia" w:cs="Times New Roman"/>
          <w:b/>
          <w:bCs/>
          <w:color w:val="auto"/>
          <w:sz w:val="28"/>
          <w:szCs w:val="28"/>
          <w:highlight w:val="none"/>
          <w:lang w:val="en-US" w:eastAsia="zh-CN"/>
        </w:rPr>
        <w:t>变更为：</w:t>
      </w:r>
      <w:r>
        <w:rPr>
          <w:rFonts w:hint="eastAsia" w:cs="Times New Roman"/>
          <w:b w:val="0"/>
          <w:bCs w:val="0"/>
          <w:color w:val="auto"/>
          <w:sz w:val="28"/>
          <w:szCs w:val="28"/>
          <w:highlight w:val="none"/>
          <w:lang w:eastAsia="zh-CN"/>
        </w:rPr>
        <w:t>“</w:t>
      </w:r>
      <w:r>
        <w:rPr>
          <w:rFonts w:hint="default" w:ascii="Times New Roman" w:hAnsi="Times New Roman" w:eastAsia="仿宋_GB2312" w:cs="Times New Roman"/>
          <w:b w:val="0"/>
          <w:bCs w:val="0"/>
          <w:color w:val="auto"/>
          <w:sz w:val="28"/>
          <w:szCs w:val="28"/>
          <w:highlight w:val="none"/>
        </w:rPr>
        <w:t>递交响应文件截止时间：</w:t>
      </w:r>
      <w:r>
        <w:rPr>
          <w:rFonts w:hint="eastAsia" w:ascii="Times New Roman" w:hAnsi="Times New Roman" w:eastAsia="仿宋_GB2312" w:cs="Times New Roman"/>
          <w:b/>
          <w:bCs/>
          <w:color w:val="auto"/>
          <w:sz w:val="28"/>
          <w:szCs w:val="28"/>
          <w:highlight w:val="none"/>
          <w:lang w:eastAsia="zh-CN"/>
        </w:rPr>
        <w:t>2025年</w:t>
      </w:r>
      <w:r>
        <w:rPr>
          <w:rFonts w:hint="eastAsia" w:ascii="Times New Roman" w:hAnsi="Times New Roman" w:eastAsia="仿宋_GB2312" w:cs="Times New Roman"/>
          <w:b/>
          <w:bCs/>
          <w:color w:val="auto"/>
          <w:sz w:val="28"/>
          <w:szCs w:val="28"/>
          <w:highlight w:val="none"/>
          <w:lang w:val="en-US" w:eastAsia="zh-CN"/>
        </w:rPr>
        <w:t>12</w:t>
      </w:r>
      <w:r>
        <w:rPr>
          <w:rFonts w:hint="eastAsia" w:ascii="Times New Roman" w:hAnsi="Times New Roman" w:eastAsia="仿宋_GB2312" w:cs="Times New Roman"/>
          <w:b/>
          <w:bCs/>
          <w:color w:val="auto"/>
          <w:sz w:val="28"/>
          <w:szCs w:val="28"/>
          <w:highlight w:val="none"/>
          <w:lang w:eastAsia="zh-CN"/>
        </w:rPr>
        <w:t>月</w:t>
      </w:r>
      <w:r>
        <w:rPr>
          <w:rFonts w:hint="eastAsia" w:cs="Times New Roman"/>
          <w:b/>
          <w:bCs/>
          <w:color w:val="auto"/>
          <w:sz w:val="28"/>
          <w:szCs w:val="28"/>
          <w:highlight w:val="none"/>
          <w:lang w:val="en-US" w:eastAsia="zh-CN"/>
        </w:rPr>
        <w:t>22</w:t>
      </w:r>
      <w:r>
        <w:rPr>
          <w:rFonts w:hint="eastAsia" w:ascii="Times New Roman" w:hAnsi="Times New Roman" w:eastAsia="仿宋_GB2312" w:cs="Times New Roman"/>
          <w:b/>
          <w:bCs/>
          <w:color w:val="auto"/>
          <w:sz w:val="28"/>
          <w:szCs w:val="28"/>
          <w:highlight w:val="none"/>
          <w:lang w:eastAsia="zh-CN"/>
        </w:rPr>
        <w:t>日</w:t>
      </w:r>
      <w:r>
        <w:rPr>
          <w:rFonts w:hint="default" w:ascii="Times New Roman" w:hAnsi="Times New Roman" w:eastAsia="仿宋_GB2312" w:cs="Times New Roman"/>
          <w:b w:val="0"/>
          <w:bCs w:val="0"/>
          <w:color w:val="auto"/>
          <w:sz w:val="28"/>
          <w:szCs w:val="28"/>
          <w:highlight w:val="none"/>
          <w:lang w:val="en-US" w:eastAsia="zh-CN"/>
        </w:rPr>
        <w:t>10</w:t>
      </w:r>
      <w:r>
        <w:rPr>
          <w:rFonts w:hint="default" w:ascii="Times New Roman" w:hAnsi="Times New Roman" w:eastAsia="仿宋_GB2312" w:cs="Times New Roman"/>
          <w:b w:val="0"/>
          <w:bCs w:val="0"/>
          <w:color w:val="auto"/>
          <w:sz w:val="28"/>
          <w:szCs w:val="28"/>
          <w:highlight w:val="none"/>
        </w:rPr>
        <w:t>:</w:t>
      </w:r>
      <w:r>
        <w:rPr>
          <w:rFonts w:hint="default" w:ascii="Times New Roman" w:hAnsi="Times New Roman" w:eastAsia="仿宋_GB2312" w:cs="Times New Roman"/>
          <w:b w:val="0"/>
          <w:bCs w:val="0"/>
          <w:color w:val="auto"/>
          <w:sz w:val="28"/>
          <w:szCs w:val="28"/>
          <w:highlight w:val="none"/>
          <w:lang w:val="en-US" w:eastAsia="zh-CN"/>
        </w:rPr>
        <w:t>0</w:t>
      </w:r>
      <w:r>
        <w:rPr>
          <w:rFonts w:hint="default" w:ascii="Times New Roman" w:hAnsi="Times New Roman" w:eastAsia="仿宋_GB2312" w:cs="Times New Roman"/>
          <w:b w:val="0"/>
          <w:bCs w:val="0"/>
          <w:color w:val="auto"/>
          <w:sz w:val="28"/>
          <w:szCs w:val="28"/>
          <w:highlight w:val="none"/>
        </w:rPr>
        <w:t>0（北京时间）</w:t>
      </w:r>
      <w:r>
        <w:rPr>
          <w:rFonts w:hint="eastAsia" w:cs="Times New Roman"/>
          <w:b w:val="0"/>
          <w:bCs w:val="0"/>
          <w:color w:val="auto"/>
          <w:sz w:val="28"/>
          <w:szCs w:val="28"/>
          <w:highlight w:val="none"/>
          <w:lang w:eastAsia="zh-CN"/>
        </w:rPr>
        <w:t>”。</w:t>
      </w:r>
    </w:p>
    <w:p w14:paraId="71F743CA">
      <w:pPr>
        <w:keepNext w:val="0"/>
        <w:keepLines w:val="0"/>
        <w:pageBreakBefore w:val="0"/>
        <w:widowControl w:val="0"/>
        <w:kinsoku/>
        <w:wordWrap/>
        <w:overflowPunct/>
        <w:topLinePunct w:val="0"/>
        <w:bidi w:val="0"/>
        <w:spacing w:after="0" w:line="480" w:lineRule="exact"/>
        <w:ind w:firstLine="552" w:firstLineChars="200"/>
        <w:textAlignment w:val="auto"/>
        <w:rPr>
          <w:rFonts w:hint="eastAsia" w:ascii="Times New Roman" w:hAnsi="Times New Roman" w:eastAsia="仿宋_GB2312" w:cs="Times New Roman"/>
          <w:b w:val="0"/>
          <w:bCs w:val="0"/>
          <w:color w:val="auto"/>
          <w:sz w:val="28"/>
          <w:szCs w:val="28"/>
          <w:highlight w:val="none"/>
          <w:lang w:val="en-US" w:eastAsia="zh-CN"/>
        </w:rPr>
      </w:pPr>
      <w:r>
        <w:rPr>
          <w:rFonts w:hint="default" w:ascii="Times New Roman" w:hAnsi="Times New Roman" w:eastAsia="仿宋_GB2312" w:cs="Times New Roman"/>
          <w:b w:val="0"/>
          <w:bCs w:val="0"/>
          <w:color w:val="auto"/>
          <w:sz w:val="28"/>
          <w:szCs w:val="28"/>
          <w:highlight w:val="none"/>
        </w:rPr>
        <w:t>保证金交纳截止时间</w:t>
      </w:r>
      <w:r>
        <w:rPr>
          <w:rFonts w:hint="eastAsia" w:cs="Times New Roman"/>
          <w:b w:val="0"/>
          <w:bCs w:val="0"/>
          <w:color w:val="auto"/>
          <w:sz w:val="28"/>
          <w:szCs w:val="28"/>
          <w:highlight w:val="none"/>
          <w:lang w:eastAsia="zh-CN"/>
        </w:rPr>
        <w:t>：</w:t>
      </w:r>
      <w:r>
        <w:rPr>
          <w:rFonts w:hint="default" w:ascii="Times New Roman" w:hAnsi="Times New Roman" w:eastAsia="仿宋_GB2312" w:cs="Times New Roman"/>
          <w:b w:val="0"/>
          <w:bCs w:val="0"/>
          <w:color w:val="auto"/>
          <w:sz w:val="28"/>
          <w:szCs w:val="28"/>
          <w:highlight w:val="none"/>
        </w:rPr>
        <w:t>同递交响应文件截止时间</w:t>
      </w:r>
      <w:r>
        <w:rPr>
          <w:rFonts w:hint="eastAsia" w:ascii="Times New Roman" w:hAnsi="Times New Roman" w:eastAsia="仿宋_GB2312" w:cs="Times New Roman"/>
          <w:b w:val="0"/>
          <w:bCs w:val="0"/>
          <w:color w:val="auto"/>
          <w:sz w:val="28"/>
          <w:szCs w:val="28"/>
          <w:highlight w:val="none"/>
          <w:lang w:eastAsia="zh-CN"/>
        </w:rPr>
        <w:t>。</w:t>
      </w:r>
    </w:p>
    <w:p w14:paraId="13889E1C">
      <w:pPr>
        <w:keepNext w:val="0"/>
        <w:keepLines w:val="0"/>
        <w:pageBreakBefore w:val="0"/>
        <w:widowControl w:val="0"/>
        <w:kinsoku/>
        <w:wordWrap/>
        <w:overflowPunct/>
        <w:topLinePunct w:val="0"/>
        <w:autoSpaceDE/>
        <w:autoSpaceDN/>
        <w:bidi w:val="0"/>
        <w:adjustRightInd/>
        <w:snapToGrid/>
        <w:spacing w:line="480" w:lineRule="exact"/>
        <w:ind w:firstLine="55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cs="仿宋_GB2312"/>
          <w:b/>
          <w:bCs/>
          <w:color w:val="auto"/>
          <w:sz w:val="28"/>
          <w:szCs w:val="28"/>
          <w:highlight w:val="none"/>
          <w:lang w:val="en-US" w:eastAsia="zh-CN"/>
        </w:rPr>
        <w:t>三、</w:t>
      </w:r>
      <w:r>
        <w:rPr>
          <w:rFonts w:hint="eastAsia" w:ascii="仿宋_GB2312" w:hAnsi="仿宋_GB2312" w:eastAsia="仿宋_GB2312" w:cs="仿宋_GB2312"/>
          <w:b/>
          <w:bCs/>
          <w:color w:val="auto"/>
          <w:sz w:val="28"/>
          <w:szCs w:val="28"/>
          <w:highlight w:val="none"/>
          <w:lang w:val="en-US" w:eastAsia="zh-CN"/>
        </w:rPr>
        <w:t>其他事项不变。</w:t>
      </w:r>
    </w:p>
    <w:p w14:paraId="06018253">
      <w:pPr>
        <w:pStyle w:val="18"/>
        <w:keepNext w:val="0"/>
        <w:keepLines w:val="0"/>
        <w:pageBreakBefore w:val="0"/>
        <w:kinsoku/>
        <w:wordWrap/>
        <w:overflowPunct/>
        <w:topLinePunct w:val="0"/>
        <w:autoSpaceDE/>
        <w:autoSpaceDN/>
        <w:bidi w:val="0"/>
        <w:adjustRightInd/>
        <w:snapToGrid/>
        <w:spacing w:line="480" w:lineRule="exact"/>
        <w:ind w:firstLine="560"/>
        <w:textAlignment w:val="auto"/>
        <w:rPr>
          <w:rFonts w:hint="eastAsia" w:ascii="仿宋_GB2312" w:hAnsi="仿宋_GB2312" w:cs="仿宋_GB2312"/>
          <w:color w:val="auto"/>
          <w:sz w:val="28"/>
          <w:szCs w:val="28"/>
          <w:highlight w:val="none"/>
          <w:lang w:val="en-US" w:eastAsia="zh-CN"/>
        </w:rPr>
      </w:pPr>
      <w:r>
        <w:rPr>
          <w:rFonts w:hint="eastAsia" w:ascii="仿宋_GB2312" w:hAnsi="仿宋_GB2312" w:cs="仿宋_GB2312"/>
          <w:b/>
          <w:bCs/>
          <w:color w:val="auto"/>
          <w:sz w:val="28"/>
          <w:szCs w:val="28"/>
          <w:highlight w:val="none"/>
          <w:lang w:val="en-US" w:eastAsia="zh-CN"/>
        </w:rPr>
        <w:t xml:space="preserve">四、联系方式     </w:t>
      </w:r>
      <w:r>
        <w:rPr>
          <w:rFonts w:hint="eastAsia" w:ascii="仿宋_GB2312" w:hAnsi="仿宋_GB2312" w:cs="仿宋_GB2312"/>
          <w:color w:val="auto"/>
          <w:sz w:val="28"/>
          <w:szCs w:val="28"/>
          <w:highlight w:val="none"/>
          <w:lang w:val="en-US" w:eastAsia="zh-CN"/>
        </w:rPr>
        <w:t xml:space="preserve">  </w:t>
      </w:r>
    </w:p>
    <w:p w14:paraId="73D83DD0">
      <w:pPr>
        <w:keepNext w:val="0"/>
        <w:keepLines w:val="0"/>
        <w:pageBreakBefore w:val="0"/>
        <w:widowControl w:val="0"/>
        <w:kinsoku/>
        <w:wordWrap/>
        <w:overflowPunct/>
        <w:topLinePunct w:val="0"/>
        <w:bidi w:val="0"/>
        <w:spacing w:line="480" w:lineRule="exact"/>
        <w:ind w:firstLine="552" w:firstLineChars="200"/>
        <w:textAlignment w:val="auto"/>
        <w:rPr>
          <w:rFonts w:hint="default" w:ascii="Times New Roman" w:hAnsi="Times New Roman" w:eastAsia="仿宋_GB2312" w:cs="Times New Roman"/>
          <w:color w:val="auto"/>
          <w:sz w:val="28"/>
          <w:szCs w:val="28"/>
          <w:highlight w:val="none"/>
          <w:lang w:eastAsia="zh-CN" w:bidi="ar-SA"/>
        </w:rPr>
      </w:pPr>
      <w:r>
        <w:rPr>
          <w:rFonts w:hint="default" w:ascii="Times New Roman" w:hAnsi="Times New Roman" w:eastAsia="仿宋_GB2312" w:cs="Times New Roman"/>
          <w:color w:val="auto"/>
          <w:sz w:val="28"/>
          <w:szCs w:val="28"/>
          <w:highlight w:val="none"/>
        </w:rPr>
        <w:t>采 购 人：</w:t>
      </w:r>
      <w:r>
        <w:rPr>
          <w:rFonts w:hint="eastAsia" w:ascii="Times New Roman" w:hAnsi="Times New Roman" w:eastAsia="仿宋_GB2312" w:cs="Times New Roman"/>
          <w:color w:val="auto"/>
          <w:sz w:val="28"/>
          <w:szCs w:val="28"/>
          <w:highlight w:val="none"/>
          <w:lang w:eastAsia="zh-CN" w:bidi="ar-SA"/>
        </w:rPr>
        <w:t>广元物流集团有限公司</w:t>
      </w:r>
    </w:p>
    <w:p w14:paraId="6D3CD6AB">
      <w:pPr>
        <w:keepNext w:val="0"/>
        <w:keepLines w:val="0"/>
        <w:pageBreakBefore w:val="0"/>
        <w:widowControl w:val="0"/>
        <w:kinsoku/>
        <w:wordWrap/>
        <w:overflowPunct/>
        <w:topLinePunct w:val="0"/>
        <w:bidi w:val="0"/>
        <w:spacing w:line="480" w:lineRule="exact"/>
        <w:ind w:firstLine="552" w:firstLineChars="200"/>
        <w:textAlignment w:val="auto"/>
        <w:rPr>
          <w:rFonts w:hint="eastAsia" w:ascii="Times New Roman" w:hAnsi="Times New Roman" w:eastAsia="仿宋_GB2312" w:cs="Times New Roman"/>
          <w:color w:val="auto"/>
          <w:sz w:val="28"/>
          <w:szCs w:val="28"/>
          <w:highlight w:val="none"/>
          <w:lang w:val="en-US" w:eastAsia="zh-CN" w:bidi="ar-SA"/>
        </w:rPr>
      </w:pPr>
      <w:r>
        <w:rPr>
          <w:rFonts w:hint="default" w:ascii="Times New Roman" w:hAnsi="Times New Roman" w:eastAsia="仿宋_GB2312" w:cs="Times New Roman"/>
          <w:color w:val="auto"/>
          <w:sz w:val="28"/>
          <w:szCs w:val="28"/>
          <w:highlight w:val="none"/>
          <w:lang w:eastAsia="zh-CN" w:bidi="ar-SA"/>
        </w:rPr>
        <w:t>通讯地址：广元市利州区上西街道江北社区五仙路200号</w:t>
      </w:r>
    </w:p>
    <w:p w14:paraId="1F714673">
      <w:pPr>
        <w:keepNext w:val="0"/>
        <w:keepLines w:val="0"/>
        <w:pageBreakBefore w:val="0"/>
        <w:widowControl w:val="0"/>
        <w:kinsoku/>
        <w:wordWrap/>
        <w:overflowPunct/>
        <w:topLinePunct w:val="0"/>
        <w:bidi w:val="0"/>
        <w:spacing w:line="480" w:lineRule="exact"/>
        <w:ind w:firstLine="552" w:firstLineChars="200"/>
        <w:textAlignment w:val="auto"/>
        <w:rPr>
          <w:rFonts w:hint="default" w:ascii="Times New Roman" w:hAnsi="Times New Roman" w:eastAsia="仿宋_GB2312" w:cs="Times New Roman"/>
          <w:color w:val="auto"/>
          <w:sz w:val="28"/>
          <w:szCs w:val="28"/>
          <w:highlight w:val="none"/>
          <w:lang w:eastAsia="zh-CN" w:bidi="ar-SA"/>
        </w:rPr>
      </w:pPr>
      <w:r>
        <w:rPr>
          <w:rFonts w:hint="default" w:ascii="Times New Roman" w:hAnsi="Times New Roman" w:eastAsia="仿宋_GB2312" w:cs="Times New Roman"/>
          <w:color w:val="auto"/>
          <w:sz w:val="28"/>
          <w:szCs w:val="28"/>
          <w:highlight w:val="none"/>
          <w:lang w:eastAsia="zh-CN" w:bidi="ar-SA"/>
        </w:rPr>
        <w:t>联 系 人：</w:t>
      </w:r>
      <w:r>
        <w:rPr>
          <w:rFonts w:hint="eastAsia" w:ascii="Times New Roman" w:hAnsi="Times New Roman" w:eastAsia="仿宋_GB2312" w:cs="Times New Roman"/>
          <w:color w:val="auto"/>
          <w:sz w:val="28"/>
          <w:szCs w:val="28"/>
          <w:highlight w:val="none"/>
          <w:lang w:val="en-US" w:eastAsia="zh-CN" w:bidi="ar-SA"/>
        </w:rPr>
        <w:t>杨</w:t>
      </w:r>
      <w:r>
        <w:rPr>
          <w:rFonts w:hint="eastAsia" w:ascii="Times New Roman" w:hAnsi="Times New Roman" w:eastAsia="仿宋_GB2312" w:cs="Times New Roman"/>
          <w:color w:val="auto"/>
          <w:sz w:val="28"/>
          <w:szCs w:val="28"/>
          <w:highlight w:val="none"/>
          <w:lang w:eastAsia="zh-CN" w:bidi="ar-SA"/>
        </w:rPr>
        <w:t>先生</w:t>
      </w:r>
    </w:p>
    <w:p w14:paraId="7AE3E30E">
      <w:pPr>
        <w:keepNext w:val="0"/>
        <w:keepLines w:val="0"/>
        <w:pageBreakBefore w:val="0"/>
        <w:widowControl w:val="0"/>
        <w:kinsoku/>
        <w:wordWrap/>
        <w:overflowPunct/>
        <w:topLinePunct w:val="0"/>
        <w:bidi w:val="0"/>
        <w:spacing w:line="480" w:lineRule="exact"/>
        <w:ind w:firstLine="552" w:firstLineChars="200"/>
        <w:textAlignment w:val="auto"/>
        <w:rPr>
          <w:rFonts w:hint="default" w:ascii="Times New Roman" w:hAnsi="Times New Roman" w:eastAsia="仿宋_GB2312" w:cs="Times New Roman"/>
          <w:color w:val="auto"/>
          <w:sz w:val="28"/>
          <w:szCs w:val="28"/>
          <w:highlight w:val="none"/>
          <w:lang w:val="en-US" w:eastAsia="zh-CN" w:bidi="ar-SA"/>
        </w:rPr>
      </w:pPr>
      <w:r>
        <w:rPr>
          <w:rFonts w:hint="default" w:ascii="Times New Roman" w:hAnsi="Times New Roman" w:eastAsia="仿宋_GB2312" w:cs="Times New Roman"/>
          <w:color w:val="auto"/>
          <w:sz w:val="28"/>
          <w:szCs w:val="28"/>
          <w:highlight w:val="none"/>
          <w:lang w:val="en-US" w:eastAsia="zh-CN" w:bidi="ar-SA"/>
        </w:rPr>
        <w:t>联系电话：</w:t>
      </w:r>
      <w:r>
        <w:rPr>
          <w:rFonts w:hint="eastAsia" w:ascii="Times New Roman" w:hAnsi="Times New Roman" w:eastAsia="仿宋_GB2312" w:cs="Times New Roman"/>
          <w:color w:val="auto"/>
          <w:sz w:val="28"/>
          <w:szCs w:val="28"/>
          <w:highlight w:val="none"/>
          <w:lang w:val="en-US" w:eastAsia="zh-CN" w:bidi="ar-SA"/>
        </w:rPr>
        <w:t>17311626116</w:t>
      </w:r>
    </w:p>
    <w:p w14:paraId="2A4800BD">
      <w:pPr>
        <w:keepNext w:val="0"/>
        <w:keepLines w:val="0"/>
        <w:pageBreakBefore w:val="0"/>
        <w:widowControl w:val="0"/>
        <w:kinsoku/>
        <w:wordWrap/>
        <w:overflowPunct/>
        <w:topLinePunct w:val="0"/>
        <w:bidi w:val="0"/>
        <w:snapToGrid/>
        <w:spacing w:afterLines="0" w:line="480" w:lineRule="exact"/>
        <w:ind w:left="0" w:leftChars="0" w:firstLine="552" w:firstLineChars="200"/>
        <w:textAlignment w:val="auto"/>
        <w:rPr>
          <w:rFonts w:hint="default" w:ascii="Times New Roman" w:hAnsi="Times New Roman" w:eastAsia="仿宋_GB2312" w:cs="Times New Roman"/>
          <w:color w:val="auto"/>
          <w:sz w:val="28"/>
          <w:szCs w:val="28"/>
          <w:highlight w:val="none"/>
        </w:rPr>
      </w:pPr>
    </w:p>
    <w:p w14:paraId="2C3567AE">
      <w:pPr>
        <w:keepNext w:val="0"/>
        <w:keepLines w:val="0"/>
        <w:pageBreakBefore w:val="0"/>
        <w:widowControl w:val="0"/>
        <w:kinsoku/>
        <w:wordWrap/>
        <w:overflowPunct/>
        <w:topLinePunct w:val="0"/>
        <w:bidi w:val="0"/>
        <w:snapToGrid/>
        <w:spacing w:afterLines="0" w:line="480" w:lineRule="exact"/>
        <w:ind w:firstLine="552" w:firstLineChars="200"/>
        <w:jc w:val="left"/>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b w:val="0"/>
          <w:bCs w:val="0"/>
          <w:color w:val="auto"/>
          <w:sz w:val="28"/>
          <w:szCs w:val="28"/>
          <w:highlight w:val="none"/>
        </w:rPr>
        <w:t>采购代理机构：</w:t>
      </w:r>
      <w:r>
        <w:rPr>
          <w:rFonts w:hint="default" w:ascii="Times New Roman" w:hAnsi="Times New Roman" w:eastAsia="仿宋_GB2312" w:cs="Times New Roman"/>
          <w:color w:val="auto"/>
          <w:sz w:val="28"/>
          <w:szCs w:val="28"/>
          <w:highlight w:val="none"/>
        </w:rPr>
        <w:t>西南联合产权交易所有限责任公司广元分所</w:t>
      </w:r>
    </w:p>
    <w:p w14:paraId="5BCE14D9">
      <w:pPr>
        <w:keepNext w:val="0"/>
        <w:keepLines w:val="0"/>
        <w:pageBreakBefore w:val="0"/>
        <w:widowControl w:val="0"/>
        <w:kinsoku/>
        <w:wordWrap/>
        <w:overflowPunct/>
        <w:topLinePunct w:val="0"/>
        <w:bidi w:val="0"/>
        <w:spacing w:afterLines="0" w:line="480" w:lineRule="exact"/>
        <w:ind w:left="0" w:leftChars="0" w:firstLine="552" w:firstLineChars="200"/>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lang w:eastAsia="zh-CN"/>
        </w:rPr>
        <w:t>通讯</w:t>
      </w:r>
      <w:r>
        <w:rPr>
          <w:rFonts w:hint="default" w:ascii="Times New Roman" w:hAnsi="Times New Roman" w:eastAsia="仿宋_GB2312" w:cs="Times New Roman"/>
          <w:color w:val="auto"/>
          <w:sz w:val="28"/>
          <w:szCs w:val="28"/>
          <w:highlight w:val="none"/>
        </w:rPr>
        <w:t>地址：四川省广元市万缘街道玉潭路50号市政务服务和公共资源交易中心A区5楼</w:t>
      </w:r>
    </w:p>
    <w:p w14:paraId="7898CD76">
      <w:pPr>
        <w:keepNext w:val="0"/>
        <w:keepLines w:val="0"/>
        <w:pageBreakBefore w:val="0"/>
        <w:widowControl w:val="0"/>
        <w:kinsoku/>
        <w:wordWrap/>
        <w:overflowPunct/>
        <w:topLinePunct w:val="0"/>
        <w:bidi w:val="0"/>
        <w:spacing w:afterLines="0" w:line="480" w:lineRule="exact"/>
        <w:ind w:left="0" w:leftChars="0" w:firstLine="552" w:firstLineChars="200"/>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联 系 人：</w:t>
      </w:r>
      <w:r>
        <w:rPr>
          <w:rFonts w:hint="eastAsia" w:ascii="Times New Roman" w:hAnsi="Times New Roman" w:eastAsia="仿宋_GB2312" w:cs="Times New Roman"/>
          <w:color w:val="auto"/>
          <w:sz w:val="28"/>
          <w:szCs w:val="28"/>
          <w:highlight w:val="none"/>
          <w:lang w:val="en-US" w:eastAsia="zh-CN"/>
        </w:rPr>
        <w:t>杨女士</w:t>
      </w:r>
    </w:p>
    <w:p w14:paraId="5BBD8DC4">
      <w:pPr>
        <w:keepNext w:val="0"/>
        <w:keepLines w:val="0"/>
        <w:pageBreakBefore w:val="0"/>
        <w:widowControl w:val="0"/>
        <w:kinsoku/>
        <w:wordWrap/>
        <w:overflowPunct/>
        <w:topLinePunct w:val="0"/>
        <w:bidi w:val="0"/>
        <w:spacing w:afterLines="0" w:line="480" w:lineRule="exact"/>
        <w:ind w:firstLine="552" w:firstLineChars="200"/>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联系电话：</w:t>
      </w:r>
      <w:r>
        <w:rPr>
          <w:rFonts w:hint="default" w:ascii="Times New Roman" w:hAnsi="Times New Roman" w:eastAsia="仿宋_GB2312" w:cs="Times New Roman"/>
          <w:color w:val="auto"/>
          <w:sz w:val="28"/>
          <w:szCs w:val="28"/>
          <w:highlight w:val="none"/>
          <w:lang w:eastAsia="zh-CN"/>
        </w:rPr>
        <w:t>0839-3275293</w:t>
      </w:r>
      <w:r>
        <w:rPr>
          <w:rFonts w:hint="default" w:ascii="Times New Roman" w:hAnsi="Times New Roman" w:eastAsia="仿宋_GB2312" w:cs="Times New Roman"/>
          <w:color w:val="auto"/>
          <w:sz w:val="28"/>
          <w:szCs w:val="28"/>
          <w:highlight w:val="none"/>
        </w:rPr>
        <w:t xml:space="preserve"> </w:t>
      </w:r>
      <w:r>
        <w:rPr>
          <w:rFonts w:hint="default" w:ascii="Times New Roman" w:hAnsi="Times New Roman" w:eastAsia="仿宋_GB2312" w:cs="Times New Roman"/>
          <w:color w:val="auto"/>
          <w:sz w:val="28"/>
          <w:szCs w:val="28"/>
          <w:highlight w:val="none"/>
          <w:lang w:val="en-US" w:eastAsia="zh-CN"/>
        </w:rPr>
        <w:t xml:space="preserve"> </w:t>
      </w:r>
      <w:r>
        <w:rPr>
          <w:rFonts w:hint="eastAsia" w:ascii="Times New Roman" w:hAnsi="Times New Roman" w:eastAsia="仿宋_GB2312" w:cs="Times New Roman"/>
          <w:color w:val="auto"/>
          <w:sz w:val="28"/>
          <w:szCs w:val="28"/>
          <w:highlight w:val="none"/>
          <w:lang w:val="en-US" w:eastAsia="zh-CN"/>
        </w:rPr>
        <w:t>13981238036</w:t>
      </w:r>
    </w:p>
    <w:p w14:paraId="2383241C">
      <w:pPr>
        <w:pStyle w:val="4"/>
        <w:keepNext w:val="0"/>
        <w:keepLines w:val="0"/>
        <w:pageBreakBefore w:val="0"/>
        <w:kinsoku/>
        <w:wordWrap/>
        <w:overflowPunct/>
        <w:topLinePunct w:val="0"/>
        <w:autoSpaceDE/>
        <w:autoSpaceDN/>
        <w:bidi w:val="0"/>
        <w:adjustRightInd/>
        <w:snapToGrid/>
        <w:spacing w:line="480" w:lineRule="exact"/>
        <w:ind w:firstLine="55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cs="仿宋_GB2312"/>
          <w:b/>
          <w:bCs/>
          <w:color w:val="auto"/>
          <w:sz w:val="28"/>
          <w:szCs w:val="28"/>
          <w:highlight w:val="none"/>
          <w:lang w:val="en-US" w:eastAsia="zh-CN"/>
        </w:rPr>
        <w:t>竞争性谈判文件</w:t>
      </w:r>
      <w:r>
        <w:rPr>
          <w:rFonts w:hint="eastAsia" w:ascii="仿宋_GB2312" w:hAnsi="仿宋_GB2312" w:eastAsia="仿宋_GB2312" w:cs="仿宋_GB2312"/>
          <w:b/>
          <w:bCs/>
          <w:color w:val="auto"/>
          <w:sz w:val="28"/>
          <w:szCs w:val="28"/>
          <w:highlight w:val="none"/>
          <w:lang w:val="en-US" w:eastAsia="zh-CN"/>
        </w:rPr>
        <w:t xml:space="preserve">》相应条款与本公告有不一致之处，以本公告为准。 </w:t>
      </w:r>
    </w:p>
    <w:p w14:paraId="6580D433">
      <w:pPr>
        <w:pStyle w:val="18"/>
        <w:spacing w:line="480" w:lineRule="exact"/>
        <w:ind w:firstLine="560"/>
        <w:jc w:val="right"/>
        <w:rPr>
          <w:rFonts w:hint="eastAsia" w:ascii="仿宋_GB2312" w:hAnsi="仿宋_GB2312" w:eastAsia="仿宋_GB2312" w:cs="仿宋_GB2312"/>
          <w:color w:val="auto"/>
          <w:kern w:val="2"/>
          <w:sz w:val="28"/>
          <w:szCs w:val="28"/>
          <w:highlight w:val="none"/>
          <w:lang w:val="en-US" w:eastAsia="zh-CN" w:bidi="ar-SA"/>
        </w:rPr>
      </w:pPr>
    </w:p>
    <w:p w14:paraId="1BFE3716">
      <w:pPr>
        <w:pStyle w:val="18"/>
        <w:spacing w:line="480" w:lineRule="exact"/>
        <w:ind w:firstLine="560"/>
        <w:jc w:val="right"/>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广元物流集团有限公司</w:t>
      </w:r>
    </w:p>
    <w:p w14:paraId="6D247960">
      <w:pPr>
        <w:pStyle w:val="18"/>
        <w:spacing w:line="480" w:lineRule="exact"/>
        <w:ind w:firstLine="560"/>
        <w:jc w:val="right"/>
        <w:rPr>
          <w:rFonts w:hint="default"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kern w:val="2"/>
          <w:sz w:val="28"/>
          <w:szCs w:val="28"/>
          <w:highlight w:val="none"/>
          <w:lang w:val="en-US" w:eastAsia="zh-CN" w:bidi="ar-SA"/>
        </w:rPr>
        <w:t>2025年12月18日</w:t>
      </w:r>
      <w:r>
        <w:rPr>
          <w:rFonts w:hint="eastAsia" w:ascii="仿宋_GB2312" w:hAnsi="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val="en-US" w:eastAsia="zh-CN"/>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headerReference r:id="rId4" w:type="first"/>
      <w:footerReference r:id="rId7" w:type="first"/>
      <w:footerReference r:id="rId5" w:type="default"/>
      <w:headerReference r:id="rId3" w:type="even"/>
      <w:footerReference r:id="rId6" w:type="even"/>
      <w:pgSz w:w="11906" w:h="16838"/>
      <w:pgMar w:top="1984" w:right="1587" w:bottom="1984" w:left="1587" w:header="851" w:footer="1400" w:gutter="0"/>
      <w:pgNumType w:fmt="numberInDash" w:start="1"/>
      <w:cols w:space="425" w:num="1"/>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1" w:fontKey="{79D65D0B-B9A0-4A5E-9BFC-E7AB61A97D34}"/>
  </w:font>
  <w:font w:name="Cambria">
    <w:panose1 w:val="02040503050406030204"/>
    <w:charset w:val="00"/>
    <w:family w:val="roman"/>
    <w:pitch w:val="default"/>
    <w:sig w:usb0="E00006FF" w:usb1="420024FF" w:usb2="02000000" w:usb3="00000000" w:csb0="2000019F" w:csb1="00000000"/>
  </w:font>
  <w:font w:name="New Berolina">
    <w:altName w:val="Courier New"/>
    <w:panose1 w:val="00000000000000000000"/>
    <w:charset w:val="00"/>
    <w:family w:val="script"/>
    <w:pitch w:val="default"/>
    <w:sig w:usb0="00000000" w:usb1="00000000" w:usb2="00000000" w:usb3="00000000" w:csb0="00000001" w:csb1="00000000"/>
  </w:font>
  <w:font w:name="WPSEMBED4">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5928E">
    <w:pPr>
      <w:pStyle w:val="6"/>
      <w:rPr>
        <w:rFonts w:ascii="宋体" w:hAnsi="宋体" w:eastAsia="宋体"/>
        <w:sz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F8DDF7">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2F8DDF7">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90587">
    <w:pPr>
      <w:pStyle w:val="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295E3">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ED07D">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90404">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58"/>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3ODMyNmNjNTZiYTllYjk0YWY5MDI1OTFlOWY5NWIifQ=="/>
  </w:docVars>
  <w:rsids>
    <w:rsidRoot w:val="00EF134C"/>
    <w:rsid w:val="000B44D3"/>
    <w:rsid w:val="00164E7D"/>
    <w:rsid w:val="004C1086"/>
    <w:rsid w:val="0054538B"/>
    <w:rsid w:val="00616140"/>
    <w:rsid w:val="00C352A3"/>
    <w:rsid w:val="00CE72AE"/>
    <w:rsid w:val="00D24FF0"/>
    <w:rsid w:val="00E431FC"/>
    <w:rsid w:val="00EF134C"/>
    <w:rsid w:val="010333FC"/>
    <w:rsid w:val="01A331FC"/>
    <w:rsid w:val="01CD1F85"/>
    <w:rsid w:val="02374DF5"/>
    <w:rsid w:val="024E06A7"/>
    <w:rsid w:val="02832DEA"/>
    <w:rsid w:val="02F079B0"/>
    <w:rsid w:val="02F869CC"/>
    <w:rsid w:val="03443858"/>
    <w:rsid w:val="03662AD9"/>
    <w:rsid w:val="04657F2A"/>
    <w:rsid w:val="04BD5452"/>
    <w:rsid w:val="051E41F2"/>
    <w:rsid w:val="05522598"/>
    <w:rsid w:val="059E36F3"/>
    <w:rsid w:val="05AE688C"/>
    <w:rsid w:val="0607580F"/>
    <w:rsid w:val="06782196"/>
    <w:rsid w:val="06FA0DFD"/>
    <w:rsid w:val="071D4AEC"/>
    <w:rsid w:val="07283BBC"/>
    <w:rsid w:val="073A481F"/>
    <w:rsid w:val="07BF4B3B"/>
    <w:rsid w:val="07C05387"/>
    <w:rsid w:val="07F7533D"/>
    <w:rsid w:val="07F933E3"/>
    <w:rsid w:val="08183C31"/>
    <w:rsid w:val="0878022B"/>
    <w:rsid w:val="08AF1853"/>
    <w:rsid w:val="08C43F81"/>
    <w:rsid w:val="09272E13"/>
    <w:rsid w:val="096B305C"/>
    <w:rsid w:val="09D61B19"/>
    <w:rsid w:val="0A0124A3"/>
    <w:rsid w:val="0A5C4538"/>
    <w:rsid w:val="0B114967"/>
    <w:rsid w:val="0B711DF0"/>
    <w:rsid w:val="0B7205B8"/>
    <w:rsid w:val="0B7C7A64"/>
    <w:rsid w:val="0BB15B92"/>
    <w:rsid w:val="0C0F0EA7"/>
    <w:rsid w:val="0C402450"/>
    <w:rsid w:val="0C463FCA"/>
    <w:rsid w:val="0C85355D"/>
    <w:rsid w:val="0D131FA9"/>
    <w:rsid w:val="0D35493D"/>
    <w:rsid w:val="0D8B0A01"/>
    <w:rsid w:val="0DED346A"/>
    <w:rsid w:val="0DF359E2"/>
    <w:rsid w:val="0EA36653"/>
    <w:rsid w:val="0ECA37AB"/>
    <w:rsid w:val="0FF75E80"/>
    <w:rsid w:val="100B5E29"/>
    <w:rsid w:val="10241515"/>
    <w:rsid w:val="10305890"/>
    <w:rsid w:val="106D43EE"/>
    <w:rsid w:val="11252F1A"/>
    <w:rsid w:val="115B2D88"/>
    <w:rsid w:val="118063A3"/>
    <w:rsid w:val="11F723BF"/>
    <w:rsid w:val="122C2D44"/>
    <w:rsid w:val="12E56E05"/>
    <w:rsid w:val="134C5737"/>
    <w:rsid w:val="13803ED5"/>
    <w:rsid w:val="13CA6005"/>
    <w:rsid w:val="14074B59"/>
    <w:rsid w:val="142049A7"/>
    <w:rsid w:val="1424321C"/>
    <w:rsid w:val="14447B5C"/>
    <w:rsid w:val="14885C9A"/>
    <w:rsid w:val="14D709D0"/>
    <w:rsid w:val="14DB2CCB"/>
    <w:rsid w:val="158D3250"/>
    <w:rsid w:val="15F640F5"/>
    <w:rsid w:val="16BE17DE"/>
    <w:rsid w:val="16EB04DC"/>
    <w:rsid w:val="17250B9F"/>
    <w:rsid w:val="17DA4A5F"/>
    <w:rsid w:val="18235CAA"/>
    <w:rsid w:val="185E1C09"/>
    <w:rsid w:val="189F6DC9"/>
    <w:rsid w:val="194F4FD8"/>
    <w:rsid w:val="199E3AFD"/>
    <w:rsid w:val="19B17A41"/>
    <w:rsid w:val="1A554870"/>
    <w:rsid w:val="1A78230D"/>
    <w:rsid w:val="1A9133CF"/>
    <w:rsid w:val="1AEB4F8F"/>
    <w:rsid w:val="1B0139CD"/>
    <w:rsid w:val="1B0B234B"/>
    <w:rsid w:val="1BA55384"/>
    <w:rsid w:val="1BCE6400"/>
    <w:rsid w:val="1C583DCD"/>
    <w:rsid w:val="1C744D56"/>
    <w:rsid w:val="1CB515F6"/>
    <w:rsid w:val="1CD11B58"/>
    <w:rsid w:val="1CD83537"/>
    <w:rsid w:val="1CFF3ED8"/>
    <w:rsid w:val="1D335A79"/>
    <w:rsid w:val="1D626ADB"/>
    <w:rsid w:val="1E884F90"/>
    <w:rsid w:val="1EF26DB7"/>
    <w:rsid w:val="1F284A5C"/>
    <w:rsid w:val="1F5C0367"/>
    <w:rsid w:val="1FAD4497"/>
    <w:rsid w:val="1FEB532F"/>
    <w:rsid w:val="1FF42436"/>
    <w:rsid w:val="20142AD8"/>
    <w:rsid w:val="206E043A"/>
    <w:rsid w:val="20A756FA"/>
    <w:rsid w:val="20E57FD0"/>
    <w:rsid w:val="21217EFC"/>
    <w:rsid w:val="21336F8E"/>
    <w:rsid w:val="21464F13"/>
    <w:rsid w:val="21466CC1"/>
    <w:rsid w:val="218A1A36"/>
    <w:rsid w:val="218E2416"/>
    <w:rsid w:val="227855A0"/>
    <w:rsid w:val="228D0920"/>
    <w:rsid w:val="229121BE"/>
    <w:rsid w:val="229C0B63"/>
    <w:rsid w:val="238374FF"/>
    <w:rsid w:val="23B32608"/>
    <w:rsid w:val="242A5B09"/>
    <w:rsid w:val="245E2574"/>
    <w:rsid w:val="249B37C8"/>
    <w:rsid w:val="24C06D8A"/>
    <w:rsid w:val="24CA7C09"/>
    <w:rsid w:val="24CD5D6E"/>
    <w:rsid w:val="25162E4E"/>
    <w:rsid w:val="253A4D8F"/>
    <w:rsid w:val="254215B0"/>
    <w:rsid w:val="256F6A2F"/>
    <w:rsid w:val="25864737"/>
    <w:rsid w:val="25F969F8"/>
    <w:rsid w:val="26003524"/>
    <w:rsid w:val="2725381D"/>
    <w:rsid w:val="278E4B4D"/>
    <w:rsid w:val="27C066CE"/>
    <w:rsid w:val="281F201A"/>
    <w:rsid w:val="28304227"/>
    <w:rsid w:val="28AA3FD9"/>
    <w:rsid w:val="28C3509B"/>
    <w:rsid w:val="29A61308"/>
    <w:rsid w:val="2A685EFA"/>
    <w:rsid w:val="2AB63DF4"/>
    <w:rsid w:val="2AE632C3"/>
    <w:rsid w:val="2B6F0D18"/>
    <w:rsid w:val="2BE17B45"/>
    <w:rsid w:val="2BE67FEC"/>
    <w:rsid w:val="2D263B0B"/>
    <w:rsid w:val="2D724D1D"/>
    <w:rsid w:val="2D9C5EBB"/>
    <w:rsid w:val="2DF032E1"/>
    <w:rsid w:val="2E053A60"/>
    <w:rsid w:val="2E3624DD"/>
    <w:rsid w:val="2EC17113"/>
    <w:rsid w:val="2F1F6DA3"/>
    <w:rsid w:val="2FAD43AF"/>
    <w:rsid w:val="30F653C4"/>
    <w:rsid w:val="3103697D"/>
    <w:rsid w:val="31BB1005"/>
    <w:rsid w:val="31E22A36"/>
    <w:rsid w:val="325E612F"/>
    <w:rsid w:val="330E33B7"/>
    <w:rsid w:val="341825C6"/>
    <w:rsid w:val="3424001A"/>
    <w:rsid w:val="34F767F8"/>
    <w:rsid w:val="350607E9"/>
    <w:rsid w:val="35673B29"/>
    <w:rsid w:val="35A35F0C"/>
    <w:rsid w:val="36263123"/>
    <w:rsid w:val="362F4765"/>
    <w:rsid w:val="36826596"/>
    <w:rsid w:val="36BF53DF"/>
    <w:rsid w:val="36DE3394"/>
    <w:rsid w:val="36E72755"/>
    <w:rsid w:val="370074BA"/>
    <w:rsid w:val="375515B4"/>
    <w:rsid w:val="3861258D"/>
    <w:rsid w:val="38D417B7"/>
    <w:rsid w:val="39897C3B"/>
    <w:rsid w:val="39C96289"/>
    <w:rsid w:val="3ACA5D1A"/>
    <w:rsid w:val="3AE50DA5"/>
    <w:rsid w:val="3AE55DEA"/>
    <w:rsid w:val="3BD31641"/>
    <w:rsid w:val="3BEF756B"/>
    <w:rsid w:val="3BF27D19"/>
    <w:rsid w:val="3D9D3CB5"/>
    <w:rsid w:val="3E197BF0"/>
    <w:rsid w:val="3E2456A6"/>
    <w:rsid w:val="3E5C76CC"/>
    <w:rsid w:val="3FD61700"/>
    <w:rsid w:val="40543C97"/>
    <w:rsid w:val="40591994"/>
    <w:rsid w:val="40922C1F"/>
    <w:rsid w:val="40A610D2"/>
    <w:rsid w:val="40C557F7"/>
    <w:rsid w:val="41523008"/>
    <w:rsid w:val="41656898"/>
    <w:rsid w:val="4167410A"/>
    <w:rsid w:val="41984EBF"/>
    <w:rsid w:val="42254279"/>
    <w:rsid w:val="428E22BD"/>
    <w:rsid w:val="43036368"/>
    <w:rsid w:val="43543EAA"/>
    <w:rsid w:val="43675A04"/>
    <w:rsid w:val="43AD096D"/>
    <w:rsid w:val="43B41D58"/>
    <w:rsid w:val="43BE6232"/>
    <w:rsid w:val="43EA577A"/>
    <w:rsid w:val="449D459A"/>
    <w:rsid w:val="44B85C48"/>
    <w:rsid w:val="45050DC8"/>
    <w:rsid w:val="450B5ED4"/>
    <w:rsid w:val="45485DE8"/>
    <w:rsid w:val="455E7EDC"/>
    <w:rsid w:val="45F25354"/>
    <w:rsid w:val="462C6C40"/>
    <w:rsid w:val="467B4E31"/>
    <w:rsid w:val="46896F24"/>
    <w:rsid w:val="46E62229"/>
    <w:rsid w:val="47745A86"/>
    <w:rsid w:val="477809B0"/>
    <w:rsid w:val="47D261CA"/>
    <w:rsid w:val="47F53EBD"/>
    <w:rsid w:val="48181F64"/>
    <w:rsid w:val="485D29BF"/>
    <w:rsid w:val="486B30FE"/>
    <w:rsid w:val="48DA58AC"/>
    <w:rsid w:val="493659CA"/>
    <w:rsid w:val="49463453"/>
    <w:rsid w:val="49D83A04"/>
    <w:rsid w:val="49D84A41"/>
    <w:rsid w:val="4A477482"/>
    <w:rsid w:val="4A5831B2"/>
    <w:rsid w:val="4A6E1C2F"/>
    <w:rsid w:val="4A983369"/>
    <w:rsid w:val="4AD36F68"/>
    <w:rsid w:val="4B111EB1"/>
    <w:rsid w:val="4B3F0159"/>
    <w:rsid w:val="4B6127C6"/>
    <w:rsid w:val="4B69167A"/>
    <w:rsid w:val="4C282F72"/>
    <w:rsid w:val="4C383D1F"/>
    <w:rsid w:val="4CF907DC"/>
    <w:rsid w:val="4D0C4372"/>
    <w:rsid w:val="4D624EAF"/>
    <w:rsid w:val="4D7C5695"/>
    <w:rsid w:val="4DF74D1B"/>
    <w:rsid w:val="4E710950"/>
    <w:rsid w:val="4E7B594C"/>
    <w:rsid w:val="4E850579"/>
    <w:rsid w:val="4E9247AF"/>
    <w:rsid w:val="4E974E5E"/>
    <w:rsid w:val="4E9B7D9D"/>
    <w:rsid w:val="4F135B85"/>
    <w:rsid w:val="4F6665FD"/>
    <w:rsid w:val="4FA42C81"/>
    <w:rsid w:val="500749C1"/>
    <w:rsid w:val="500C41CC"/>
    <w:rsid w:val="50175B49"/>
    <w:rsid w:val="504E70C7"/>
    <w:rsid w:val="517E47B9"/>
    <w:rsid w:val="51EB62D3"/>
    <w:rsid w:val="51FC1166"/>
    <w:rsid w:val="526F57C8"/>
    <w:rsid w:val="52B5069B"/>
    <w:rsid w:val="53113CD6"/>
    <w:rsid w:val="53177DB2"/>
    <w:rsid w:val="53784B50"/>
    <w:rsid w:val="53BF17C5"/>
    <w:rsid w:val="54905ECA"/>
    <w:rsid w:val="54E53DE0"/>
    <w:rsid w:val="54E64B55"/>
    <w:rsid w:val="55054CD2"/>
    <w:rsid w:val="55102B67"/>
    <w:rsid w:val="55214D74"/>
    <w:rsid w:val="55264138"/>
    <w:rsid w:val="555B64D8"/>
    <w:rsid w:val="55A57753"/>
    <w:rsid w:val="55CD202F"/>
    <w:rsid w:val="56003734"/>
    <w:rsid w:val="56384123"/>
    <w:rsid w:val="56835B28"/>
    <w:rsid w:val="56DA342C"/>
    <w:rsid w:val="573E5FAE"/>
    <w:rsid w:val="57DA6B97"/>
    <w:rsid w:val="57EA3B43"/>
    <w:rsid w:val="57F14ED1"/>
    <w:rsid w:val="58907EDA"/>
    <w:rsid w:val="595B0854"/>
    <w:rsid w:val="5985185B"/>
    <w:rsid w:val="59967ADE"/>
    <w:rsid w:val="5A0636D9"/>
    <w:rsid w:val="5A4532B2"/>
    <w:rsid w:val="5A6B0F6B"/>
    <w:rsid w:val="5AA26167"/>
    <w:rsid w:val="5AC86880"/>
    <w:rsid w:val="5B22139F"/>
    <w:rsid w:val="5B490B80"/>
    <w:rsid w:val="5BDC19F5"/>
    <w:rsid w:val="5D137698"/>
    <w:rsid w:val="5DAE4FBE"/>
    <w:rsid w:val="5E895D4D"/>
    <w:rsid w:val="5E9B5364"/>
    <w:rsid w:val="5F1A4D0E"/>
    <w:rsid w:val="5F3D09FC"/>
    <w:rsid w:val="5F6D7533"/>
    <w:rsid w:val="5F903222"/>
    <w:rsid w:val="5FD83BC7"/>
    <w:rsid w:val="5FEA0B84"/>
    <w:rsid w:val="606A3A73"/>
    <w:rsid w:val="609B3C2C"/>
    <w:rsid w:val="60E17BFE"/>
    <w:rsid w:val="611532BA"/>
    <w:rsid w:val="61412A26"/>
    <w:rsid w:val="615B4FC8"/>
    <w:rsid w:val="61BF394A"/>
    <w:rsid w:val="61D11B21"/>
    <w:rsid w:val="61D64143"/>
    <w:rsid w:val="61DF188E"/>
    <w:rsid w:val="624A3B5C"/>
    <w:rsid w:val="62703EA6"/>
    <w:rsid w:val="62DF24F6"/>
    <w:rsid w:val="642F125B"/>
    <w:rsid w:val="64300B2F"/>
    <w:rsid w:val="64702AD3"/>
    <w:rsid w:val="64B42B1F"/>
    <w:rsid w:val="654E78BA"/>
    <w:rsid w:val="655053B4"/>
    <w:rsid w:val="656E6628"/>
    <w:rsid w:val="658D32AB"/>
    <w:rsid w:val="667A42E4"/>
    <w:rsid w:val="667E2026"/>
    <w:rsid w:val="66875BA8"/>
    <w:rsid w:val="66AC687B"/>
    <w:rsid w:val="66BF07C1"/>
    <w:rsid w:val="66F81DD8"/>
    <w:rsid w:val="67073DC9"/>
    <w:rsid w:val="671207D2"/>
    <w:rsid w:val="67186CDC"/>
    <w:rsid w:val="683E0616"/>
    <w:rsid w:val="6920585F"/>
    <w:rsid w:val="694A61EF"/>
    <w:rsid w:val="696F20FA"/>
    <w:rsid w:val="69CE0BCF"/>
    <w:rsid w:val="69CE6E20"/>
    <w:rsid w:val="6A696B49"/>
    <w:rsid w:val="6A897D1D"/>
    <w:rsid w:val="6AAF0A00"/>
    <w:rsid w:val="6AC65D4A"/>
    <w:rsid w:val="6AF26B3F"/>
    <w:rsid w:val="6AFF1631"/>
    <w:rsid w:val="6B022386"/>
    <w:rsid w:val="6B2807B2"/>
    <w:rsid w:val="6BDD159D"/>
    <w:rsid w:val="6C6A462D"/>
    <w:rsid w:val="6C953C26"/>
    <w:rsid w:val="6D1B720F"/>
    <w:rsid w:val="6D21195D"/>
    <w:rsid w:val="6D6C2BD8"/>
    <w:rsid w:val="6D801035"/>
    <w:rsid w:val="6DF17581"/>
    <w:rsid w:val="6E1703AC"/>
    <w:rsid w:val="6E5E3249"/>
    <w:rsid w:val="6EA97E5C"/>
    <w:rsid w:val="6F0761E7"/>
    <w:rsid w:val="6FE725BD"/>
    <w:rsid w:val="708F6BDE"/>
    <w:rsid w:val="709A29E5"/>
    <w:rsid w:val="70A64653"/>
    <w:rsid w:val="70AD3DDD"/>
    <w:rsid w:val="70B7547C"/>
    <w:rsid w:val="70DC1E23"/>
    <w:rsid w:val="70E03366"/>
    <w:rsid w:val="71685DAD"/>
    <w:rsid w:val="71BB5EDC"/>
    <w:rsid w:val="71F94C57"/>
    <w:rsid w:val="721750DD"/>
    <w:rsid w:val="72365FB2"/>
    <w:rsid w:val="726122A3"/>
    <w:rsid w:val="72620A4E"/>
    <w:rsid w:val="726B2D31"/>
    <w:rsid w:val="729C5033"/>
    <w:rsid w:val="72BC6E4B"/>
    <w:rsid w:val="72D1172F"/>
    <w:rsid w:val="730613D9"/>
    <w:rsid w:val="73237AF4"/>
    <w:rsid w:val="73375A36"/>
    <w:rsid w:val="73446AAB"/>
    <w:rsid w:val="73752023"/>
    <w:rsid w:val="73E92E80"/>
    <w:rsid w:val="74BD7896"/>
    <w:rsid w:val="74D55507"/>
    <w:rsid w:val="754C15EA"/>
    <w:rsid w:val="75703482"/>
    <w:rsid w:val="75705028"/>
    <w:rsid w:val="75D27C98"/>
    <w:rsid w:val="760057BD"/>
    <w:rsid w:val="765406AD"/>
    <w:rsid w:val="766823AB"/>
    <w:rsid w:val="76E945D3"/>
    <w:rsid w:val="76E97048"/>
    <w:rsid w:val="778A0CAD"/>
    <w:rsid w:val="77A47413"/>
    <w:rsid w:val="77FC1EE6"/>
    <w:rsid w:val="785A60EE"/>
    <w:rsid w:val="786A065C"/>
    <w:rsid w:val="79213D2B"/>
    <w:rsid w:val="792241C7"/>
    <w:rsid w:val="797E63FD"/>
    <w:rsid w:val="79AE5130"/>
    <w:rsid w:val="7A122D59"/>
    <w:rsid w:val="7A7770F7"/>
    <w:rsid w:val="7C1D7794"/>
    <w:rsid w:val="7C2D5C29"/>
    <w:rsid w:val="7C71519A"/>
    <w:rsid w:val="7C88585D"/>
    <w:rsid w:val="7D3D1E9B"/>
    <w:rsid w:val="7D407FB3"/>
    <w:rsid w:val="7D4274B2"/>
    <w:rsid w:val="7D470F6C"/>
    <w:rsid w:val="7D846E60"/>
    <w:rsid w:val="7D8775BA"/>
    <w:rsid w:val="7DA91FF0"/>
    <w:rsid w:val="7DCE109B"/>
    <w:rsid w:val="7EC54E07"/>
    <w:rsid w:val="7EED169F"/>
    <w:rsid w:val="7EF27612"/>
    <w:rsid w:val="7FB84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unhideWhenUsed/>
    <w:qFormat/>
    <w:uiPriority w:val="99"/>
    <w:pPr>
      <w:ind w:firstLine="420" w:firstLineChars="200"/>
    </w:pPr>
    <w:rPr>
      <w:szCs w:val="22"/>
    </w:rPr>
  </w:style>
  <w:style w:type="paragraph" w:styleId="4">
    <w:name w:val="Body Text"/>
    <w:basedOn w:val="1"/>
    <w:next w:val="5"/>
    <w:qFormat/>
    <w:uiPriority w:val="0"/>
    <w:pPr>
      <w:widowControl/>
      <w:spacing w:line="360" w:lineRule="auto"/>
    </w:pPr>
    <w:rPr>
      <w:color w:val="FF0000"/>
    </w:rPr>
  </w:style>
  <w:style w:type="paragraph" w:styleId="5">
    <w:name w:val="Body Text First Indent"/>
    <w:basedOn w:val="4"/>
    <w:next w:val="1"/>
    <w:unhideWhenUsed/>
    <w:qFormat/>
    <w:uiPriority w:val="0"/>
    <w:pPr>
      <w:ind w:firstLine="420" w:firstLineChars="1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Subtitle"/>
    <w:basedOn w:val="1"/>
    <w:next w:val="1"/>
    <w:qFormat/>
    <w:uiPriority w:val="0"/>
    <w:pPr>
      <w:spacing w:before="240" w:after="60" w:line="312" w:lineRule="auto"/>
      <w:jc w:val="center"/>
      <w:outlineLvl w:val="1"/>
    </w:pPr>
    <w:rPr>
      <w:rFonts w:ascii="Cambria" w:hAnsi="Cambria" w:eastAsia="宋体"/>
      <w:b/>
      <w:bCs/>
      <w:kern w:val="28"/>
      <w:sz w:val="32"/>
      <w:szCs w:val="32"/>
    </w:rPr>
  </w:style>
  <w:style w:type="paragraph" w:styleId="9">
    <w:name w:val="Body Text 2"/>
    <w:basedOn w:val="1"/>
    <w:next w:val="4"/>
    <w:qFormat/>
    <w:uiPriority w:val="0"/>
    <w:rPr>
      <w:rFonts w:ascii="New Berolina" w:hAnsi="New Berolina"/>
      <w:b/>
      <w:sz w:val="48"/>
    </w:rPr>
  </w:style>
  <w:style w:type="paragraph" w:styleId="10">
    <w:name w:val="Normal (Web)"/>
    <w:basedOn w:val="1"/>
    <w:qFormat/>
    <w:uiPriority w:val="0"/>
    <w:pPr>
      <w:spacing w:beforeAutospacing="1" w:afterAutospacing="1"/>
      <w:jc w:val="left"/>
    </w:pPr>
    <w:rPr>
      <w:kern w:val="0"/>
      <w:sz w:val="24"/>
    </w:rPr>
  </w:style>
  <w:style w:type="paragraph" w:styleId="11">
    <w:name w:val="Title"/>
    <w:basedOn w:val="1"/>
    <w:next w:val="1"/>
    <w:link w:val="19"/>
    <w:qFormat/>
    <w:uiPriority w:val="0"/>
    <w:pPr>
      <w:spacing w:before="240" w:after="60"/>
      <w:jc w:val="center"/>
      <w:outlineLvl w:val="0"/>
    </w:pPr>
    <w:rPr>
      <w:rFonts w:ascii="Cambria" w:hAnsi="Cambria"/>
      <w:b/>
      <w:bCs/>
      <w:kern w:val="0"/>
      <w:sz w:val="32"/>
      <w:szCs w:val="32"/>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paragraph" w:customStyle="1" w:styleId="16">
    <w:name w:val="正文1"/>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paragraph" w:customStyle="1" w:styleId="17">
    <w:name w:val="Quote"/>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customStyle="1" w:styleId="18">
    <w:name w:val="正文首行缩进两字符"/>
    <w:basedOn w:val="1"/>
    <w:qFormat/>
    <w:uiPriority w:val="0"/>
    <w:pPr>
      <w:spacing w:line="360" w:lineRule="auto"/>
      <w:ind w:firstLine="200" w:firstLineChars="200"/>
    </w:pPr>
  </w:style>
  <w:style w:type="character" w:customStyle="1" w:styleId="19">
    <w:name w:val="标题 Char"/>
    <w:link w:val="11"/>
    <w:qFormat/>
    <w:uiPriority w:val="0"/>
    <w:rPr>
      <w:rFonts w:ascii="Cambria" w:hAnsi="Cambria"/>
      <w:b/>
      <w:bCs/>
      <w:kern w:val="0"/>
      <w:sz w:val="32"/>
      <w:szCs w:val="32"/>
    </w:rPr>
  </w:style>
  <w:style w:type="paragraph" w:customStyle="1" w:styleId="20">
    <w:name w:val="WW-普通文字"/>
    <w:basedOn w:val="1"/>
    <w:qFormat/>
    <w:uiPriority w:val="0"/>
    <w:pPr>
      <w:suppressAutoHyphens/>
    </w:pPr>
    <w:rPr>
      <w:rFonts w:ascii="宋体" w:hAnsi="宋体"/>
      <w:kern w:val="1"/>
      <w:sz w:val="20"/>
      <w:szCs w:val="20"/>
    </w:rPr>
  </w:style>
  <w:style w:type="paragraph" w:customStyle="1" w:styleId="21">
    <w:name w:val="Table Paragraph"/>
    <w:basedOn w:val="1"/>
    <w:qFormat/>
    <w:uiPriority w:val="1"/>
  </w:style>
  <w:style w:type="paragraph" w:customStyle="1" w:styleId="22">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23">
    <w:name w:val="font11"/>
    <w:basedOn w:val="14"/>
    <w:qFormat/>
    <w:uiPriority w:val="0"/>
    <w:rPr>
      <w:rFonts w:hint="eastAsia" w:ascii="仿宋" w:hAnsi="仿宋" w:eastAsia="仿宋" w:cs="仿宋"/>
      <w:color w:val="000000"/>
      <w:sz w:val="24"/>
      <w:szCs w:val="24"/>
      <w:u w:val="none"/>
    </w:rPr>
  </w:style>
  <w:style w:type="character" w:customStyle="1" w:styleId="24">
    <w:name w:val="font41"/>
    <w:basedOn w:val="14"/>
    <w:qFormat/>
    <w:uiPriority w:val="0"/>
    <w:rPr>
      <w:rFonts w:ascii="Arial" w:hAnsi="Arial" w:cs="Arial"/>
      <w:color w:val="000000"/>
      <w:sz w:val="20"/>
      <w:szCs w:val="20"/>
      <w:u w:val="none"/>
    </w:rPr>
  </w:style>
  <w:style w:type="character" w:customStyle="1" w:styleId="25">
    <w:name w:val="font61"/>
    <w:basedOn w:val="14"/>
    <w:qFormat/>
    <w:uiPriority w:val="0"/>
    <w:rPr>
      <w:rFonts w:hint="eastAsia" w:ascii="宋体" w:hAnsi="宋体" w:eastAsia="宋体" w:cs="宋体"/>
      <w:b/>
      <w:bCs/>
      <w:color w:val="000000"/>
      <w:sz w:val="32"/>
      <w:szCs w:val="32"/>
      <w:u w:val="none"/>
    </w:rPr>
  </w:style>
  <w:style w:type="paragraph" w:styleId="2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2525</Words>
  <Characters>3272</Characters>
  <Lines>6</Lines>
  <Paragraphs>1</Paragraphs>
  <TotalTime>12</TotalTime>
  <ScaleCrop>false</ScaleCrop>
  <LinksUpToDate>false</LinksUpToDate>
  <CharactersWithSpaces>3312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2021-12-28T00:52:00Z</dcterms:created>
  <dc:creator>Administrator</dc:creator>
  <cp:lastModifiedBy>西交所-Z</cp:lastModifiedBy>
  <dcterms:modified xsi:type="dcterms:W3CDTF">2025-12-18T10:11:36Z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A5CFF8CC78AB4E5C9E25CDA15A006905</vt:lpwstr>
  </property>
  <property fmtid="{D5CDD505-2E9C-101B-9397-08002B2CF9AE}" pid="4" name="KSOTemplateDocerSaveRecord">
    <vt:lpwstr>eyJoZGlkIjoiZDY3Y2EzOGVlYTY2ZTNhZTYzOWU4OWFjZjVmYjQ0N2QiLCJ1c2VySWQiOiIyNjE3NDAzMDUifQ==</vt:lpwstr>
  </property>
</Properties>
</file>