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D9A2B3">
      <w:pPr>
        <w:keepNext w:val="0"/>
        <w:keepLines w:val="0"/>
        <w:pageBreakBefore w:val="0"/>
        <w:widowControl w:val="0"/>
        <w:kinsoku/>
        <w:wordWrap/>
        <w:overflowPunct/>
        <w:topLinePunct w:val="0"/>
        <w:autoSpaceDE/>
        <w:autoSpaceDN/>
        <w:bidi w:val="0"/>
        <w:adjustRightInd w:val="0"/>
        <w:snapToGrid/>
        <w:spacing w:line="580" w:lineRule="exact"/>
        <w:jc w:val="left"/>
        <w:textAlignment w:val="auto"/>
        <w:rPr>
          <w:rFonts w:hint="default" w:ascii="Times New Roman" w:hAnsi="Times New Roman" w:eastAsia="仿宋_GB2312" w:cs="Times New Roman"/>
          <w:kern w:val="2"/>
          <w:sz w:val="32"/>
          <w:szCs w:val="32"/>
          <w:lang w:val="en-US" w:eastAsia="zh-CN" w:bidi="ar-SA"/>
        </w:rPr>
      </w:pPr>
    </w:p>
    <w:p w14:paraId="23ABA5F0">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黑体" w:cs="Times New Roman"/>
          <w:kern w:val="2"/>
          <w:sz w:val="32"/>
          <w:szCs w:val="32"/>
          <w:lang w:val="en-US" w:eastAsia="zh-CN" w:bidi="ar-SA"/>
        </w:rPr>
      </w:pPr>
      <w:r>
        <w:rPr>
          <w:rFonts w:hint="default" w:ascii="Times New Roman" w:hAnsi="Times New Roman" w:eastAsia="黑体" w:cs="Times New Roman"/>
          <w:kern w:val="2"/>
          <w:sz w:val="32"/>
          <w:szCs w:val="32"/>
          <w:lang w:val="en-US" w:eastAsia="zh-CN" w:bidi="ar-SA"/>
        </w:rPr>
        <w:t xml:space="preserve">附件 </w:t>
      </w:r>
    </w:p>
    <w:p w14:paraId="1FF9D973">
      <w:pPr>
        <w:jc w:val="center"/>
        <w:rPr>
          <w:rFonts w:hint="default" w:ascii="Times New Roman" w:hAnsi="Times New Roman" w:eastAsia="方正小标宋简体" w:cs="Times New Roman"/>
          <w:b/>
          <w:bCs/>
          <w:sz w:val="44"/>
          <w:szCs w:val="44"/>
          <w:lang w:val="en-US" w:eastAsia="zh-CN"/>
        </w:rPr>
      </w:pPr>
      <w:r>
        <w:rPr>
          <w:rFonts w:hint="default" w:ascii="Times New Roman" w:hAnsi="Times New Roman" w:eastAsia="方正小标宋简体" w:cs="Times New Roman"/>
          <w:kern w:val="2"/>
          <w:sz w:val="44"/>
          <w:szCs w:val="44"/>
          <w:lang w:val="en-US" w:eastAsia="zh-CN" w:bidi="ar-SA"/>
        </w:rPr>
        <w:t>采购需求</w:t>
      </w:r>
    </w:p>
    <w:tbl>
      <w:tblPr>
        <w:tblStyle w:val="7"/>
        <w:tblW w:w="10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1"/>
        <w:gridCol w:w="1728"/>
        <w:gridCol w:w="1411"/>
        <w:gridCol w:w="889"/>
        <w:gridCol w:w="1780"/>
        <w:gridCol w:w="1193"/>
        <w:gridCol w:w="2188"/>
      </w:tblGrid>
      <w:tr w14:paraId="2E92A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831" w:type="dxa"/>
            <w:vAlign w:val="center"/>
          </w:tcPr>
          <w:p w14:paraId="02B40E11">
            <w:pPr>
              <w:pStyle w:val="11"/>
              <w:jc w:val="center"/>
              <w:rPr>
                <w:rFonts w:hint="eastAsia" w:ascii="黑体" w:hAnsi="黑体" w:eastAsia="黑体" w:cs="黑体"/>
              </w:rPr>
            </w:pPr>
            <w:r>
              <w:rPr>
                <w:rFonts w:hint="eastAsia" w:ascii="黑体" w:hAnsi="黑体" w:eastAsia="黑体" w:cs="黑体"/>
              </w:rPr>
              <w:t>序号</w:t>
            </w:r>
          </w:p>
        </w:tc>
        <w:tc>
          <w:tcPr>
            <w:tcW w:w="1728" w:type="dxa"/>
            <w:vAlign w:val="center"/>
          </w:tcPr>
          <w:p w14:paraId="7BF496E9">
            <w:pPr>
              <w:pStyle w:val="11"/>
              <w:jc w:val="center"/>
              <w:rPr>
                <w:rFonts w:hint="eastAsia" w:ascii="黑体" w:hAnsi="黑体" w:eastAsia="黑体" w:cs="黑体"/>
              </w:rPr>
            </w:pPr>
            <w:r>
              <w:rPr>
                <w:rFonts w:hint="eastAsia" w:ascii="黑体" w:hAnsi="黑体" w:eastAsia="黑体" w:cs="黑体"/>
              </w:rPr>
              <w:t>标的名称</w:t>
            </w:r>
          </w:p>
        </w:tc>
        <w:tc>
          <w:tcPr>
            <w:tcW w:w="1411" w:type="dxa"/>
            <w:vAlign w:val="center"/>
          </w:tcPr>
          <w:p w14:paraId="7DED0227">
            <w:pPr>
              <w:pStyle w:val="11"/>
              <w:jc w:val="center"/>
              <w:rPr>
                <w:rFonts w:hint="eastAsia" w:ascii="黑体" w:hAnsi="黑体" w:eastAsia="黑体" w:cs="黑体"/>
              </w:rPr>
            </w:pPr>
            <w:r>
              <w:rPr>
                <w:rFonts w:hint="eastAsia" w:ascii="黑体" w:hAnsi="黑体" w:eastAsia="黑体" w:cs="黑体"/>
                <w:lang w:val="en-US" w:eastAsia="zh-CN"/>
              </w:rPr>
              <w:t>预估</w:t>
            </w:r>
            <w:r>
              <w:rPr>
                <w:rFonts w:hint="eastAsia" w:ascii="黑体" w:hAnsi="黑体" w:eastAsia="黑体" w:cs="黑体"/>
              </w:rPr>
              <w:t>数量</w:t>
            </w:r>
          </w:p>
        </w:tc>
        <w:tc>
          <w:tcPr>
            <w:tcW w:w="889" w:type="dxa"/>
            <w:vAlign w:val="center"/>
          </w:tcPr>
          <w:p w14:paraId="05173D74">
            <w:pPr>
              <w:pStyle w:val="11"/>
              <w:jc w:val="center"/>
              <w:rPr>
                <w:rFonts w:hint="eastAsia" w:ascii="黑体" w:hAnsi="黑体" w:eastAsia="黑体" w:cs="黑体"/>
              </w:rPr>
            </w:pPr>
            <w:r>
              <w:rPr>
                <w:rFonts w:hint="eastAsia" w:ascii="黑体" w:hAnsi="黑体" w:eastAsia="黑体" w:cs="黑体"/>
              </w:rPr>
              <w:t>单位</w:t>
            </w:r>
          </w:p>
        </w:tc>
        <w:tc>
          <w:tcPr>
            <w:tcW w:w="1780" w:type="dxa"/>
            <w:vAlign w:val="center"/>
          </w:tcPr>
          <w:p w14:paraId="617D6391">
            <w:pPr>
              <w:pStyle w:val="11"/>
              <w:jc w:val="center"/>
              <w:rPr>
                <w:rFonts w:hint="eastAsia" w:ascii="黑体" w:hAnsi="黑体" w:eastAsia="黑体" w:cs="黑体"/>
                <w:lang w:eastAsia="zh-CN"/>
              </w:rPr>
            </w:pPr>
            <w:r>
              <w:rPr>
                <w:rFonts w:hint="eastAsia" w:ascii="黑体" w:hAnsi="黑体" w:eastAsia="黑体" w:cs="黑体"/>
                <w:lang w:val="en-US" w:eastAsia="zh-CN"/>
              </w:rPr>
              <w:t>含税单价（元）</w:t>
            </w:r>
          </w:p>
        </w:tc>
        <w:tc>
          <w:tcPr>
            <w:tcW w:w="1193" w:type="dxa"/>
            <w:vAlign w:val="center"/>
          </w:tcPr>
          <w:p w14:paraId="5C3F1EBB">
            <w:pPr>
              <w:pStyle w:val="11"/>
              <w:jc w:val="center"/>
              <w:rPr>
                <w:rFonts w:hint="eastAsia" w:ascii="黑体" w:hAnsi="黑体" w:eastAsia="黑体" w:cs="黑体"/>
                <w:lang w:val="en-US" w:eastAsia="zh-CN"/>
              </w:rPr>
            </w:pPr>
            <w:r>
              <w:rPr>
                <w:rFonts w:hint="eastAsia" w:ascii="黑体" w:hAnsi="黑体" w:eastAsia="黑体" w:cs="黑体"/>
                <w:lang w:val="en-US" w:eastAsia="zh-CN"/>
              </w:rPr>
              <w:t>发票税率</w:t>
            </w:r>
          </w:p>
        </w:tc>
        <w:tc>
          <w:tcPr>
            <w:tcW w:w="2188" w:type="dxa"/>
            <w:vAlign w:val="center"/>
          </w:tcPr>
          <w:p w14:paraId="453BAE3C">
            <w:pPr>
              <w:pStyle w:val="11"/>
              <w:jc w:val="center"/>
              <w:rPr>
                <w:rFonts w:hint="eastAsia" w:ascii="黑体" w:hAnsi="黑体" w:eastAsia="黑体" w:cs="黑体"/>
                <w:lang w:eastAsia="zh-CN"/>
              </w:rPr>
            </w:pPr>
            <w:r>
              <w:rPr>
                <w:rFonts w:hint="eastAsia" w:ascii="黑体" w:hAnsi="黑体" w:eastAsia="黑体" w:cs="黑体"/>
                <w:lang w:eastAsia="zh-CN"/>
              </w:rPr>
              <w:t>其他要求</w:t>
            </w:r>
          </w:p>
        </w:tc>
      </w:tr>
      <w:tr w14:paraId="116B5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31" w:type="dxa"/>
            <w:vAlign w:val="center"/>
          </w:tcPr>
          <w:p w14:paraId="083E7E33">
            <w:pPr>
              <w:pStyle w:val="11"/>
              <w:jc w:val="center"/>
              <w:rPr>
                <w:rFonts w:hint="eastAsia" w:ascii="黑体" w:hAnsi="黑体" w:eastAsia="黑体" w:cs="黑体"/>
              </w:rPr>
            </w:pPr>
            <w:r>
              <w:rPr>
                <w:rFonts w:hint="eastAsia" w:ascii="黑体" w:hAnsi="黑体" w:eastAsia="黑体" w:cs="黑体"/>
              </w:rPr>
              <w:t>1</w:t>
            </w:r>
          </w:p>
        </w:tc>
        <w:tc>
          <w:tcPr>
            <w:tcW w:w="1728" w:type="dxa"/>
            <w:vAlign w:val="center"/>
          </w:tcPr>
          <w:p w14:paraId="3B54AE2B">
            <w:pPr>
              <w:keepNext w:val="0"/>
              <w:keepLines w:val="0"/>
              <w:widowControl/>
              <w:suppressLineNumbers w:val="0"/>
              <w:jc w:val="center"/>
              <w:textAlignment w:val="center"/>
              <w:rPr>
                <w:rFonts w:hint="eastAsia" w:ascii="黑体" w:hAnsi="黑体" w:eastAsia="黑体" w:cs="黑体"/>
                <w:lang w:eastAsia="zh-CN"/>
              </w:rPr>
            </w:pPr>
            <w:r>
              <w:rPr>
                <w:rFonts w:hint="eastAsia" w:ascii="黑体" w:hAnsi="宋体" w:eastAsia="黑体" w:cs="黑体"/>
                <w:i w:val="0"/>
                <w:iCs w:val="0"/>
                <w:color w:val="000000"/>
                <w:kern w:val="0"/>
                <w:sz w:val="21"/>
                <w:szCs w:val="21"/>
                <w:u w:val="none"/>
                <w:lang w:val="en-US" w:eastAsia="zh-CN" w:bidi="ar"/>
              </w:rPr>
              <w:t>主任办公桌</w:t>
            </w:r>
          </w:p>
        </w:tc>
        <w:tc>
          <w:tcPr>
            <w:tcW w:w="1411" w:type="dxa"/>
            <w:vAlign w:val="center"/>
          </w:tcPr>
          <w:p w14:paraId="7B18DBAB">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30</w:t>
            </w:r>
          </w:p>
        </w:tc>
        <w:tc>
          <w:tcPr>
            <w:tcW w:w="889" w:type="dxa"/>
            <w:vAlign w:val="center"/>
          </w:tcPr>
          <w:p w14:paraId="2A861F0D">
            <w:pPr>
              <w:pStyle w:val="11"/>
              <w:jc w:val="center"/>
              <w:rPr>
                <w:rFonts w:hint="eastAsia" w:ascii="黑体" w:hAnsi="黑体" w:eastAsia="黑体" w:cs="黑体"/>
                <w:lang w:eastAsia="zh-CN"/>
              </w:rPr>
            </w:pPr>
            <w:r>
              <w:rPr>
                <w:rFonts w:hint="eastAsia" w:ascii="黑体" w:hAnsi="黑体" w:eastAsia="黑体" w:cs="黑体"/>
                <w:lang w:val="en-US" w:eastAsia="zh-CN"/>
              </w:rPr>
              <w:t>张</w:t>
            </w:r>
          </w:p>
        </w:tc>
        <w:tc>
          <w:tcPr>
            <w:tcW w:w="1780" w:type="dxa"/>
            <w:vAlign w:val="center"/>
          </w:tcPr>
          <w:p w14:paraId="2BEFB059">
            <w:pPr>
              <w:pStyle w:val="11"/>
              <w:jc w:val="center"/>
              <w:rPr>
                <w:rFonts w:hint="eastAsia" w:ascii="黑体" w:hAnsi="黑体" w:eastAsia="黑体" w:cs="黑体"/>
                <w:lang w:eastAsia="zh-CN"/>
              </w:rPr>
            </w:pPr>
          </w:p>
        </w:tc>
        <w:tc>
          <w:tcPr>
            <w:tcW w:w="1193" w:type="dxa"/>
            <w:vAlign w:val="center"/>
          </w:tcPr>
          <w:p w14:paraId="49E160CB">
            <w:pPr>
              <w:pStyle w:val="11"/>
              <w:jc w:val="left"/>
              <w:rPr>
                <w:rFonts w:hint="eastAsia" w:ascii="黑体" w:hAnsi="黑体" w:eastAsia="黑体" w:cs="黑体"/>
                <w:lang w:eastAsia="zh-CN"/>
              </w:rPr>
            </w:pPr>
          </w:p>
        </w:tc>
        <w:tc>
          <w:tcPr>
            <w:tcW w:w="2188" w:type="dxa"/>
            <w:vAlign w:val="center"/>
          </w:tcPr>
          <w:p w14:paraId="50DE6CBD">
            <w:pPr>
              <w:pStyle w:val="11"/>
              <w:jc w:val="center"/>
              <w:rPr>
                <w:rFonts w:hint="eastAsia" w:ascii="黑体" w:hAnsi="黑体" w:eastAsia="黑体" w:cs="黑体"/>
                <w:lang w:eastAsia="zh-CN"/>
              </w:rPr>
            </w:pPr>
            <w:r>
              <w:rPr>
                <w:rFonts w:hint="eastAsia" w:ascii="黑体" w:hAnsi="黑体" w:eastAsia="黑体" w:cs="黑体"/>
                <w:lang w:val="en-US" w:eastAsia="zh-CN"/>
              </w:rPr>
              <w:t>\</w:t>
            </w:r>
          </w:p>
        </w:tc>
      </w:tr>
      <w:tr w14:paraId="431B1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31" w:type="dxa"/>
            <w:vAlign w:val="center"/>
          </w:tcPr>
          <w:p w14:paraId="69428D6A">
            <w:pPr>
              <w:pStyle w:val="11"/>
              <w:jc w:val="center"/>
              <w:rPr>
                <w:rFonts w:hint="eastAsia" w:ascii="黑体" w:hAnsi="黑体" w:eastAsia="黑体" w:cs="黑体"/>
              </w:rPr>
            </w:pPr>
            <w:r>
              <w:rPr>
                <w:rFonts w:hint="eastAsia" w:ascii="黑体" w:hAnsi="黑体" w:eastAsia="黑体" w:cs="黑体"/>
              </w:rPr>
              <w:t>2</w:t>
            </w:r>
          </w:p>
        </w:tc>
        <w:tc>
          <w:tcPr>
            <w:tcW w:w="1728" w:type="dxa"/>
            <w:vAlign w:val="center"/>
          </w:tcPr>
          <w:p w14:paraId="1B13DE79">
            <w:pPr>
              <w:keepNext w:val="0"/>
              <w:keepLines w:val="0"/>
              <w:widowControl/>
              <w:suppressLineNumbers w:val="0"/>
              <w:jc w:val="center"/>
              <w:textAlignment w:val="center"/>
              <w:rPr>
                <w:rFonts w:hint="eastAsia" w:ascii="黑体" w:hAnsi="黑体" w:eastAsia="黑体" w:cs="黑体"/>
                <w:lang w:eastAsia="zh-CN"/>
              </w:rPr>
            </w:pPr>
            <w:r>
              <w:rPr>
                <w:rFonts w:hint="eastAsia" w:ascii="黑体" w:hAnsi="宋体" w:eastAsia="黑体" w:cs="黑体"/>
                <w:i w:val="0"/>
                <w:iCs w:val="0"/>
                <w:color w:val="000000"/>
                <w:kern w:val="0"/>
                <w:sz w:val="21"/>
                <w:szCs w:val="21"/>
                <w:u w:val="none"/>
                <w:lang w:val="en-US" w:eastAsia="zh-CN" w:bidi="ar"/>
              </w:rPr>
              <w:t>办公桌</w:t>
            </w:r>
          </w:p>
        </w:tc>
        <w:tc>
          <w:tcPr>
            <w:tcW w:w="1411" w:type="dxa"/>
            <w:vAlign w:val="center"/>
          </w:tcPr>
          <w:p w14:paraId="2342FBDA">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200</w:t>
            </w:r>
          </w:p>
        </w:tc>
        <w:tc>
          <w:tcPr>
            <w:tcW w:w="889" w:type="dxa"/>
            <w:vAlign w:val="center"/>
          </w:tcPr>
          <w:p w14:paraId="2DC8811E">
            <w:pPr>
              <w:pStyle w:val="11"/>
              <w:jc w:val="center"/>
              <w:rPr>
                <w:rFonts w:hint="eastAsia" w:ascii="黑体" w:hAnsi="黑体" w:eastAsia="黑体" w:cs="黑体"/>
                <w:lang w:eastAsia="zh-CN"/>
              </w:rPr>
            </w:pPr>
            <w:r>
              <w:rPr>
                <w:rFonts w:hint="eastAsia" w:ascii="黑体" w:hAnsi="黑体" w:eastAsia="黑体" w:cs="黑体"/>
                <w:lang w:val="en-US" w:eastAsia="zh-CN"/>
              </w:rPr>
              <w:t>张</w:t>
            </w:r>
          </w:p>
        </w:tc>
        <w:tc>
          <w:tcPr>
            <w:tcW w:w="1780" w:type="dxa"/>
            <w:vAlign w:val="center"/>
          </w:tcPr>
          <w:p w14:paraId="3C9F7F83">
            <w:pPr>
              <w:pStyle w:val="11"/>
              <w:jc w:val="center"/>
              <w:rPr>
                <w:rFonts w:hint="eastAsia" w:ascii="黑体" w:hAnsi="黑体" w:eastAsia="黑体" w:cs="黑体"/>
                <w:lang w:val="en-US" w:eastAsia="zh-CN"/>
              </w:rPr>
            </w:pPr>
          </w:p>
        </w:tc>
        <w:tc>
          <w:tcPr>
            <w:tcW w:w="1193" w:type="dxa"/>
            <w:vAlign w:val="center"/>
          </w:tcPr>
          <w:p w14:paraId="32E9847E">
            <w:pPr>
              <w:pStyle w:val="11"/>
              <w:jc w:val="center"/>
              <w:rPr>
                <w:rFonts w:hint="eastAsia" w:ascii="黑体" w:hAnsi="黑体" w:eastAsia="黑体" w:cs="黑体"/>
                <w:lang w:val="en-US" w:eastAsia="zh-CN"/>
              </w:rPr>
            </w:pPr>
          </w:p>
        </w:tc>
        <w:tc>
          <w:tcPr>
            <w:tcW w:w="2188" w:type="dxa"/>
            <w:vAlign w:val="center"/>
          </w:tcPr>
          <w:p w14:paraId="6E4E8A5F">
            <w:pPr>
              <w:pStyle w:val="11"/>
              <w:jc w:val="center"/>
              <w:rPr>
                <w:rFonts w:hint="eastAsia" w:ascii="黑体" w:hAnsi="黑体" w:eastAsia="黑体" w:cs="黑体"/>
                <w:lang w:val="en-US" w:eastAsia="zh-CN"/>
              </w:rPr>
            </w:pPr>
            <w:r>
              <w:rPr>
                <w:rFonts w:hint="eastAsia" w:ascii="黑体" w:hAnsi="黑体" w:eastAsia="黑体" w:cs="黑体"/>
                <w:lang w:val="en-US" w:eastAsia="zh-CN"/>
              </w:rPr>
              <w:t>\</w:t>
            </w:r>
          </w:p>
        </w:tc>
      </w:tr>
      <w:tr w14:paraId="57C86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55E7CF1E">
            <w:pPr>
              <w:pStyle w:val="11"/>
              <w:jc w:val="center"/>
              <w:rPr>
                <w:rFonts w:hint="eastAsia" w:ascii="黑体" w:hAnsi="黑体" w:eastAsia="黑体" w:cs="黑体"/>
              </w:rPr>
            </w:pPr>
            <w:r>
              <w:rPr>
                <w:rFonts w:hint="eastAsia" w:ascii="黑体" w:hAnsi="黑体" w:eastAsia="黑体" w:cs="黑体"/>
              </w:rPr>
              <w:t>3</w:t>
            </w:r>
          </w:p>
        </w:tc>
        <w:tc>
          <w:tcPr>
            <w:tcW w:w="1728" w:type="dxa"/>
            <w:vAlign w:val="center"/>
          </w:tcPr>
          <w:p w14:paraId="1CC72593">
            <w:pPr>
              <w:keepNext w:val="0"/>
              <w:keepLines w:val="0"/>
              <w:widowControl/>
              <w:suppressLineNumbers w:val="0"/>
              <w:jc w:val="center"/>
              <w:textAlignment w:val="center"/>
              <w:rPr>
                <w:rFonts w:hint="eastAsia" w:ascii="黑体" w:hAnsi="黑体" w:eastAsia="黑体" w:cs="黑体"/>
                <w:lang w:eastAsia="zh-CN"/>
              </w:rPr>
            </w:pPr>
            <w:r>
              <w:rPr>
                <w:rFonts w:hint="eastAsia" w:ascii="黑体" w:hAnsi="宋体" w:eastAsia="黑体" w:cs="黑体"/>
                <w:i w:val="0"/>
                <w:iCs w:val="0"/>
                <w:color w:val="000000"/>
                <w:kern w:val="0"/>
                <w:sz w:val="21"/>
                <w:szCs w:val="21"/>
                <w:u w:val="none"/>
                <w:lang w:val="en-US" w:eastAsia="zh-CN" w:bidi="ar"/>
              </w:rPr>
              <w:t>L 型诊断桌</w:t>
            </w:r>
          </w:p>
        </w:tc>
        <w:tc>
          <w:tcPr>
            <w:tcW w:w="1411" w:type="dxa"/>
            <w:vAlign w:val="center"/>
          </w:tcPr>
          <w:p w14:paraId="31B1A9DE">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50</w:t>
            </w:r>
          </w:p>
        </w:tc>
        <w:tc>
          <w:tcPr>
            <w:tcW w:w="889" w:type="dxa"/>
            <w:vAlign w:val="center"/>
          </w:tcPr>
          <w:p w14:paraId="6381EF54">
            <w:pPr>
              <w:pStyle w:val="11"/>
              <w:jc w:val="center"/>
              <w:rPr>
                <w:rFonts w:hint="eastAsia" w:ascii="黑体" w:hAnsi="黑体" w:eastAsia="黑体" w:cs="黑体"/>
                <w:lang w:eastAsia="zh-CN"/>
              </w:rPr>
            </w:pPr>
            <w:r>
              <w:rPr>
                <w:rFonts w:hint="eastAsia" w:ascii="黑体" w:hAnsi="黑体" w:eastAsia="黑体" w:cs="黑体"/>
                <w:lang w:val="en-US" w:eastAsia="zh-CN"/>
              </w:rPr>
              <w:t>张</w:t>
            </w:r>
          </w:p>
        </w:tc>
        <w:tc>
          <w:tcPr>
            <w:tcW w:w="1780" w:type="dxa"/>
            <w:vAlign w:val="center"/>
          </w:tcPr>
          <w:p w14:paraId="2FF89271">
            <w:pPr>
              <w:pStyle w:val="11"/>
              <w:jc w:val="center"/>
              <w:rPr>
                <w:rFonts w:hint="eastAsia" w:ascii="黑体" w:hAnsi="黑体" w:eastAsia="黑体" w:cs="黑体"/>
                <w:lang w:val="en-US" w:eastAsia="zh-CN"/>
              </w:rPr>
            </w:pPr>
          </w:p>
        </w:tc>
        <w:tc>
          <w:tcPr>
            <w:tcW w:w="1193" w:type="dxa"/>
            <w:vAlign w:val="center"/>
          </w:tcPr>
          <w:p w14:paraId="65F612D3">
            <w:pPr>
              <w:pStyle w:val="11"/>
              <w:jc w:val="center"/>
              <w:rPr>
                <w:rFonts w:hint="eastAsia" w:ascii="黑体" w:hAnsi="黑体" w:eastAsia="黑体" w:cs="黑体"/>
                <w:lang w:val="en-US" w:eastAsia="zh-CN"/>
              </w:rPr>
            </w:pPr>
          </w:p>
        </w:tc>
        <w:tc>
          <w:tcPr>
            <w:tcW w:w="2188" w:type="dxa"/>
            <w:vAlign w:val="center"/>
          </w:tcPr>
          <w:p w14:paraId="3B82A519">
            <w:pPr>
              <w:pStyle w:val="11"/>
              <w:jc w:val="center"/>
              <w:rPr>
                <w:rFonts w:hint="eastAsia" w:ascii="黑体" w:hAnsi="黑体" w:eastAsia="黑体" w:cs="黑体"/>
                <w:lang w:val="en-US" w:eastAsia="zh-CN"/>
              </w:rPr>
            </w:pPr>
            <w:r>
              <w:rPr>
                <w:rFonts w:hint="eastAsia" w:ascii="黑体" w:hAnsi="黑体" w:eastAsia="黑体" w:cs="黑体"/>
                <w:lang w:val="en-US" w:eastAsia="zh-CN"/>
              </w:rPr>
              <w:t>\</w:t>
            </w:r>
          </w:p>
        </w:tc>
      </w:tr>
      <w:tr w14:paraId="56A86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48D200A7">
            <w:pPr>
              <w:pStyle w:val="11"/>
              <w:jc w:val="center"/>
              <w:rPr>
                <w:rFonts w:hint="eastAsia" w:ascii="黑体" w:hAnsi="黑体" w:eastAsia="黑体" w:cs="黑体"/>
                <w:lang w:val="en-US" w:eastAsia="zh-CN"/>
              </w:rPr>
            </w:pPr>
            <w:r>
              <w:rPr>
                <w:rFonts w:hint="eastAsia" w:ascii="黑体" w:hAnsi="黑体" w:eastAsia="黑体" w:cs="黑体"/>
                <w:lang w:val="en-US" w:eastAsia="zh-CN"/>
              </w:rPr>
              <w:t>4</w:t>
            </w:r>
          </w:p>
        </w:tc>
        <w:tc>
          <w:tcPr>
            <w:tcW w:w="1728" w:type="dxa"/>
            <w:vAlign w:val="center"/>
          </w:tcPr>
          <w:p w14:paraId="45BE5EB2">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窗口办公桌</w:t>
            </w:r>
          </w:p>
        </w:tc>
        <w:tc>
          <w:tcPr>
            <w:tcW w:w="1411" w:type="dxa"/>
            <w:vAlign w:val="center"/>
          </w:tcPr>
          <w:p w14:paraId="6A984D38">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30</w:t>
            </w:r>
          </w:p>
        </w:tc>
        <w:tc>
          <w:tcPr>
            <w:tcW w:w="889" w:type="dxa"/>
            <w:vAlign w:val="center"/>
          </w:tcPr>
          <w:p w14:paraId="3F5E74BF">
            <w:pPr>
              <w:pStyle w:val="11"/>
              <w:jc w:val="center"/>
              <w:rPr>
                <w:rFonts w:hint="eastAsia" w:ascii="黑体" w:hAnsi="黑体" w:eastAsia="黑体" w:cs="黑体"/>
                <w:lang w:eastAsia="zh-CN"/>
              </w:rPr>
            </w:pPr>
            <w:r>
              <w:rPr>
                <w:rFonts w:hint="eastAsia" w:ascii="黑体" w:hAnsi="黑体" w:eastAsia="黑体" w:cs="黑体"/>
                <w:lang w:val="en-US" w:eastAsia="zh-CN"/>
              </w:rPr>
              <w:t>张</w:t>
            </w:r>
          </w:p>
        </w:tc>
        <w:tc>
          <w:tcPr>
            <w:tcW w:w="1780" w:type="dxa"/>
            <w:vAlign w:val="center"/>
          </w:tcPr>
          <w:p w14:paraId="5A368E3A">
            <w:pPr>
              <w:pStyle w:val="11"/>
              <w:jc w:val="center"/>
              <w:rPr>
                <w:rFonts w:hint="eastAsia" w:ascii="黑体" w:hAnsi="黑体" w:eastAsia="黑体" w:cs="黑体"/>
                <w:lang w:val="en-US" w:eastAsia="zh-CN"/>
              </w:rPr>
            </w:pPr>
          </w:p>
        </w:tc>
        <w:tc>
          <w:tcPr>
            <w:tcW w:w="1193" w:type="dxa"/>
            <w:vAlign w:val="center"/>
          </w:tcPr>
          <w:p w14:paraId="1DBE186A">
            <w:pPr>
              <w:pStyle w:val="11"/>
              <w:jc w:val="center"/>
              <w:rPr>
                <w:rFonts w:hint="eastAsia" w:ascii="黑体" w:hAnsi="黑体" w:eastAsia="黑体" w:cs="黑体"/>
                <w:lang w:val="en-US" w:eastAsia="zh-CN"/>
              </w:rPr>
            </w:pPr>
          </w:p>
        </w:tc>
        <w:tc>
          <w:tcPr>
            <w:tcW w:w="2188" w:type="dxa"/>
            <w:shd w:val="clear" w:color="auto" w:fill="auto"/>
            <w:vAlign w:val="center"/>
          </w:tcPr>
          <w:p w14:paraId="552FF479">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700B3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05ECBEB7">
            <w:pPr>
              <w:pStyle w:val="11"/>
              <w:jc w:val="center"/>
              <w:rPr>
                <w:rFonts w:hint="eastAsia" w:ascii="黑体" w:hAnsi="黑体" w:eastAsia="黑体" w:cs="黑体"/>
                <w:lang w:val="en-US" w:eastAsia="zh-CN"/>
              </w:rPr>
            </w:pPr>
            <w:r>
              <w:rPr>
                <w:rFonts w:hint="eastAsia" w:ascii="黑体" w:hAnsi="黑体" w:eastAsia="黑体" w:cs="黑体"/>
                <w:lang w:val="en-US" w:eastAsia="zh-CN"/>
              </w:rPr>
              <w:t>5</w:t>
            </w:r>
          </w:p>
        </w:tc>
        <w:tc>
          <w:tcPr>
            <w:tcW w:w="1728" w:type="dxa"/>
            <w:vAlign w:val="center"/>
          </w:tcPr>
          <w:p w14:paraId="19CA9AA4">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钢木折叠条桌</w:t>
            </w:r>
          </w:p>
        </w:tc>
        <w:tc>
          <w:tcPr>
            <w:tcW w:w="1411" w:type="dxa"/>
            <w:vAlign w:val="center"/>
          </w:tcPr>
          <w:p w14:paraId="265A5AE1">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100</w:t>
            </w:r>
          </w:p>
        </w:tc>
        <w:tc>
          <w:tcPr>
            <w:tcW w:w="889" w:type="dxa"/>
            <w:vAlign w:val="center"/>
          </w:tcPr>
          <w:p w14:paraId="1843BDA7">
            <w:pPr>
              <w:pStyle w:val="11"/>
              <w:jc w:val="center"/>
              <w:rPr>
                <w:rFonts w:hint="eastAsia" w:ascii="黑体" w:hAnsi="黑体" w:eastAsia="黑体" w:cs="黑体"/>
                <w:lang w:eastAsia="zh-CN"/>
              </w:rPr>
            </w:pPr>
            <w:r>
              <w:rPr>
                <w:rFonts w:hint="eastAsia" w:ascii="黑体" w:hAnsi="黑体" w:eastAsia="黑体" w:cs="黑体"/>
                <w:lang w:val="en-US" w:eastAsia="zh-CN"/>
              </w:rPr>
              <w:t>张</w:t>
            </w:r>
          </w:p>
        </w:tc>
        <w:tc>
          <w:tcPr>
            <w:tcW w:w="1780" w:type="dxa"/>
            <w:vAlign w:val="center"/>
          </w:tcPr>
          <w:p w14:paraId="228C17A5">
            <w:pPr>
              <w:pStyle w:val="11"/>
              <w:jc w:val="center"/>
              <w:rPr>
                <w:rFonts w:hint="eastAsia" w:ascii="黑体" w:hAnsi="黑体" w:eastAsia="黑体" w:cs="黑体"/>
                <w:lang w:val="en-US" w:eastAsia="zh-CN"/>
              </w:rPr>
            </w:pPr>
          </w:p>
        </w:tc>
        <w:tc>
          <w:tcPr>
            <w:tcW w:w="1193" w:type="dxa"/>
            <w:vAlign w:val="center"/>
          </w:tcPr>
          <w:p w14:paraId="7001FDE3">
            <w:pPr>
              <w:pStyle w:val="11"/>
              <w:jc w:val="center"/>
              <w:rPr>
                <w:rFonts w:hint="eastAsia" w:ascii="黑体" w:hAnsi="黑体" w:eastAsia="黑体" w:cs="黑体"/>
                <w:lang w:val="en-US" w:eastAsia="zh-CN"/>
              </w:rPr>
            </w:pPr>
          </w:p>
        </w:tc>
        <w:tc>
          <w:tcPr>
            <w:tcW w:w="2188" w:type="dxa"/>
            <w:shd w:val="clear" w:color="auto" w:fill="auto"/>
            <w:vAlign w:val="center"/>
          </w:tcPr>
          <w:p w14:paraId="4BE37674">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5045D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7401ECB2">
            <w:pPr>
              <w:pStyle w:val="11"/>
              <w:jc w:val="center"/>
              <w:rPr>
                <w:rFonts w:hint="eastAsia" w:ascii="黑体" w:hAnsi="黑体" w:eastAsia="黑体" w:cs="黑体"/>
                <w:lang w:val="en-US" w:eastAsia="zh-CN"/>
              </w:rPr>
            </w:pPr>
            <w:r>
              <w:rPr>
                <w:rFonts w:hint="eastAsia" w:ascii="黑体" w:hAnsi="黑体" w:eastAsia="黑体" w:cs="黑体"/>
                <w:lang w:val="en-US" w:eastAsia="zh-CN"/>
              </w:rPr>
              <w:t>6</w:t>
            </w:r>
          </w:p>
        </w:tc>
        <w:tc>
          <w:tcPr>
            <w:tcW w:w="1728" w:type="dxa"/>
            <w:vAlign w:val="center"/>
          </w:tcPr>
          <w:p w14:paraId="0ED7379F">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餐桌</w:t>
            </w:r>
          </w:p>
        </w:tc>
        <w:tc>
          <w:tcPr>
            <w:tcW w:w="1411" w:type="dxa"/>
            <w:vAlign w:val="center"/>
          </w:tcPr>
          <w:p w14:paraId="604525F1">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10</w:t>
            </w:r>
          </w:p>
        </w:tc>
        <w:tc>
          <w:tcPr>
            <w:tcW w:w="889" w:type="dxa"/>
            <w:vAlign w:val="center"/>
          </w:tcPr>
          <w:p w14:paraId="6F63320B">
            <w:pPr>
              <w:pStyle w:val="11"/>
              <w:jc w:val="center"/>
              <w:rPr>
                <w:rFonts w:hint="eastAsia" w:ascii="黑体" w:hAnsi="黑体" w:eastAsia="黑体" w:cs="黑体"/>
                <w:lang w:eastAsia="zh-CN"/>
              </w:rPr>
            </w:pPr>
            <w:r>
              <w:rPr>
                <w:rFonts w:hint="eastAsia" w:ascii="黑体" w:hAnsi="黑体" w:eastAsia="黑体" w:cs="黑体"/>
                <w:lang w:val="en-US" w:eastAsia="zh-CN"/>
              </w:rPr>
              <w:t>张</w:t>
            </w:r>
          </w:p>
        </w:tc>
        <w:tc>
          <w:tcPr>
            <w:tcW w:w="1780" w:type="dxa"/>
            <w:vAlign w:val="center"/>
          </w:tcPr>
          <w:p w14:paraId="32341936">
            <w:pPr>
              <w:pStyle w:val="11"/>
              <w:jc w:val="center"/>
              <w:rPr>
                <w:rFonts w:hint="eastAsia" w:ascii="黑体" w:hAnsi="黑体" w:eastAsia="黑体" w:cs="黑体"/>
                <w:lang w:val="en-US" w:eastAsia="zh-CN"/>
              </w:rPr>
            </w:pPr>
          </w:p>
        </w:tc>
        <w:tc>
          <w:tcPr>
            <w:tcW w:w="1193" w:type="dxa"/>
            <w:vAlign w:val="center"/>
          </w:tcPr>
          <w:p w14:paraId="2790A1FB">
            <w:pPr>
              <w:pStyle w:val="11"/>
              <w:jc w:val="center"/>
              <w:rPr>
                <w:rFonts w:hint="eastAsia" w:ascii="黑体" w:hAnsi="黑体" w:eastAsia="黑体" w:cs="黑体"/>
                <w:lang w:val="en-US" w:eastAsia="zh-CN"/>
              </w:rPr>
            </w:pPr>
          </w:p>
        </w:tc>
        <w:tc>
          <w:tcPr>
            <w:tcW w:w="2188" w:type="dxa"/>
            <w:shd w:val="clear" w:color="auto" w:fill="auto"/>
            <w:vAlign w:val="center"/>
          </w:tcPr>
          <w:p w14:paraId="6D04E37E">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1FE4E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5B62B498">
            <w:pPr>
              <w:pStyle w:val="11"/>
              <w:jc w:val="center"/>
              <w:rPr>
                <w:rFonts w:hint="eastAsia" w:ascii="黑体" w:hAnsi="黑体" w:eastAsia="黑体" w:cs="黑体"/>
                <w:lang w:val="en-US" w:eastAsia="zh-CN"/>
              </w:rPr>
            </w:pPr>
            <w:r>
              <w:rPr>
                <w:rFonts w:hint="eastAsia" w:ascii="黑体" w:hAnsi="黑体" w:eastAsia="黑体" w:cs="黑体"/>
                <w:lang w:val="en-US" w:eastAsia="zh-CN"/>
              </w:rPr>
              <w:t>7</w:t>
            </w:r>
          </w:p>
        </w:tc>
        <w:tc>
          <w:tcPr>
            <w:tcW w:w="1728" w:type="dxa"/>
            <w:vAlign w:val="center"/>
          </w:tcPr>
          <w:p w14:paraId="59ABAA4E">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餐椅</w:t>
            </w:r>
          </w:p>
        </w:tc>
        <w:tc>
          <w:tcPr>
            <w:tcW w:w="1411" w:type="dxa"/>
            <w:vAlign w:val="center"/>
          </w:tcPr>
          <w:p w14:paraId="7A97FA13">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40</w:t>
            </w:r>
          </w:p>
        </w:tc>
        <w:tc>
          <w:tcPr>
            <w:tcW w:w="889" w:type="dxa"/>
            <w:vAlign w:val="center"/>
          </w:tcPr>
          <w:p w14:paraId="38B298D6">
            <w:pPr>
              <w:pStyle w:val="11"/>
              <w:jc w:val="center"/>
              <w:rPr>
                <w:rFonts w:hint="default" w:ascii="黑体" w:hAnsi="黑体" w:eastAsia="黑体" w:cs="黑体"/>
                <w:lang w:val="en-US" w:eastAsia="zh-CN"/>
              </w:rPr>
            </w:pPr>
            <w:r>
              <w:rPr>
                <w:rFonts w:hint="eastAsia" w:ascii="黑体" w:hAnsi="黑体" w:eastAsia="黑体" w:cs="黑体"/>
                <w:lang w:val="en-US" w:eastAsia="zh-CN"/>
              </w:rPr>
              <w:t>把</w:t>
            </w:r>
          </w:p>
        </w:tc>
        <w:tc>
          <w:tcPr>
            <w:tcW w:w="1780" w:type="dxa"/>
            <w:vAlign w:val="center"/>
          </w:tcPr>
          <w:p w14:paraId="5871C809">
            <w:pPr>
              <w:pStyle w:val="11"/>
              <w:jc w:val="center"/>
              <w:rPr>
                <w:rFonts w:hint="eastAsia" w:ascii="黑体" w:hAnsi="黑体" w:eastAsia="黑体" w:cs="黑体"/>
                <w:lang w:val="en-US" w:eastAsia="zh-CN"/>
              </w:rPr>
            </w:pPr>
          </w:p>
        </w:tc>
        <w:tc>
          <w:tcPr>
            <w:tcW w:w="1193" w:type="dxa"/>
            <w:vAlign w:val="center"/>
          </w:tcPr>
          <w:p w14:paraId="1BB650DA">
            <w:pPr>
              <w:pStyle w:val="11"/>
              <w:jc w:val="center"/>
              <w:rPr>
                <w:rFonts w:hint="eastAsia" w:ascii="黑体" w:hAnsi="黑体" w:eastAsia="黑体" w:cs="黑体"/>
                <w:lang w:val="en-US" w:eastAsia="zh-CN"/>
              </w:rPr>
            </w:pPr>
          </w:p>
        </w:tc>
        <w:tc>
          <w:tcPr>
            <w:tcW w:w="2188" w:type="dxa"/>
            <w:shd w:val="clear" w:color="auto" w:fill="auto"/>
            <w:vAlign w:val="center"/>
          </w:tcPr>
          <w:p w14:paraId="3F2321CF">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120D2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563CD568">
            <w:pPr>
              <w:pStyle w:val="11"/>
              <w:jc w:val="center"/>
              <w:rPr>
                <w:rFonts w:hint="default" w:ascii="黑体" w:hAnsi="黑体" w:eastAsia="黑体" w:cs="黑体"/>
                <w:lang w:val="en-US" w:eastAsia="zh-CN"/>
              </w:rPr>
            </w:pPr>
            <w:r>
              <w:rPr>
                <w:rFonts w:hint="eastAsia" w:ascii="黑体" w:hAnsi="黑体" w:eastAsia="黑体" w:cs="黑体"/>
                <w:lang w:val="en-US" w:eastAsia="zh-CN"/>
              </w:rPr>
              <w:t>8</w:t>
            </w:r>
          </w:p>
        </w:tc>
        <w:tc>
          <w:tcPr>
            <w:tcW w:w="1728" w:type="dxa"/>
            <w:vAlign w:val="center"/>
          </w:tcPr>
          <w:p w14:paraId="798B9FEC">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长茶几</w:t>
            </w:r>
          </w:p>
        </w:tc>
        <w:tc>
          <w:tcPr>
            <w:tcW w:w="1411" w:type="dxa"/>
            <w:vAlign w:val="center"/>
          </w:tcPr>
          <w:p w14:paraId="5D7552B7">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6</w:t>
            </w:r>
          </w:p>
        </w:tc>
        <w:tc>
          <w:tcPr>
            <w:tcW w:w="889" w:type="dxa"/>
            <w:vAlign w:val="center"/>
          </w:tcPr>
          <w:p w14:paraId="58BDC90F">
            <w:pPr>
              <w:pStyle w:val="11"/>
              <w:jc w:val="center"/>
              <w:rPr>
                <w:rFonts w:hint="eastAsia" w:ascii="黑体" w:hAnsi="黑体" w:eastAsia="黑体" w:cs="黑体"/>
                <w:lang w:eastAsia="zh-CN"/>
              </w:rPr>
            </w:pPr>
            <w:r>
              <w:rPr>
                <w:rFonts w:hint="eastAsia" w:ascii="黑体" w:hAnsi="黑体" w:eastAsia="黑体" w:cs="黑体"/>
                <w:lang w:val="en-US" w:eastAsia="zh-CN"/>
              </w:rPr>
              <w:t>张</w:t>
            </w:r>
          </w:p>
        </w:tc>
        <w:tc>
          <w:tcPr>
            <w:tcW w:w="1780" w:type="dxa"/>
            <w:vAlign w:val="center"/>
          </w:tcPr>
          <w:p w14:paraId="0E197F37">
            <w:pPr>
              <w:pStyle w:val="11"/>
              <w:jc w:val="center"/>
              <w:rPr>
                <w:rFonts w:hint="eastAsia" w:ascii="黑体" w:hAnsi="黑体" w:eastAsia="黑体" w:cs="黑体"/>
                <w:lang w:val="en-US" w:eastAsia="zh-CN"/>
              </w:rPr>
            </w:pPr>
          </w:p>
        </w:tc>
        <w:tc>
          <w:tcPr>
            <w:tcW w:w="1193" w:type="dxa"/>
            <w:vAlign w:val="center"/>
          </w:tcPr>
          <w:p w14:paraId="59528ACA">
            <w:pPr>
              <w:pStyle w:val="11"/>
              <w:jc w:val="center"/>
              <w:rPr>
                <w:rFonts w:hint="eastAsia" w:ascii="黑体" w:hAnsi="黑体" w:eastAsia="黑体" w:cs="黑体"/>
                <w:lang w:val="en-US" w:eastAsia="zh-CN"/>
              </w:rPr>
            </w:pPr>
          </w:p>
        </w:tc>
        <w:tc>
          <w:tcPr>
            <w:tcW w:w="2188" w:type="dxa"/>
            <w:shd w:val="clear" w:color="auto" w:fill="auto"/>
            <w:vAlign w:val="center"/>
          </w:tcPr>
          <w:p w14:paraId="674B14BE">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41BB0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1E5D8A5B">
            <w:pPr>
              <w:pStyle w:val="11"/>
              <w:jc w:val="center"/>
              <w:rPr>
                <w:rFonts w:hint="eastAsia" w:ascii="黑体" w:hAnsi="黑体" w:eastAsia="黑体" w:cs="黑体"/>
                <w:lang w:val="en-US" w:eastAsia="zh-CN"/>
              </w:rPr>
            </w:pPr>
            <w:r>
              <w:rPr>
                <w:rFonts w:hint="eastAsia" w:ascii="黑体" w:hAnsi="黑体" w:eastAsia="黑体" w:cs="黑体"/>
                <w:lang w:val="en-US" w:eastAsia="zh-CN"/>
              </w:rPr>
              <w:t>9</w:t>
            </w:r>
          </w:p>
        </w:tc>
        <w:tc>
          <w:tcPr>
            <w:tcW w:w="1728" w:type="dxa"/>
            <w:vAlign w:val="center"/>
          </w:tcPr>
          <w:p w14:paraId="7EF9A8C1">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办公椅</w:t>
            </w:r>
          </w:p>
        </w:tc>
        <w:tc>
          <w:tcPr>
            <w:tcW w:w="1411" w:type="dxa"/>
            <w:vAlign w:val="center"/>
          </w:tcPr>
          <w:p w14:paraId="1536EA0B">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200</w:t>
            </w:r>
          </w:p>
        </w:tc>
        <w:tc>
          <w:tcPr>
            <w:tcW w:w="889" w:type="dxa"/>
            <w:vAlign w:val="center"/>
          </w:tcPr>
          <w:p w14:paraId="4039C032">
            <w:pPr>
              <w:pStyle w:val="11"/>
              <w:jc w:val="center"/>
              <w:rPr>
                <w:rFonts w:hint="eastAsia" w:ascii="黑体" w:hAnsi="黑体" w:eastAsia="黑体" w:cs="黑体"/>
                <w:lang w:eastAsia="zh-CN"/>
              </w:rPr>
            </w:pPr>
            <w:r>
              <w:rPr>
                <w:rFonts w:hint="eastAsia" w:ascii="黑体" w:hAnsi="黑体" w:eastAsia="黑体" w:cs="黑体"/>
                <w:lang w:val="en-US" w:eastAsia="zh-CN"/>
              </w:rPr>
              <w:t>把</w:t>
            </w:r>
          </w:p>
        </w:tc>
        <w:tc>
          <w:tcPr>
            <w:tcW w:w="1780" w:type="dxa"/>
            <w:vAlign w:val="center"/>
          </w:tcPr>
          <w:p w14:paraId="4FB3ED40">
            <w:pPr>
              <w:pStyle w:val="11"/>
              <w:jc w:val="center"/>
              <w:rPr>
                <w:rFonts w:hint="eastAsia" w:ascii="黑体" w:hAnsi="黑体" w:eastAsia="黑体" w:cs="黑体"/>
                <w:lang w:val="en-US" w:eastAsia="zh-CN"/>
              </w:rPr>
            </w:pPr>
          </w:p>
        </w:tc>
        <w:tc>
          <w:tcPr>
            <w:tcW w:w="1193" w:type="dxa"/>
            <w:vAlign w:val="center"/>
          </w:tcPr>
          <w:p w14:paraId="54FA0133">
            <w:pPr>
              <w:pStyle w:val="11"/>
              <w:jc w:val="center"/>
              <w:rPr>
                <w:rFonts w:hint="eastAsia" w:ascii="黑体" w:hAnsi="黑体" w:eastAsia="黑体" w:cs="黑体"/>
                <w:lang w:val="en-US" w:eastAsia="zh-CN"/>
              </w:rPr>
            </w:pPr>
          </w:p>
        </w:tc>
        <w:tc>
          <w:tcPr>
            <w:tcW w:w="2188" w:type="dxa"/>
            <w:shd w:val="clear" w:color="auto" w:fill="auto"/>
            <w:vAlign w:val="center"/>
          </w:tcPr>
          <w:p w14:paraId="587498F4">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66135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6EED4E0A">
            <w:pPr>
              <w:pStyle w:val="11"/>
              <w:jc w:val="center"/>
              <w:rPr>
                <w:rFonts w:hint="default" w:ascii="黑体" w:hAnsi="黑体" w:eastAsia="黑体" w:cs="黑体"/>
                <w:lang w:val="en-US" w:eastAsia="zh-CN"/>
              </w:rPr>
            </w:pPr>
            <w:r>
              <w:rPr>
                <w:rFonts w:hint="eastAsia" w:ascii="黑体" w:hAnsi="黑体" w:eastAsia="黑体" w:cs="黑体"/>
                <w:lang w:val="en-US" w:eastAsia="zh-CN"/>
              </w:rPr>
              <w:t>10</w:t>
            </w:r>
          </w:p>
        </w:tc>
        <w:tc>
          <w:tcPr>
            <w:tcW w:w="1728" w:type="dxa"/>
            <w:vAlign w:val="center"/>
          </w:tcPr>
          <w:p w14:paraId="2A4423FB">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诊断椅</w:t>
            </w:r>
          </w:p>
        </w:tc>
        <w:tc>
          <w:tcPr>
            <w:tcW w:w="1411" w:type="dxa"/>
            <w:vAlign w:val="center"/>
          </w:tcPr>
          <w:p w14:paraId="7E7171FB">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300</w:t>
            </w:r>
          </w:p>
        </w:tc>
        <w:tc>
          <w:tcPr>
            <w:tcW w:w="889" w:type="dxa"/>
            <w:vAlign w:val="center"/>
          </w:tcPr>
          <w:p w14:paraId="6D618EB2">
            <w:pPr>
              <w:pStyle w:val="11"/>
              <w:jc w:val="center"/>
              <w:rPr>
                <w:rFonts w:hint="eastAsia" w:ascii="黑体" w:hAnsi="黑体" w:eastAsia="黑体" w:cs="黑体"/>
                <w:lang w:eastAsia="zh-CN"/>
              </w:rPr>
            </w:pPr>
            <w:r>
              <w:rPr>
                <w:rFonts w:hint="eastAsia" w:ascii="黑体" w:hAnsi="黑体" w:eastAsia="黑体" w:cs="黑体"/>
                <w:lang w:val="en-US" w:eastAsia="zh-CN"/>
              </w:rPr>
              <w:t>把</w:t>
            </w:r>
          </w:p>
        </w:tc>
        <w:tc>
          <w:tcPr>
            <w:tcW w:w="1780" w:type="dxa"/>
            <w:vAlign w:val="center"/>
          </w:tcPr>
          <w:p w14:paraId="501F4ABE">
            <w:pPr>
              <w:pStyle w:val="11"/>
              <w:jc w:val="center"/>
              <w:rPr>
                <w:rFonts w:hint="eastAsia" w:ascii="黑体" w:hAnsi="黑体" w:eastAsia="黑体" w:cs="黑体"/>
                <w:lang w:val="en-US" w:eastAsia="zh-CN"/>
              </w:rPr>
            </w:pPr>
          </w:p>
        </w:tc>
        <w:tc>
          <w:tcPr>
            <w:tcW w:w="1193" w:type="dxa"/>
            <w:vAlign w:val="center"/>
          </w:tcPr>
          <w:p w14:paraId="7CC7F4F7">
            <w:pPr>
              <w:pStyle w:val="11"/>
              <w:jc w:val="center"/>
              <w:rPr>
                <w:rFonts w:hint="eastAsia" w:ascii="黑体" w:hAnsi="黑体" w:eastAsia="黑体" w:cs="黑体"/>
                <w:lang w:val="en-US" w:eastAsia="zh-CN"/>
              </w:rPr>
            </w:pPr>
          </w:p>
        </w:tc>
        <w:tc>
          <w:tcPr>
            <w:tcW w:w="2188" w:type="dxa"/>
            <w:shd w:val="clear" w:color="auto" w:fill="auto"/>
            <w:vAlign w:val="center"/>
          </w:tcPr>
          <w:p w14:paraId="4F236797">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227D3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120B4CD3">
            <w:pPr>
              <w:pStyle w:val="11"/>
              <w:jc w:val="center"/>
              <w:rPr>
                <w:rFonts w:hint="default" w:ascii="黑体" w:hAnsi="黑体" w:eastAsia="黑体" w:cs="黑体"/>
                <w:lang w:val="en-US" w:eastAsia="zh-CN"/>
              </w:rPr>
            </w:pPr>
            <w:r>
              <w:rPr>
                <w:rFonts w:hint="eastAsia" w:ascii="黑体" w:hAnsi="黑体" w:eastAsia="黑体" w:cs="黑体"/>
                <w:lang w:val="en-US" w:eastAsia="zh-CN"/>
              </w:rPr>
              <w:t>11</w:t>
            </w:r>
          </w:p>
        </w:tc>
        <w:tc>
          <w:tcPr>
            <w:tcW w:w="1728" w:type="dxa"/>
            <w:vAlign w:val="center"/>
          </w:tcPr>
          <w:p w14:paraId="1667CFBF">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圆凳（带升降带轮无靠背）</w:t>
            </w:r>
          </w:p>
        </w:tc>
        <w:tc>
          <w:tcPr>
            <w:tcW w:w="1411" w:type="dxa"/>
            <w:vAlign w:val="center"/>
          </w:tcPr>
          <w:p w14:paraId="4B67C98C">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4</w:t>
            </w:r>
          </w:p>
        </w:tc>
        <w:tc>
          <w:tcPr>
            <w:tcW w:w="889" w:type="dxa"/>
            <w:vAlign w:val="center"/>
          </w:tcPr>
          <w:p w14:paraId="49FDB495">
            <w:pPr>
              <w:pStyle w:val="11"/>
              <w:jc w:val="center"/>
              <w:rPr>
                <w:rFonts w:hint="eastAsia" w:ascii="黑体" w:hAnsi="黑体" w:eastAsia="黑体" w:cs="黑体"/>
                <w:lang w:eastAsia="zh-CN"/>
              </w:rPr>
            </w:pPr>
            <w:r>
              <w:rPr>
                <w:rFonts w:hint="eastAsia" w:ascii="黑体" w:hAnsi="黑体" w:eastAsia="黑体" w:cs="黑体"/>
                <w:lang w:val="en-US" w:eastAsia="zh-CN"/>
              </w:rPr>
              <w:t>把</w:t>
            </w:r>
          </w:p>
        </w:tc>
        <w:tc>
          <w:tcPr>
            <w:tcW w:w="1780" w:type="dxa"/>
            <w:vAlign w:val="center"/>
          </w:tcPr>
          <w:p w14:paraId="19C46FE5">
            <w:pPr>
              <w:pStyle w:val="11"/>
              <w:jc w:val="center"/>
              <w:rPr>
                <w:rFonts w:hint="eastAsia" w:ascii="黑体" w:hAnsi="黑体" w:eastAsia="黑体" w:cs="黑体"/>
                <w:lang w:val="en-US" w:eastAsia="zh-CN"/>
              </w:rPr>
            </w:pPr>
          </w:p>
        </w:tc>
        <w:tc>
          <w:tcPr>
            <w:tcW w:w="1193" w:type="dxa"/>
            <w:vAlign w:val="center"/>
          </w:tcPr>
          <w:p w14:paraId="239D3822">
            <w:pPr>
              <w:pStyle w:val="11"/>
              <w:jc w:val="center"/>
              <w:rPr>
                <w:rFonts w:hint="eastAsia" w:ascii="黑体" w:hAnsi="黑体" w:eastAsia="黑体" w:cs="黑体"/>
                <w:lang w:val="en-US" w:eastAsia="zh-CN"/>
              </w:rPr>
            </w:pPr>
          </w:p>
        </w:tc>
        <w:tc>
          <w:tcPr>
            <w:tcW w:w="2188" w:type="dxa"/>
            <w:shd w:val="clear" w:color="auto" w:fill="auto"/>
            <w:vAlign w:val="center"/>
          </w:tcPr>
          <w:p w14:paraId="1D852E4A">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03AA6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74806E9E">
            <w:pPr>
              <w:pStyle w:val="11"/>
              <w:jc w:val="center"/>
              <w:rPr>
                <w:rFonts w:hint="default" w:ascii="黑体" w:hAnsi="黑体" w:eastAsia="黑体" w:cs="黑体"/>
                <w:lang w:val="en-US" w:eastAsia="zh-CN"/>
              </w:rPr>
            </w:pPr>
            <w:r>
              <w:rPr>
                <w:rFonts w:hint="eastAsia" w:ascii="黑体" w:hAnsi="黑体" w:eastAsia="黑体" w:cs="黑体"/>
                <w:lang w:val="en-US" w:eastAsia="zh-CN"/>
              </w:rPr>
              <w:t>12</w:t>
            </w:r>
          </w:p>
        </w:tc>
        <w:tc>
          <w:tcPr>
            <w:tcW w:w="1728" w:type="dxa"/>
            <w:vAlign w:val="center"/>
          </w:tcPr>
          <w:p w14:paraId="08BBC0CE">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病员椅</w:t>
            </w:r>
          </w:p>
        </w:tc>
        <w:tc>
          <w:tcPr>
            <w:tcW w:w="1411" w:type="dxa"/>
            <w:vAlign w:val="center"/>
          </w:tcPr>
          <w:p w14:paraId="1A5C3526">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150</w:t>
            </w:r>
          </w:p>
        </w:tc>
        <w:tc>
          <w:tcPr>
            <w:tcW w:w="889" w:type="dxa"/>
            <w:vAlign w:val="center"/>
          </w:tcPr>
          <w:p w14:paraId="19463FED">
            <w:pPr>
              <w:pStyle w:val="11"/>
              <w:jc w:val="center"/>
              <w:rPr>
                <w:rFonts w:hint="eastAsia" w:ascii="黑体" w:hAnsi="黑体" w:eastAsia="黑体" w:cs="黑体"/>
                <w:lang w:eastAsia="zh-CN"/>
              </w:rPr>
            </w:pPr>
            <w:r>
              <w:rPr>
                <w:rFonts w:hint="eastAsia" w:ascii="黑体" w:hAnsi="黑体" w:eastAsia="黑体" w:cs="黑体"/>
                <w:lang w:val="en-US" w:eastAsia="zh-CN"/>
              </w:rPr>
              <w:t>把</w:t>
            </w:r>
          </w:p>
        </w:tc>
        <w:tc>
          <w:tcPr>
            <w:tcW w:w="1780" w:type="dxa"/>
            <w:vAlign w:val="center"/>
          </w:tcPr>
          <w:p w14:paraId="03A1B76F">
            <w:pPr>
              <w:pStyle w:val="11"/>
              <w:jc w:val="center"/>
              <w:rPr>
                <w:rFonts w:hint="eastAsia" w:ascii="黑体" w:hAnsi="黑体" w:eastAsia="黑体" w:cs="黑体"/>
                <w:lang w:val="en-US" w:eastAsia="zh-CN"/>
              </w:rPr>
            </w:pPr>
          </w:p>
        </w:tc>
        <w:tc>
          <w:tcPr>
            <w:tcW w:w="1193" w:type="dxa"/>
            <w:vAlign w:val="center"/>
          </w:tcPr>
          <w:p w14:paraId="7E21DE8B">
            <w:pPr>
              <w:pStyle w:val="11"/>
              <w:jc w:val="center"/>
              <w:rPr>
                <w:rFonts w:hint="eastAsia" w:ascii="黑体" w:hAnsi="黑体" w:eastAsia="黑体" w:cs="黑体"/>
                <w:lang w:val="en-US" w:eastAsia="zh-CN"/>
              </w:rPr>
            </w:pPr>
          </w:p>
        </w:tc>
        <w:tc>
          <w:tcPr>
            <w:tcW w:w="2188" w:type="dxa"/>
            <w:shd w:val="clear" w:color="auto" w:fill="auto"/>
            <w:vAlign w:val="center"/>
          </w:tcPr>
          <w:p w14:paraId="3ED4056B">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140B7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411B587C">
            <w:pPr>
              <w:pStyle w:val="11"/>
              <w:jc w:val="center"/>
              <w:rPr>
                <w:rFonts w:hint="default" w:ascii="黑体" w:hAnsi="黑体" w:eastAsia="黑体" w:cs="黑体"/>
                <w:lang w:val="en-US" w:eastAsia="zh-CN"/>
              </w:rPr>
            </w:pPr>
            <w:r>
              <w:rPr>
                <w:rFonts w:hint="eastAsia" w:ascii="黑体" w:hAnsi="黑体" w:eastAsia="黑体" w:cs="黑体"/>
                <w:lang w:val="en-US" w:eastAsia="zh-CN"/>
              </w:rPr>
              <w:t>13</w:t>
            </w:r>
          </w:p>
        </w:tc>
        <w:tc>
          <w:tcPr>
            <w:tcW w:w="1728" w:type="dxa"/>
            <w:vAlign w:val="center"/>
          </w:tcPr>
          <w:p w14:paraId="0AA2C93D">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办公室客椅</w:t>
            </w:r>
          </w:p>
        </w:tc>
        <w:tc>
          <w:tcPr>
            <w:tcW w:w="1411" w:type="dxa"/>
            <w:vAlign w:val="center"/>
          </w:tcPr>
          <w:p w14:paraId="3053C566">
            <w:pPr>
              <w:pStyle w:val="11"/>
              <w:jc w:val="center"/>
              <w:rPr>
                <w:rFonts w:hint="default" w:ascii="黑体" w:hAnsi="黑体" w:eastAsia="黑体" w:cs="黑体"/>
                <w:lang w:val="en-US" w:eastAsia="zh-CN"/>
              </w:rPr>
            </w:pPr>
            <w:r>
              <w:rPr>
                <w:rFonts w:hint="eastAsia" w:ascii="黑体" w:hAnsi="黑体" w:eastAsia="黑体" w:cs="黑体"/>
                <w:lang w:val="en-US" w:eastAsia="zh-CN"/>
              </w:rPr>
              <w:t>50</w:t>
            </w:r>
          </w:p>
        </w:tc>
        <w:tc>
          <w:tcPr>
            <w:tcW w:w="889" w:type="dxa"/>
            <w:vAlign w:val="center"/>
          </w:tcPr>
          <w:p w14:paraId="37E40A57">
            <w:pPr>
              <w:pStyle w:val="11"/>
              <w:jc w:val="center"/>
              <w:rPr>
                <w:rFonts w:hint="eastAsia" w:ascii="黑体" w:hAnsi="黑体" w:eastAsia="黑体" w:cs="黑体"/>
                <w:lang w:eastAsia="zh-CN"/>
              </w:rPr>
            </w:pPr>
            <w:r>
              <w:rPr>
                <w:rFonts w:hint="eastAsia" w:ascii="黑体" w:hAnsi="黑体" w:eastAsia="黑体" w:cs="黑体"/>
                <w:lang w:val="en-US" w:eastAsia="zh-CN"/>
              </w:rPr>
              <w:t>把</w:t>
            </w:r>
          </w:p>
        </w:tc>
        <w:tc>
          <w:tcPr>
            <w:tcW w:w="1780" w:type="dxa"/>
            <w:vAlign w:val="center"/>
          </w:tcPr>
          <w:p w14:paraId="486C5685">
            <w:pPr>
              <w:pStyle w:val="11"/>
              <w:jc w:val="center"/>
              <w:rPr>
                <w:rFonts w:hint="eastAsia" w:ascii="黑体" w:hAnsi="黑体" w:eastAsia="黑体" w:cs="黑体"/>
                <w:lang w:val="en-US" w:eastAsia="zh-CN"/>
              </w:rPr>
            </w:pPr>
          </w:p>
        </w:tc>
        <w:tc>
          <w:tcPr>
            <w:tcW w:w="1193" w:type="dxa"/>
            <w:vAlign w:val="center"/>
          </w:tcPr>
          <w:p w14:paraId="0C25C6BF">
            <w:pPr>
              <w:pStyle w:val="11"/>
              <w:jc w:val="center"/>
              <w:rPr>
                <w:rFonts w:hint="eastAsia" w:ascii="黑体" w:hAnsi="黑体" w:eastAsia="黑体" w:cs="黑体"/>
                <w:lang w:val="en-US" w:eastAsia="zh-CN"/>
              </w:rPr>
            </w:pPr>
          </w:p>
        </w:tc>
        <w:tc>
          <w:tcPr>
            <w:tcW w:w="2188" w:type="dxa"/>
            <w:shd w:val="clear" w:color="auto" w:fill="auto"/>
            <w:vAlign w:val="center"/>
          </w:tcPr>
          <w:p w14:paraId="54FF4E86">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25FDD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36C95039">
            <w:pPr>
              <w:pStyle w:val="11"/>
              <w:jc w:val="center"/>
              <w:rPr>
                <w:rFonts w:hint="default" w:ascii="黑体" w:hAnsi="黑体" w:eastAsia="黑体" w:cs="黑体"/>
                <w:lang w:val="en-US" w:eastAsia="zh-CN"/>
              </w:rPr>
            </w:pPr>
            <w:r>
              <w:rPr>
                <w:rFonts w:hint="eastAsia" w:ascii="黑体" w:hAnsi="黑体" w:eastAsia="黑体" w:cs="黑体"/>
                <w:lang w:val="en-US" w:eastAsia="zh-CN"/>
              </w:rPr>
              <w:t>14</w:t>
            </w:r>
          </w:p>
        </w:tc>
        <w:tc>
          <w:tcPr>
            <w:tcW w:w="1728" w:type="dxa"/>
            <w:vAlign w:val="center"/>
          </w:tcPr>
          <w:p w14:paraId="58691ACF">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候诊椅（三人）</w:t>
            </w:r>
          </w:p>
        </w:tc>
        <w:tc>
          <w:tcPr>
            <w:tcW w:w="1411" w:type="dxa"/>
            <w:vAlign w:val="center"/>
          </w:tcPr>
          <w:p w14:paraId="2A923812">
            <w:pPr>
              <w:pStyle w:val="11"/>
              <w:jc w:val="center"/>
              <w:rPr>
                <w:rFonts w:hint="default" w:ascii="黑体" w:hAnsi="黑体" w:eastAsia="黑体" w:cs="黑体"/>
                <w:lang w:val="en-US" w:eastAsia="zh-CN"/>
              </w:rPr>
            </w:pPr>
            <w:r>
              <w:rPr>
                <w:rFonts w:hint="eastAsia" w:ascii="黑体" w:hAnsi="黑体" w:eastAsia="黑体" w:cs="黑体"/>
                <w:lang w:val="en-US" w:eastAsia="zh-CN"/>
              </w:rPr>
              <w:t>50</w:t>
            </w:r>
          </w:p>
        </w:tc>
        <w:tc>
          <w:tcPr>
            <w:tcW w:w="889" w:type="dxa"/>
            <w:vAlign w:val="center"/>
          </w:tcPr>
          <w:p w14:paraId="1D612372">
            <w:pPr>
              <w:pStyle w:val="11"/>
              <w:jc w:val="center"/>
              <w:rPr>
                <w:rFonts w:hint="eastAsia" w:ascii="黑体" w:hAnsi="黑体" w:eastAsia="黑体" w:cs="黑体"/>
                <w:lang w:eastAsia="zh-CN"/>
              </w:rPr>
            </w:pPr>
            <w:r>
              <w:rPr>
                <w:rFonts w:hint="eastAsia" w:ascii="黑体" w:hAnsi="黑体" w:eastAsia="黑体" w:cs="黑体"/>
                <w:lang w:val="en-US" w:eastAsia="zh-CN"/>
              </w:rPr>
              <w:t>把</w:t>
            </w:r>
          </w:p>
        </w:tc>
        <w:tc>
          <w:tcPr>
            <w:tcW w:w="1780" w:type="dxa"/>
            <w:vAlign w:val="center"/>
          </w:tcPr>
          <w:p w14:paraId="44E78519">
            <w:pPr>
              <w:pStyle w:val="11"/>
              <w:jc w:val="center"/>
              <w:rPr>
                <w:rFonts w:hint="eastAsia" w:ascii="黑体" w:hAnsi="黑体" w:eastAsia="黑体" w:cs="黑体"/>
                <w:lang w:val="en-US" w:eastAsia="zh-CN"/>
              </w:rPr>
            </w:pPr>
          </w:p>
        </w:tc>
        <w:tc>
          <w:tcPr>
            <w:tcW w:w="1193" w:type="dxa"/>
            <w:vAlign w:val="center"/>
          </w:tcPr>
          <w:p w14:paraId="6AD7D5F5">
            <w:pPr>
              <w:pStyle w:val="11"/>
              <w:jc w:val="center"/>
              <w:rPr>
                <w:rFonts w:hint="eastAsia" w:ascii="黑体" w:hAnsi="黑体" w:eastAsia="黑体" w:cs="黑体"/>
                <w:lang w:val="en-US" w:eastAsia="zh-CN"/>
              </w:rPr>
            </w:pPr>
          </w:p>
        </w:tc>
        <w:tc>
          <w:tcPr>
            <w:tcW w:w="2188" w:type="dxa"/>
            <w:shd w:val="clear" w:color="auto" w:fill="auto"/>
            <w:vAlign w:val="center"/>
          </w:tcPr>
          <w:p w14:paraId="67CFB6B2">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3073F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5EA816FF">
            <w:pPr>
              <w:pStyle w:val="11"/>
              <w:jc w:val="center"/>
              <w:rPr>
                <w:rFonts w:hint="default" w:ascii="黑体" w:hAnsi="黑体" w:eastAsia="黑体" w:cs="黑体"/>
                <w:lang w:val="en-US" w:eastAsia="zh-CN"/>
              </w:rPr>
            </w:pPr>
            <w:r>
              <w:rPr>
                <w:rFonts w:hint="eastAsia" w:ascii="黑体" w:hAnsi="黑体" w:eastAsia="黑体" w:cs="黑体"/>
                <w:lang w:val="en-US" w:eastAsia="zh-CN"/>
              </w:rPr>
              <w:t>15</w:t>
            </w:r>
          </w:p>
        </w:tc>
        <w:tc>
          <w:tcPr>
            <w:tcW w:w="1728" w:type="dxa"/>
            <w:vAlign w:val="center"/>
          </w:tcPr>
          <w:p w14:paraId="60935688">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候诊椅（四人）</w:t>
            </w:r>
          </w:p>
        </w:tc>
        <w:tc>
          <w:tcPr>
            <w:tcW w:w="1411" w:type="dxa"/>
            <w:vAlign w:val="center"/>
          </w:tcPr>
          <w:p w14:paraId="4757B5A9">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150</w:t>
            </w:r>
          </w:p>
        </w:tc>
        <w:tc>
          <w:tcPr>
            <w:tcW w:w="889" w:type="dxa"/>
            <w:vAlign w:val="center"/>
          </w:tcPr>
          <w:p w14:paraId="45FF45C2">
            <w:pPr>
              <w:pStyle w:val="11"/>
              <w:jc w:val="center"/>
              <w:rPr>
                <w:rFonts w:hint="eastAsia" w:ascii="黑体" w:hAnsi="黑体" w:eastAsia="黑体" w:cs="黑体"/>
                <w:lang w:eastAsia="zh-CN"/>
              </w:rPr>
            </w:pPr>
            <w:r>
              <w:rPr>
                <w:rFonts w:hint="eastAsia" w:ascii="黑体" w:hAnsi="黑体" w:eastAsia="黑体" w:cs="黑体"/>
                <w:lang w:val="en-US" w:eastAsia="zh-CN"/>
              </w:rPr>
              <w:t>把</w:t>
            </w:r>
          </w:p>
        </w:tc>
        <w:tc>
          <w:tcPr>
            <w:tcW w:w="1780" w:type="dxa"/>
            <w:vAlign w:val="center"/>
          </w:tcPr>
          <w:p w14:paraId="3727441C">
            <w:pPr>
              <w:pStyle w:val="11"/>
              <w:jc w:val="center"/>
              <w:rPr>
                <w:rFonts w:hint="eastAsia" w:ascii="黑体" w:hAnsi="黑体" w:eastAsia="黑体" w:cs="黑体"/>
                <w:lang w:val="en-US" w:eastAsia="zh-CN"/>
              </w:rPr>
            </w:pPr>
          </w:p>
        </w:tc>
        <w:tc>
          <w:tcPr>
            <w:tcW w:w="1193" w:type="dxa"/>
            <w:vAlign w:val="center"/>
          </w:tcPr>
          <w:p w14:paraId="0C611154">
            <w:pPr>
              <w:pStyle w:val="11"/>
              <w:jc w:val="center"/>
              <w:rPr>
                <w:rFonts w:hint="eastAsia" w:ascii="黑体" w:hAnsi="黑体" w:eastAsia="黑体" w:cs="黑体"/>
                <w:lang w:val="en-US" w:eastAsia="zh-CN"/>
              </w:rPr>
            </w:pPr>
          </w:p>
        </w:tc>
        <w:tc>
          <w:tcPr>
            <w:tcW w:w="2188" w:type="dxa"/>
            <w:shd w:val="clear" w:color="auto" w:fill="auto"/>
            <w:vAlign w:val="center"/>
          </w:tcPr>
          <w:p w14:paraId="147933F1">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185CB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0F5674DC">
            <w:pPr>
              <w:pStyle w:val="11"/>
              <w:jc w:val="center"/>
              <w:rPr>
                <w:rFonts w:hint="default" w:ascii="黑体" w:hAnsi="黑体" w:eastAsia="黑体" w:cs="黑体"/>
                <w:lang w:val="en-US" w:eastAsia="zh-CN"/>
              </w:rPr>
            </w:pPr>
            <w:r>
              <w:rPr>
                <w:rFonts w:hint="eastAsia" w:ascii="黑体" w:hAnsi="黑体" w:eastAsia="黑体" w:cs="黑体"/>
                <w:lang w:val="en-US" w:eastAsia="zh-CN"/>
              </w:rPr>
              <w:t>16</w:t>
            </w:r>
          </w:p>
        </w:tc>
        <w:tc>
          <w:tcPr>
            <w:tcW w:w="1728" w:type="dxa"/>
            <w:vAlign w:val="center"/>
          </w:tcPr>
          <w:p w14:paraId="2F72ADB8">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体检中心等候沙发</w:t>
            </w:r>
          </w:p>
        </w:tc>
        <w:tc>
          <w:tcPr>
            <w:tcW w:w="1411" w:type="dxa"/>
            <w:vAlign w:val="center"/>
          </w:tcPr>
          <w:p w14:paraId="0ED55FD7">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30</w:t>
            </w:r>
          </w:p>
        </w:tc>
        <w:tc>
          <w:tcPr>
            <w:tcW w:w="889" w:type="dxa"/>
            <w:vAlign w:val="center"/>
          </w:tcPr>
          <w:p w14:paraId="4BB3332C">
            <w:pPr>
              <w:pStyle w:val="11"/>
              <w:jc w:val="center"/>
              <w:rPr>
                <w:rFonts w:hint="default" w:ascii="黑体" w:hAnsi="黑体" w:eastAsia="黑体" w:cs="黑体"/>
                <w:lang w:val="en-US" w:eastAsia="zh-CN"/>
              </w:rPr>
            </w:pPr>
            <w:r>
              <w:rPr>
                <w:rFonts w:hint="eastAsia" w:ascii="黑体" w:hAnsi="黑体" w:eastAsia="黑体" w:cs="黑体"/>
                <w:lang w:val="en-US" w:eastAsia="zh-CN"/>
              </w:rPr>
              <w:t>套</w:t>
            </w:r>
          </w:p>
        </w:tc>
        <w:tc>
          <w:tcPr>
            <w:tcW w:w="1780" w:type="dxa"/>
            <w:vAlign w:val="center"/>
          </w:tcPr>
          <w:p w14:paraId="068053AB">
            <w:pPr>
              <w:pStyle w:val="11"/>
              <w:jc w:val="center"/>
              <w:rPr>
                <w:rFonts w:hint="eastAsia" w:ascii="黑体" w:hAnsi="黑体" w:eastAsia="黑体" w:cs="黑体"/>
                <w:lang w:val="en-US" w:eastAsia="zh-CN"/>
              </w:rPr>
            </w:pPr>
          </w:p>
        </w:tc>
        <w:tc>
          <w:tcPr>
            <w:tcW w:w="1193" w:type="dxa"/>
            <w:vAlign w:val="center"/>
          </w:tcPr>
          <w:p w14:paraId="0C5F60BE">
            <w:pPr>
              <w:pStyle w:val="11"/>
              <w:jc w:val="center"/>
              <w:rPr>
                <w:rFonts w:hint="eastAsia" w:ascii="黑体" w:hAnsi="黑体" w:eastAsia="黑体" w:cs="黑体"/>
                <w:lang w:val="en-US" w:eastAsia="zh-CN"/>
              </w:rPr>
            </w:pPr>
          </w:p>
        </w:tc>
        <w:tc>
          <w:tcPr>
            <w:tcW w:w="2188" w:type="dxa"/>
            <w:shd w:val="clear" w:color="auto" w:fill="auto"/>
            <w:vAlign w:val="center"/>
          </w:tcPr>
          <w:p w14:paraId="67BC888D">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6C15B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276601C3">
            <w:pPr>
              <w:pStyle w:val="11"/>
              <w:jc w:val="center"/>
              <w:rPr>
                <w:rFonts w:hint="default" w:ascii="黑体" w:hAnsi="黑体" w:eastAsia="黑体" w:cs="黑体"/>
                <w:lang w:val="en-US" w:eastAsia="zh-CN"/>
              </w:rPr>
            </w:pPr>
            <w:r>
              <w:rPr>
                <w:rFonts w:hint="eastAsia" w:ascii="黑体" w:hAnsi="黑体" w:eastAsia="黑体" w:cs="黑体"/>
                <w:lang w:val="en-US" w:eastAsia="zh-CN"/>
              </w:rPr>
              <w:t>17</w:t>
            </w:r>
          </w:p>
        </w:tc>
        <w:tc>
          <w:tcPr>
            <w:tcW w:w="1728" w:type="dxa"/>
            <w:vAlign w:val="center"/>
          </w:tcPr>
          <w:p w14:paraId="225EBD85">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单人沙发</w:t>
            </w:r>
          </w:p>
        </w:tc>
        <w:tc>
          <w:tcPr>
            <w:tcW w:w="1411" w:type="dxa"/>
            <w:vAlign w:val="center"/>
          </w:tcPr>
          <w:p w14:paraId="367F8C2F">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10</w:t>
            </w:r>
          </w:p>
        </w:tc>
        <w:tc>
          <w:tcPr>
            <w:tcW w:w="889" w:type="dxa"/>
            <w:vAlign w:val="center"/>
          </w:tcPr>
          <w:p w14:paraId="4DABFB23">
            <w:pPr>
              <w:pStyle w:val="11"/>
              <w:jc w:val="center"/>
              <w:rPr>
                <w:rFonts w:hint="eastAsia" w:ascii="黑体" w:hAnsi="黑体" w:eastAsia="黑体" w:cs="黑体"/>
                <w:lang w:eastAsia="zh-CN"/>
              </w:rPr>
            </w:pPr>
            <w:r>
              <w:rPr>
                <w:rFonts w:hint="eastAsia" w:ascii="黑体" w:hAnsi="黑体" w:eastAsia="黑体" w:cs="黑体"/>
                <w:lang w:val="en-US" w:eastAsia="zh-CN"/>
              </w:rPr>
              <w:t>套</w:t>
            </w:r>
          </w:p>
        </w:tc>
        <w:tc>
          <w:tcPr>
            <w:tcW w:w="1780" w:type="dxa"/>
            <w:vAlign w:val="center"/>
          </w:tcPr>
          <w:p w14:paraId="64E22E4F">
            <w:pPr>
              <w:pStyle w:val="11"/>
              <w:jc w:val="center"/>
              <w:rPr>
                <w:rFonts w:hint="eastAsia" w:ascii="黑体" w:hAnsi="黑体" w:eastAsia="黑体" w:cs="黑体"/>
                <w:lang w:val="en-US" w:eastAsia="zh-CN"/>
              </w:rPr>
            </w:pPr>
          </w:p>
        </w:tc>
        <w:tc>
          <w:tcPr>
            <w:tcW w:w="1193" w:type="dxa"/>
            <w:vAlign w:val="center"/>
          </w:tcPr>
          <w:p w14:paraId="357FD15E">
            <w:pPr>
              <w:pStyle w:val="11"/>
              <w:jc w:val="center"/>
              <w:rPr>
                <w:rFonts w:hint="eastAsia" w:ascii="黑体" w:hAnsi="黑体" w:eastAsia="黑体" w:cs="黑体"/>
                <w:lang w:val="en-US" w:eastAsia="zh-CN"/>
              </w:rPr>
            </w:pPr>
          </w:p>
        </w:tc>
        <w:tc>
          <w:tcPr>
            <w:tcW w:w="2188" w:type="dxa"/>
            <w:shd w:val="clear" w:color="auto" w:fill="auto"/>
            <w:vAlign w:val="center"/>
          </w:tcPr>
          <w:p w14:paraId="451E61A1">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3A5B2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2974F6A2">
            <w:pPr>
              <w:pStyle w:val="11"/>
              <w:jc w:val="center"/>
              <w:rPr>
                <w:rFonts w:hint="default" w:ascii="黑体" w:hAnsi="黑体" w:eastAsia="黑体" w:cs="黑体"/>
                <w:lang w:val="en-US" w:eastAsia="zh-CN"/>
              </w:rPr>
            </w:pPr>
            <w:r>
              <w:rPr>
                <w:rFonts w:hint="eastAsia" w:ascii="黑体" w:hAnsi="黑体" w:eastAsia="黑体" w:cs="黑体"/>
                <w:lang w:val="en-US" w:eastAsia="zh-CN"/>
              </w:rPr>
              <w:t>18</w:t>
            </w:r>
          </w:p>
        </w:tc>
        <w:tc>
          <w:tcPr>
            <w:tcW w:w="1728" w:type="dxa"/>
            <w:vAlign w:val="center"/>
          </w:tcPr>
          <w:p w14:paraId="242C271F">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双人等候沙发</w:t>
            </w:r>
          </w:p>
        </w:tc>
        <w:tc>
          <w:tcPr>
            <w:tcW w:w="1411" w:type="dxa"/>
            <w:vAlign w:val="center"/>
          </w:tcPr>
          <w:p w14:paraId="03FD46A6">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30</w:t>
            </w:r>
          </w:p>
        </w:tc>
        <w:tc>
          <w:tcPr>
            <w:tcW w:w="889" w:type="dxa"/>
            <w:vAlign w:val="center"/>
          </w:tcPr>
          <w:p w14:paraId="5233B953">
            <w:pPr>
              <w:pStyle w:val="11"/>
              <w:jc w:val="center"/>
              <w:rPr>
                <w:rFonts w:hint="eastAsia" w:ascii="黑体" w:hAnsi="黑体" w:eastAsia="黑体" w:cs="黑体"/>
                <w:lang w:eastAsia="zh-CN"/>
              </w:rPr>
            </w:pPr>
            <w:r>
              <w:rPr>
                <w:rFonts w:hint="eastAsia" w:ascii="黑体" w:hAnsi="黑体" w:eastAsia="黑体" w:cs="黑体"/>
                <w:lang w:val="en-US" w:eastAsia="zh-CN"/>
              </w:rPr>
              <w:t>套</w:t>
            </w:r>
          </w:p>
        </w:tc>
        <w:tc>
          <w:tcPr>
            <w:tcW w:w="1780" w:type="dxa"/>
            <w:vAlign w:val="center"/>
          </w:tcPr>
          <w:p w14:paraId="0EB373BF">
            <w:pPr>
              <w:pStyle w:val="11"/>
              <w:jc w:val="center"/>
              <w:rPr>
                <w:rFonts w:hint="eastAsia" w:ascii="黑体" w:hAnsi="黑体" w:eastAsia="黑体" w:cs="黑体"/>
                <w:lang w:val="en-US" w:eastAsia="zh-CN"/>
              </w:rPr>
            </w:pPr>
          </w:p>
        </w:tc>
        <w:tc>
          <w:tcPr>
            <w:tcW w:w="1193" w:type="dxa"/>
            <w:vAlign w:val="center"/>
          </w:tcPr>
          <w:p w14:paraId="3946F467">
            <w:pPr>
              <w:pStyle w:val="11"/>
              <w:jc w:val="center"/>
              <w:rPr>
                <w:rFonts w:hint="eastAsia" w:ascii="黑体" w:hAnsi="黑体" w:eastAsia="黑体" w:cs="黑体"/>
                <w:lang w:val="en-US" w:eastAsia="zh-CN"/>
              </w:rPr>
            </w:pPr>
          </w:p>
        </w:tc>
        <w:tc>
          <w:tcPr>
            <w:tcW w:w="2188" w:type="dxa"/>
            <w:shd w:val="clear" w:color="auto" w:fill="auto"/>
            <w:vAlign w:val="center"/>
          </w:tcPr>
          <w:p w14:paraId="361BB98E">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64BC2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029A53E0">
            <w:pPr>
              <w:pStyle w:val="11"/>
              <w:jc w:val="center"/>
              <w:rPr>
                <w:rFonts w:hint="default" w:ascii="黑体" w:hAnsi="黑体" w:eastAsia="黑体" w:cs="黑体"/>
                <w:lang w:val="en-US" w:eastAsia="zh-CN"/>
              </w:rPr>
            </w:pPr>
            <w:r>
              <w:rPr>
                <w:rFonts w:hint="eastAsia" w:ascii="黑体" w:hAnsi="黑体" w:eastAsia="黑体" w:cs="黑体"/>
                <w:lang w:val="en-US" w:eastAsia="zh-CN"/>
              </w:rPr>
              <w:t>19</w:t>
            </w:r>
          </w:p>
        </w:tc>
        <w:tc>
          <w:tcPr>
            <w:tcW w:w="1728" w:type="dxa"/>
            <w:vAlign w:val="center"/>
          </w:tcPr>
          <w:p w14:paraId="1A406CBF">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VIP 会客沙发</w:t>
            </w:r>
          </w:p>
        </w:tc>
        <w:tc>
          <w:tcPr>
            <w:tcW w:w="1411" w:type="dxa"/>
            <w:vAlign w:val="center"/>
          </w:tcPr>
          <w:p w14:paraId="108009A5">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4</w:t>
            </w:r>
          </w:p>
        </w:tc>
        <w:tc>
          <w:tcPr>
            <w:tcW w:w="889" w:type="dxa"/>
            <w:vAlign w:val="center"/>
          </w:tcPr>
          <w:p w14:paraId="5A743E2F">
            <w:pPr>
              <w:pStyle w:val="11"/>
              <w:jc w:val="center"/>
              <w:rPr>
                <w:rFonts w:hint="eastAsia" w:ascii="黑体" w:hAnsi="黑体" w:eastAsia="黑体" w:cs="黑体"/>
                <w:lang w:eastAsia="zh-CN"/>
              </w:rPr>
            </w:pPr>
            <w:r>
              <w:rPr>
                <w:rFonts w:hint="eastAsia" w:ascii="黑体" w:hAnsi="黑体" w:eastAsia="黑体" w:cs="黑体"/>
                <w:lang w:val="en-US" w:eastAsia="zh-CN"/>
              </w:rPr>
              <w:t>套</w:t>
            </w:r>
          </w:p>
        </w:tc>
        <w:tc>
          <w:tcPr>
            <w:tcW w:w="1780" w:type="dxa"/>
            <w:vAlign w:val="center"/>
          </w:tcPr>
          <w:p w14:paraId="77FA8E87">
            <w:pPr>
              <w:pStyle w:val="11"/>
              <w:jc w:val="center"/>
              <w:rPr>
                <w:rFonts w:hint="eastAsia" w:ascii="黑体" w:hAnsi="黑体" w:eastAsia="黑体" w:cs="黑体"/>
                <w:lang w:val="en-US" w:eastAsia="zh-CN"/>
              </w:rPr>
            </w:pPr>
          </w:p>
        </w:tc>
        <w:tc>
          <w:tcPr>
            <w:tcW w:w="1193" w:type="dxa"/>
            <w:vAlign w:val="center"/>
          </w:tcPr>
          <w:p w14:paraId="779C8D81">
            <w:pPr>
              <w:pStyle w:val="11"/>
              <w:jc w:val="center"/>
              <w:rPr>
                <w:rFonts w:hint="eastAsia" w:ascii="黑体" w:hAnsi="黑体" w:eastAsia="黑体" w:cs="黑体"/>
                <w:lang w:val="en-US" w:eastAsia="zh-CN"/>
              </w:rPr>
            </w:pPr>
          </w:p>
        </w:tc>
        <w:tc>
          <w:tcPr>
            <w:tcW w:w="2188" w:type="dxa"/>
            <w:shd w:val="clear" w:color="auto" w:fill="auto"/>
            <w:vAlign w:val="center"/>
          </w:tcPr>
          <w:p w14:paraId="0C1AA923">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39AAB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0F3D89E8">
            <w:pPr>
              <w:pStyle w:val="11"/>
              <w:jc w:val="center"/>
              <w:rPr>
                <w:rFonts w:hint="default" w:ascii="黑体" w:hAnsi="黑体" w:eastAsia="黑体" w:cs="黑体"/>
                <w:lang w:val="en-US" w:eastAsia="zh-CN"/>
              </w:rPr>
            </w:pPr>
            <w:r>
              <w:rPr>
                <w:rFonts w:hint="eastAsia" w:ascii="黑体" w:hAnsi="黑体" w:eastAsia="黑体" w:cs="黑体"/>
                <w:lang w:val="en-US" w:eastAsia="zh-CN"/>
              </w:rPr>
              <w:t>20</w:t>
            </w:r>
          </w:p>
        </w:tc>
        <w:tc>
          <w:tcPr>
            <w:tcW w:w="1728" w:type="dxa"/>
            <w:vAlign w:val="center"/>
          </w:tcPr>
          <w:p w14:paraId="04456631">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换鞋凳</w:t>
            </w:r>
          </w:p>
        </w:tc>
        <w:tc>
          <w:tcPr>
            <w:tcW w:w="1411" w:type="dxa"/>
            <w:vAlign w:val="center"/>
          </w:tcPr>
          <w:p w14:paraId="2232027D">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100</w:t>
            </w:r>
          </w:p>
        </w:tc>
        <w:tc>
          <w:tcPr>
            <w:tcW w:w="889" w:type="dxa"/>
            <w:vAlign w:val="center"/>
          </w:tcPr>
          <w:p w14:paraId="5181F51A">
            <w:pPr>
              <w:pStyle w:val="11"/>
              <w:jc w:val="center"/>
              <w:rPr>
                <w:rFonts w:hint="eastAsia" w:ascii="黑体" w:hAnsi="黑体" w:eastAsia="黑体" w:cs="黑体"/>
                <w:lang w:eastAsia="zh-CN"/>
              </w:rPr>
            </w:pPr>
            <w:r>
              <w:rPr>
                <w:rFonts w:hint="eastAsia" w:ascii="黑体" w:hAnsi="黑体" w:eastAsia="黑体" w:cs="黑体"/>
                <w:lang w:val="en-US" w:eastAsia="zh-CN"/>
              </w:rPr>
              <w:t>把</w:t>
            </w:r>
          </w:p>
        </w:tc>
        <w:tc>
          <w:tcPr>
            <w:tcW w:w="1780" w:type="dxa"/>
            <w:vAlign w:val="center"/>
          </w:tcPr>
          <w:p w14:paraId="517680FF">
            <w:pPr>
              <w:pStyle w:val="11"/>
              <w:jc w:val="center"/>
              <w:rPr>
                <w:rFonts w:hint="eastAsia" w:ascii="黑体" w:hAnsi="黑体" w:eastAsia="黑体" w:cs="黑体"/>
                <w:lang w:val="en-US" w:eastAsia="zh-CN"/>
              </w:rPr>
            </w:pPr>
          </w:p>
        </w:tc>
        <w:tc>
          <w:tcPr>
            <w:tcW w:w="1193" w:type="dxa"/>
            <w:vAlign w:val="center"/>
          </w:tcPr>
          <w:p w14:paraId="7D32449A">
            <w:pPr>
              <w:pStyle w:val="11"/>
              <w:jc w:val="center"/>
              <w:rPr>
                <w:rFonts w:hint="eastAsia" w:ascii="黑体" w:hAnsi="黑体" w:eastAsia="黑体" w:cs="黑体"/>
                <w:lang w:val="en-US" w:eastAsia="zh-CN"/>
              </w:rPr>
            </w:pPr>
          </w:p>
        </w:tc>
        <w:tc>
          <w:tcPr>
            <w:tcW w:w="2188" w:type="dxa"/>
            <w:shd w:val="clear" w:color="auto" w:fill="auto"/>
            <w:vAlign w:val="center"/>
          </w:tcPr>
          <w:p w14:paraId="681F87E4">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70A75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0309D4F2">
            <w:pPr>
              <w:pStyle w:val="11"/>
              <w:jc w:val="center"/>
              <w:rPr>
                <w:rFonts w:hint="default" w:ascii="黑体" w:hAnsi="黑体" w:eastAsia="黑体" w:cs="黑体"/>
                <w:lang w:val="en-US" w:eastAsia="zh-CN"/>
              </w:rPr>
            </w:pPr>
            <w:r>
              <w:rPr>
                <w:rFonts w:hint="eastAsia" w:ascii="黑体" w:hAnsi="黑体" w:eastAsia="黑体" w:cs="黑体"/>
                <w:lang w:val="en-US" w:eastAsia="zh-CN"/>
              </w:rPr>
              <w:t>21</w:t>
            </w:r>
          </w:p>
        </w:tc>
        <w:tc>
          <w:tcPr>
            <w:tcW w:w="1728" w:type="dxa"/>
            <w:vAlign w:val="center"/>
          </w:tcPr>
          <w:p w14:paraId="53F49D70">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更衣柜</w:t>
            </w:r>
          </w:p>
        </w:tc>
        <w:tc>
          <w:tcPr>
            <w:tcW w:w="1411" w:type="dxa"/>
            <w:vAlign w:val="center"/>
          </w:tcPr>
          <w:p w14:paraId="2B85464D">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200</w:t>
            </w:r>
          </w:p>
        </w:tc>
        <w:tc>
          <w:tcPr>
            <w:tcW w:w="889" w:type="dxa"/>
            <w:vAlign w:val="center"/>
          </w:tcPr>
          <w:p w14:paraId="2CD50C4E">
            <w:pPr>
              <w:pStyle w:val="11"/>
              <w:jc w:val="center"/>
              <w:rPr>
                <w:rFonts w:hint="default" w:ascii="黑体" w:hAnsi="黑体" w:eastAsia="黑体" w:cs="黑体"/>
                <w:lang w:val="en-US" w:eastAsia="zh-CN"/>
              </w:rPr>
            </w:pPr>
            <w:r>
              <w:rPr>
                <w:rFonts w:hint="eastAsia" w:ascii="黑体" w:hAnsi="黑体" w:eastAsia="黑体" w:cs="黑体"/>
                <w:lang w:val="en-US" w:eastAsia="zh-CN"/>
              </w:rPr>
              <w:t>组</w:t>
            </w:r>
          </w:p>
        </w:tc>
        <w:tc>
          <w:tcPr>
            <w:tcW w:w="1780" w:type="dxa"/>
            <w:vAlign w:val="center"/>
          </w:tcPr>
          <w:p w14:paraId="3A0D5033">
            <w:pPr>
              <w:pStyle w:val="11"/>
              <w:jc w:val="center"/>
              <w:rPr>
                <w:rFonts w:hint="eastAsia" w:ascii="黑体" w:hAnsi="黑体" w:eastAsia="黑体" w:cs="黑体"/>
                <w:lang w:val="en-US" w:eastAsia="zh-CN"/>
              </w:rPr>
            </w:pPr>
          </w:p>
        </w:tc>
        <w:tc>
          <w:tcPr>
            <w:tcW w:w="1193" w:type="dxa"/>
            <w:vAlign w:val="center"/>
          </w:tcPr>
          <w:p w14:paraId="0A7073FD">
            <w:pPr>
              <w:pStyle w:val="11"/>
              <w:jc w:val="center"/>
              <w:rPr>
                <w:rFonts w:hint="eastAsia" w:ascii="黑体" w:hAnsi="黑体" w:eastAsia="黑体" w:cs="黑体"/>
                <w:lang w:val="en-US" w:eastAsia="zh-CN"/>
              </w:rPr>
            </w:pPr>
          </w:p>
        </w:tc>
        <w:tc>
          <w:tcPr>
            <w:tcW w:w="2188" w:type="dxa"/>
            <w:shd w:val="clear" w:color="auto" w:fill="auto"/>
            <w:vAlign w:val="center"/>
          </w:tcPr>
          <w:p w14:paraId="2D2A2B99">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50369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3A152E82">
            <w:pPr>
              <w:pStyle w:val="11"/>
              <w:jc w:val="center"/>
              <w:rPr>
                <w:rFonts w:hint="default" w:ascii="黑体" w:hAnsi="黑体" w:eastAsia="黑体" w:cs="黑体"/>
                <w:lang w:val="en-US" w:eastAsia="zh-CN"/>
              </w:rPr>
            </w:pPr>
            <w:r>
              <w:rPr>
                <w:rFonts w:hint="eastAsia" w:ascii="黑体" w:hAnsi="黑体" w:eastAsia="黑体" w:cs="黑体"/>
                <w:lang w:val="en-US" w:eastAsia="zh-CN"/>
              </w:rPr>
              <w:t>22</w:t>
            </w:r>
          </w:p>
        </w:tc>
        <w:tc>
          <w:tcPr>
            <w:tcW w:w="1728" w:type="dxa"/>
            <w:vAlign w:val="center"/>
          </w:tcPr>
          <w:p w14:paraId="6550B5B3">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钢制文件柜</w:t>
            </w:r>
          </w:p>
        </w:tc>
        <w:tc>
          <w:tcPr>
            <w:tcW w:w="1411" w:type="dxa"/>
            <w:vAlign w:val="center"/>
          </w:tcPr>
          <w:p w14:paraId="35C40A3C">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100</w:t>
            </w:r>
          </w:p>
        </w:tc>
        <w:tc>
          <w:tcPr>
            <w:tcW w:w="889" w:type="dxa"/>
            <w:vAlign w:val="center"/>
          </w:tcPr>
          <w:p w14:paraId="24FEFAD4">
            <w:pPr>
              <w:pStyle w:val="11"/>
              <w:jc w:val="center"/>
              <w:rPr>
                <w:rFonts w:hint="eastAsia" w:ascii="黑体" w:hAnsi="黑体" w:eastAsia="黑体" w:cs="黑体"/>
                <w:lang w:eastAsia="zh-CN"/>
              </w:rPr>
            </w:pPr>
            <w:r>
              <w:rPr>
                <w:rFonts w:hint="eastAsia" w:ascii="黑体" w:hAnsi="黑体" w:eastAsia="黑体" w:cs="黑体"/>
                <w:lang w:val="en-US" w:eastAsia="zh-CN"/>
              </w:rPr>
              <w:t>组</w:t>
            </w:r>
          </w:p>
        </w:tc>
        <w:tc>
          <w:tcPr>
            <w:tcW w:w="1780" w:type="dxa"/>
            <w:vAlign w:val="center"/>
          </w:tcPr>
          <w:p w14:paraId="63C0B871">
            <w:pPr>
              <w:pStyle w:val="11"/>
              <w:jc w:val="center"/>
              <w:rPr>
                <w:rFonts w:hint="eastAsia" w:ascii="黑体" w:hAnsi="黑体" w:eastAsia="黑体" w:cs="黑体"/>
                <w:lang w:val="en-US" w:eastAsia="zh-CN"/>
              </w:rPr>
            </w:pPr>
          </w:p>
        </w:tc>
        <w:tc>
          <w:tcPr>
            <w:tcW w:w="1193" w:type="dxa"/>
            <w:vAlign w:val="center"/>
          </w:tcPr>
          <w:p w14:paraId="71A68260">
            <w:pPr>
              <w:pStyle w:val="11"/>
              <w:jc w:val="center"/>
              <w:rPr>
                <w:rFonts w:hint="eastAsia" w:ascii="黑体" w:hAnsi="黑体" w:eastAsia="黑体" w:cs="黑体"/>
                <w:lang w:val="en-US" w:eastAsia="zh-CN"/>
              </w:rPr>
            </w:pPr>
          </w:p>
        </w:tc>
        <w:tc>
          <w:tcPr>
            <w:tcW w:w="2188" w:type="dxa"/>
            <w:shd w:val="clear" w:color="auto" w:fill="auto"/>
            <w:vAlign w:val="center"/>
          </w:tcPr>
          <w:p w14:paraId="4016F92D">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00A30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7D06E98D">
            <w:pPr>
              <w:pStyle w:val="11"/>
              <w:jc w:val="center"/>
              <w:rPr>
                <w:rFonts w:hint="default" w:ascii="黑体" w:hAnsi="黑体" w:eastAsia="黑体" w:cs="黑体"/>
                <w:lang w:val="en-US" w:eastAsia="zh-CN"/>
              </w:rPr>
            </w:pPr>
            <w:r>
              <w:rPr>
                <w:rFonts w:hint="eastAsia" w:ascii="黑体" w:hAnsi="黑体" w:eastAsia="黑体" w:cs="黑体"/>
                <w:lang w:val="en-US" w:eastAsia="zh-CN"/>
              </w:rPr>
              <w:t>23</w:t>
            </w:r>
          </w:p>
        </w:tc>
        <w:tc>
          <w:tcPr>
            <w:tcW w:w="1728" w:type="dxa"/>
            <w:vAlign w:val="center"/>
          </w:tcPr>
          <w:p w14:paraId="0AF5BF3A">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钢制药架</w:t>
            </w:r>
          </w:p>
        </w:tc>
        <w:tc>
          <w:tcPr>
            <w:tcW w:w="1411" w:type="dxa"/>
            <w:vAlign w:val="center"/>
          </w:tcPr>
          <w:p w14:paraId="27A65680">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50</w:t>
            </w:r>
          </w:p>
        </w:tc>
        <w:tc>
          <w:tcPr>
            <w:tcW w:w="889" w:type="dxa"/>
            <w:vAlign w:val="center"/>
          </w:tcPr>
          <w:p w14:paraId="249C4BBB">
            <w:pPr>
              <w:pStyle w:val="11"/>
              <w:jc w:val="center"/>
              <w:rPr>
                <w:rFonts w:hint="eastAsia" w:ascii="黑体" w:hAnsi="黑体" w:eastAsia="黑体" w:cs="黑体"/>
                <w:lang w:eastAsia="zh-CN"/>
              </w:rPr>
            </w:pPr>
            <w:r>
              <w:rPr>
                <w:rFonts w:hint="eastAsia" w:ascii="黑体" w:hAnsi="黑体" w:eastAsia="黑体" w:cs="黑体"/>
                <w:lang w:val="en-US" w:eastAsia="zh-CN"/>
              </w:rPr>
              <w:t>组</w:t>
            </w:r>
          </w:p>
        </w:tc>
        <w:tc>
          <w:tcPr>
            <w:tcW w:w="1780" w:type="dxa"/>
            <w:vAlign w:val="center"/>
          </w:tcPr>
          <w:p w14:paraId="69579B53">
            <w:pPr>
              <w:pStyle w:val="11"/>
              <w:jc w:val="center"/>
              <w:rPr>
                <w:rFonts w:hint="eastAsia" w:ascii="黑体" w:hAnsi="黑体" w:eastAsia="黑体" w:cs="黑体"/>
                <w:lang w:val="en-US" w:eastAsia="zh-CN"/>
              </w:rPr>
            </w:pPr>
          </w:p>
        </w:tc>
        <w:tc>
          <w:tcPr>
            <w:tcW w:w="1193" w:type="dxa"/>
            <w:vAlign w:val="center"/>
          </w:tcPr>
          <w:p w14:paraId="40AA2D1B">
            <w:pPr>
              <w:pStyle w:val="11"/>
              <w:jc w:val="center"/>
              <w:rPr>
                <w:rFonts w:hint="eastAsia" w:ascii="黑体" w:hAnsi="黑体" w:eastAsia="黑体" w:cs="黑体"/>
                <w:lang w:val="en-US" w:eastAsia="zh-CN"/>
              </w:rPr>
            </w:pPr>
          </w:p>
        </w:tc>
        <w:tc>
          <w:tcPr>
            <w:tcW w:w="2188" w:type="dxa"/>
            <w:shd w:val="clear" w:color="auto" w:fill="auto"/>
            <w:vAlign w:val="center"/>
          </w:tcPr>
          <w:p w14:paraId="215D0527">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2A093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4A9DAF8B">
            <w:pPr>
              <w:pStyle w:val="11"/>
              <w:jc w:val="center"/>
              <w:rPr>
                <w:rFonts w:hint="default" w:ascii="黑体" w:hAnsi="黑体" w:eastAsia="黑体" w:cs="黑体"/>
                <w:lang w:val="en-US" w:eastAsia="zh-CN"/>
              </w:rPr>
            </w:pPr>
            <w:r>
              <w:rPr>
                <w:rFonts w:hint="eastAsia" w:ascii="黑体" w:hAnsi="黑体" w:eastAsia="黑体" w:cs="黑体"/>
                <w:lang w:val="en-US" w:eastAsia="zh-CN"/>
              </w:rPr>
              <w:t>24</w:t>
            </w:r>
          </w:p>
        </w:tc>
        <w:tc>
          <w:tcPr>
            <w:tcW w:w="1728" w:type="dxa"/>
            <w:vAlign w:val="center"/>
          </w:tcPr>
          <w:p w14:paraId="4E774F68">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检查床</w:t>
            </w:r>
          </w:p>
        </w:tc>
        <w:tc>
          <w:tcPr>
            <w:tcW w:w="1411" w:type="dxa"/>
            <w:vAlign w:val="center"/>
          </w:tcPr>
          <w:p w14:paraId="5D7BFCFB">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100</w:t>
            </w:r>
          </w:p>
        </w:tc>
        <w:tc>
          <w:tcPr>
            <w:tcW w:w="889" w:type="dxa"/>
            <w:vAlign w:val="center"/>
          </w:tcPr>
          <w:p w14:paraId="6FBBB727">
            <w:pPr>
              <w:pStyle w:val="11"/>
              <w:jc w:val="center"/>
              <w:rPr>
                <w:rFonts w:hint="default" w:ascii="黑体" w:hAnsi="黑体" w:eastAsia="黑体" w:cs="黑体"/>
                <w:lang w:val="en-US" w:eastAsia="zh-CN"/>
              </w:rPr>
            </w:pPr>
            <w:r>
              <w:rPr>
                <w:rFonts w:hint="eastAsia" w:ascii="黑体" w:hAnsi="黑体" w:eastAsia="黑体" w:cs="黑体"/>
                <w:lang w:val="en-US" w:eastAsia="zh-CN"/>
              </w:rPr>
              <w:t>张</w:t>
            </w:r>
          </w:p>
        </w:tc>
        <w:tc>
          <w:tcPr>
            <w:tcW w:w="1780" w:type="dxa"/>
            <w:vAlign w:val="center"/>
          </w:tcPr>
          <w:p w14:paraId="0E565F70">
            <w:pPr>
              <w:pStyle w:val="11"/>
              <w:jc w:val="center"/>
              <w:rPr>
                <w:rFonts w:hint="eastAsia" w:ascii="黑体" w:hAnsi="黑体" w:eastAsia="黑体" w:cs="黑体"/>
                <w:lang w:val="en-US" w:eastAsia="zh-CN"/>
              </w:rPr>
            </w:pPr>
          </w:p>
        </w:tc>
        <w:tc>
          <w:tcPr>
            <w:tcW w:w="1193" w:type="dxa"/>
            <w:vAlign w:val="center"/>
          </w:tcPr>
          <w:p w14:paraId="73A504C4">
            <w:pPr>
              <w:pStyle w:val="11"/>
              <w:jc w:val="center"/>
              <w:rPr>
                <w:rFonts w:hint="eastAsia" w:ascii="黑体" w:hAnsi="黑体" w:eastAsia="黑体" w:cs="黑体"/>
                <w:lang w:val="en-US" w:eastAsia="zh-CN"/>
              </w:rPr>
            </w:pPr>
          </w:p>
        </w:tc>
        <w:tc>
          <w:tcPr>
            <w:tcW w:w="2188" w:type="dxa"/>
            <w:shd w:val="clear" w:color="auto" w:fill="auto"/>
            <w:vAlign w:val="center"/>
          </w:tcPr>
          <w:p w14:paraId="0A810898">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38B60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54E4CEBF">
            <w:pPr>
              <w:pStyle w:val="11"/>
              <w:jc w:val="center"/>
              <w:rPr>
                <w:rFonts w:hint="default" w:ascii="黑体" w:hAnsi="黑体" w:eastAsia="黑体" w:cs="黑体"/>
                <w:lang w:val="en-US" w:eastAsia="zh-CN"/>
              </w:rPr>
            </w:pPr>
            <w:r>
              <w:rPr>
                <w:rFonts w:hint="eastAsia" w:ascii="黑体" w:hAnsi="黑体" w:eastAsia="黑体" w:cs="黑体"/>
                <w:lang w:val="en-US" w:eastAsia="zh-CN"/>
              </w:rPr>
              <w:t>25</w:t>
            </w:r>
          </w:p>
        </w:tc>
        <w:tc>
          <w:tcPr>
            <w:tcW w:w="1728" w:type="dxa"/>
            <w:vAlign w:val="center"/>
          </w:tcPr>
          <w:p w14:paraId="5DC41277">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示教室讲台</w:t>
            </w:r>
          </w:p>
        </w:tc>
        <w:tc>
          <w:tcPr>
            <w:tcW w:w="1411" w:type="dxa"/>
            <w:vAlign w:val="center"/>
          </w:tcPr>
          <w:p w14:paraId="078E74CE">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10</w:t>
            </w:r>
          </w:p>
        </w:tc>
        <w:tc>
          <w:tcPr>
            <w:tcW w:w="889" w:type="dxa"/>
            <w:vAlign w:val="center"/>
          </w:tcPr>
          <w:p w14:paraId="0CD27759">
            <w:pPr>
              <w:pStyle w:val="11"/>
              <w:jc w:val="center"/>
              <w:rPr>
                <w:rFonts w:hint="eastAsia" w:ascii="黑体" w:hAnsi="黑体" w:eastAsia="黑体" w:cs="黑体"/>
                <w:lang w:eastAsia="zh-CN"/>
              </w:rPr>
            </w:pPr>
            <w:r>
              <w:rPr>
                <w:rFonts w:hint="eastAsia" w:ascii="黑体" w:hAnsi="黑体" w:eastAsia="黑体" w:cs="黑体"/>
                <w:lang w:val="en-US" w:eastAsia="zh-CN"/>
              </w:rPr>
              <w:t>张</w:t>
            </w:r>
          </w:p>
        </w:tc>
        <w:tc>
          <w:tcPr>
            <w:tcW w:w="1780" w:type="dxa"/>
            <w:vAlign w:val="center"/>
          </w:tcPr>
          <w:p w14:paraId="07C6DAF2">
            <w:pPr>
              <w:pStyle w:val="11"/>
              <w:jc w:val="center"/>
              <w:rPr>
                <w:rFonts w:hint="eastAsia" w:ascii="黑体" w:hAnsi="黑体" w:eastAsia="黑体" w:cs="黑体"/>
                <w:lang w:val="en-US" w:eastAsia="zh-CN"/>
              </w:rPr>
            </w:pPr>
          </w:p>
        </w:tc>
        <w:tc>
          <w:tcPr>
            <w:tcW w:w="1193" w:type="dxa"/>
            <w:vAlign w:val="center"/>
          </w:tcPr>
          <w:p w14:paraId="4834589B">
            <w:pPr>
              <w:pStyle w:val="11"/>
              <w:jc w:val="center"/>
              <w:rPr>
                <w:rFonts w:hint="eastAsia" w:ascii="黑体" w:hAnsi="黑体" w:eastAsia="黑体" w:cs="黑体"/>
                <w:lang w:val="en-US" w:eastAsia="zh-CN"/>
              </w:rPr>
            </w:pPr>
          </w:p>
        </w:tc>
        <w:tc>
          <w:tcPr>
            <w:tcW w:w="2188" w:type="dxa"/>
            <w:shd w:val="clear" w:color="auto" w:fill="auto"/>
            <w:vAlign w:val="center"/>
          </w:tcPr>
          <w:p w14:paraId="32806239">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284D1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2394E55B">
            <w:pPr>
              <w:pStyle w:val="11"/>
              <w:jc w:val="center"/>
              <w:rPr>
                <w:rFonts w:hint="default" w:ascii="黑体" w:hAnsi="黑体" w:eastAsia="黑体" w:cs="黑体"/>
                <w:lang w:val="en-US" w:eastAsia="zh-CN"/>
              </w:rPr>
            </w:pPr>
            <w:r>
              <w:rPr>
                <w:rFonts w:hint="eastAsia" w:ascii="黑体" w:hAnsi="黑体" w:eastAsia="黑体" w:cs="黑体"/>
                <w:lang w:val="en-US" w:eastAsia="zh-CN"/>
              </w:rPr>
              <w:t>26</w:t>
            </w:r>
          </w:p>
        </w:tc>
        <w:tc>
          <w:tcPr>
            <w:tcW w:w="1728" w:type="dxa"/>
            <w:vAlign w:val="center"/>
          </w:tcPr>
          <w:p w14:paraId="47A1F540">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采血凳（带背带轮可升降）</w:t>
            </w:r>
          </w:p>
        </w:tc>
        <w:tc>
          <w:tcPr>
            <w:tcW w:w="1411" w:type="dxa"/>
            <w:vAlign w:val="center"/>
          </w:tcPr>
          <w:p w14:paraId="6B3C6D17">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5</w:t>
            </w:r>
          </w:p>
        </w:tc>
        <w:tc>
          <w:tcPr>
            <w:tcW w:w="889" w:type="dxa"/>
            <w:vAlign w:val="center"/>
          </w:tcPr>
          <w:p w14:paraId="14FCBD27">
            <w:pPr>
              <w:pStyle w:val="11"/>
              <w:jc w:val="center"/>
              <w:rPr>
                <w:rFonts w:hint="eastAsia" w:ascii="黑体" w:hAnsi="黑体" w:eastAsia="黑体" w:cs="黑体"/>
                <w:lang w:eastAsia="zh-CN"/>
              </w:rPr>
            </w:pPr>
            <w:r>
              <w:rPr>
                <w:rFonts w:hint="eastAsia" w:ascii="黑体" w:hAnsi="黑体" w:eastAsia="黑体" w:cs="黑体"/>
                <w:lang w:val="en-US" w:eastAsia="zh-CN"/>
              </w:rPr>
              <w:t>把</w:t>
            </w:r>
          </w:p>
        </w:tc>
        <w:tc>
          <w:tcPr>
            <w:tcW w:w="1780" w:type="dxa"/>
            <w:vAlign w:val="center"/>
          </w:tcPr>
          <w:p w14:paraId="36D76817">
            <w:pPr>
              <w:pStyle w:val="11"/>
              <w:jc w:val="center"/>
              <w:rPr>
                <w:rFonts w:hint="eastAsia" w:ascii="黑体" w:hAnsi="黑体" w:eastAsia="黑体" w:cs="黑体"/>
                <w:lang w:val="en-US" w:eastAsia="zh-CN"/>
              </w:rPr>
            </w:pPr>
          </w:p>
        </w:tc>
        <w:tc>
          <w:tcPr>
            <w:tcW w:w="1193" w:type="dxa"/>
            <w:vAlign w:val="center"/>
          </w:tcPr>
          <w:p w14:paraId="5399A2A9">
            <w:pPr>
              <w:pStyle w:val="11"/>
              <w:jc w:val="center"/>
              <w:rPr>
                <w:rFonts w:hint="eastAsia" w:ascii="黑体" w:hAnsi="黑体" w:eastAsia="黑体" w:cs="黑体"/>
                <w:lang w:val="en-US" w:eastAsia="zh-CN"/>
              </w:rPr>
            </w:pPr>
          </w:p>
        </w:tc>
        <w:tc>
          <w:tcPr>
            <w:tcW w:w="2188" w:type="dxa"/>
            <w:shd w:val="clear" w:color="auto" w:fill="auto"/>
            <w:vAlign w:val="center"/>
          </w:tcPr>
          <w:p w14:paraId="33727D26">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3097E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73403E00">
            <w:pPr>
              <w:pStyle w:val="11"/>
              <w:jc w:val="center"/>
              <w:rPr>
                <w:rFonts w:hint="default" w:ascii="黑体" w:hAnsi="黑体" w:eastAsia="黑体" w:cs="黑体"/>
                <w:lang w:val="en-US" w:eastAsia="zh-CN"/>
              </w:rPr>
            </w:pPr>
            <w:r>
              <w:rPr>
                <w:rFonts w:hint="eastAsia" w:ascii="黑体" w:hAnsi="黑体" w:eastAsia="黑体" w:cs="黑体"/>
                <w:lang w:val="en-US" w:eastAsia="zh-CN"/>
              </w:rPr>
              <w:t>27</w:t>
            </w:r>
          </w:p>
        </w:tc>
        <w:tc>
          <w:tcPr>
            <w:tcW w:w="1728" w:type="dxa"/>
            <w:vAlign w:val="center"/>
          </w:tcPr>
          <w:p w14:paraId="2AC43988">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候诊长条椅</w:t>
            </w:r>
          </w:p>
        </w:tc>
        <w:tc>
          <w:tcPr>
            <w:tcW w:w="1411" w:type="dxa"/>
            <w:vAlign w:val="center"/>
          </w:tcPr>
          <w:p w14:paraId="276284EA">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20</w:t>
            </w:r>
          </w:p>
        </w:tc>
        <w:tc>
          <w:tcPr>
            <w:tcW w:w="889" w:type="dxa"/>
            <w:vAlign w:val="center"/>
          </w:tcPr>
          <w:p w14:paraId="7EE0925F">
            <w:pPr>
              <w:pStyle w:val="11"/>
              <w:jc w:val="center"/>
              <w:rPr>
                <w:rFonts w:hint="eastAsia" w:ascii="黑体" w:hAnsi="黑体" w:eastAsia="黑体" w:cs="黑体"/>
                <w:lang w:eastAsia="zh-CN"/>
              </w:rPr>
            </w:pPr>
            <w:r>
              <w:rPr>
                <w:rFonts w:hint="eastAsia" w:ascii="黑体" w:hAnsi="黑体" w:eastAsia="黑体" w:cs="黑体"/>
                <w:lang w:val="en-US" w:eastAsia="zh-CN"/>
              </w:rPr>
              <w:t>把</w:t>
            </w:r>
          </w:p>
        </w:tc>
        <w:tc>
          <w:tcPr>
            <w:tcW w:w="1780" w:type="dxa"/>
            <w:vAlign w:val="center"/>
          </w:tcPr>
          <w:p w14:paraId="54279F34">
            <w:pPr>
              <w:pStyle w:val="11"/>
              <w:jc w:val="center"/>
              <w:rPr>
                <w:rFonts w:hint="eastAsia" w:ascii="黑体" w:hAnsi="黑体" w:eastAsia="黑体" w:cs="黑体"/>
                <w:lang w:val="en-US" w:eastAsia="zh-CN"/>
              </w:rPr>
            </w:pPr>
          </w:p>
        </w:tc>
        <w:tc>
          <w:tcPr>
            <w:tcW w:w="1193" w:type="dxa"/>
            <w:vAlign w:val="center"/>
          </w:tcPr>
          <w:p w14:paraId="3700ABB6">
            <w:pPr>
              <w:pStyle w:val="11"/>
              <w:jc w:val="center"/>
              <w:rPr>
                <w:rFonts w:hint="eastAsia" w:ascii="黑体" w:hAnsi="黑体" w:eastAsia="黑体" w:cs="黑体"/>
                <w:lang w:val="en-US" w:eastAsia="zh-CN"/>
              </w:rPr>
            </w:pPr>
          </w:p>
        </w:tc>
        <w:tc>
          <w:tcPr>
            <w:tcW w:w="2188" w:type="dxa"/>
            <w:shd w:val="clear" w:color="auto" w:fill="auto"/>
            <w:vAlign w:val="center"/>
          </w:tcPr>
          <w:p w14:paraId="2AA7C513">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6B887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0891340B">
            <w:pPr>
              <w:pStyle w:val="11"/>
              <w:jc w:val="center"/>
              <w:rPr>
                <w:rFonts w:hint="default" w:ascii="黑体" w:hAnsi="黑体" w:eastAsia="黑体" w:cs="黑体"/>
                <w:lang w:val="en-US" w:eastAsia="zh-CN"/>
              </w:rPr>
            </w:pPr>
            <w:r>
              <w:rPr>
                <w:rFonts w:hint="eastAsia" w:ascii="黑体" w:hAnsi="黑体" w:eastAsia="黑体" w:cs="黑体"/>
                <w:lang w:val="en-US" w:eastAsia="zh-CN"/>
              </w:rPr>
              <w:t>28</w:t>
            </w:r>
          </w:p>
        </w:tc>
        <w:tc>
          <w:tcPr>
            <w:tcW w:w="1728" w:type="dxa"/>
            <w:vAlign w:val="center"/>
          </w:tcPr>
          <w:p w14:paraId="1738E7D5">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儿童桌</w:t>
            </w:r>
          </w:p>
        </w:tc>
        <w:tc>
          <w:tcPr>
            <w:tcW w:w="1411" w:type="dxa"/>
            <w:vAlign w:val="center"/>
          </w:tcPr>
          <w:p w14:paraId="656A278E">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5</w:t>
            </w:r>
          </w:p>
        </w:tc>
        <w:tc>
          <w:tcPr>
            <w:tcW w:w="889" w:type="dxa"/>
            <w:vAlign w:val="center"/>
          </w:tcPr>
          <w:p w14:paraId="4FF8104E">
            <w:pPr>
              <w:pStyle w:val="11"/>
              <w:jc w:val="center"/>
              <w:rPr>
                <w:rFonts w:hint="eastAsia" w:ascii="黑体" w:hAnsi="黑体" w:eastAsia="黑体" w:cs="黑体"/>
                <w:lang w:eastAsia="zh-CN"/>
              </w:rPr>
            </w:pPr>
            <w:r>
              <w:rPr>
                <w:rFonts w:hint="eastAsia" w:ascii="黑体" w:hAnsi="黑体" w:eastAsia="黑体" w:cs="黑体"/>
                <w:lang w:val="en-US" w:eastAsia="zh-CN"/>
              </w:rPr>
              <w:t>张</w:t>
            </w:r>
          </w:p>
        </w:tc>
        <w:tc>
          <w:tcPr>
            <w:tcW w:w="1780" w:type="dxa"/>
            <w:vAlign w:val="center"/>
          </w:tcPr>
          <w:p w14:paraId="46DB15B2">
            <w:pPr>
              <w:pStyle w:val="11"/>
              <w:jc w:val="center"/>
              <w:rPr>
                <w:rFonts w:hint="eastAsia" w:ascii="黑体" w:hAnsi="黑体" w:eastAsia="黑体" w:cs="黑体"/>
                <w:lang w:val="en-US" w:eastAsia="zh-CN"/>
              </w:rPr>
            </w:pPr>
          </w:p>
        </w:tc>
        <w:tc>
          <w:tcPr>
            <w:tcW w:w="1193" w:type="dxa"/>
            <w:vAlign w:val="center"/>
          </w:tcPr>
          <w:p w14:paraId="2620B4B6">
            <w:pPr>
              <w:pStyle w:val="11"/>
              <w:jc w:val="center"/>
              <w:rPr>
                <w:rFonts w:hint="eastAsia" w:ascii="黑体" w:hAnsi="黑体" w:eastAsia="黑体" w:cs="黑体"/>
                <w:lang w:val="en-US" w:eastAsia="zh-CN"/>
              </w:rPr>
            </w:pPr>
          </w:p>
        </w:tc>
        <w:tc>
          <w:tcPr>
            <w:tcW w:w="2188" w:type="dxa"/>
            <w:shd w:val="clear" w:color="auto" w:fill="auto"/>
            <w:vAlign w:val="center"/>
          </w:tcPr>
          <w:p w14:paraId="22AB3268">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083BF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4E0237EC">
            <w:pPr>
              <w:pStyle w:val="11"/>
              <w:jc w:val="center"/>
              <w:rPr>
                <w:rFonts w:hint="default" w:ascii="黑体" w:hAnsi="黑体" w:eastAsia="黑体" w:cs="黑体"/>
                <w:lang w:val="en-US" w:eastAsia="zh-CN"/>
              </w:rPr>
            </w:pPr>
            <w:r>
              <w:rPr>
                <w:rFonts w:hint="eastAsia" w:ascii="黑体" w:hAnsi="黑体" w:eastAsia="黑体" w:cs="黑体"/>
                <w:lang w:val="en-US" w:eastAsia="zh-CN"/>
              </w:rPr>
              <w:t>29</w:t>
            </w:r>
          </w:p>
        </w:tc>
        <w:tc>
          <w:tcPr>
            <w:tcW w:w="1728" w:type="dxa"/>
            <w:vAlign w:val="center"/>
          </w:tcPr>
          <w:p w14:paraId="03001907">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儿童椅</w:t>
            </w:r>
          </w:p>
        </w:tc>
        <w:tc>
          <w:tcPr>
            <w:tcW w:w="1411" w:type="dxa"/>
            <w:vAlign w:val="center"/>
          </w:tcPr>
          <w:p w14:paraId="7B9301DF">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24</w:t>
            </w:r>
          </w:p>
        </w:tc>
        <w:tc>
          <w:tcPr>
            <w:tcW w:w="889" w:type="dxa"/>
            <w:vAlign w:val="center"/>
          </w:tcPr>
          <w:p w14:paraId="26053C0C">
            <w:pPr>
              <w:pStyle w:val="11"/>
              <w:jc w:val="center"/>
              <w:rPr>
                <w:rFonts w:hint="eastAsia" w:ascii="黑体" w:hAnsi="黑体" w:eastAsia="黑体" w:cs="黑体"/>
                <w:lang w:eastAsia="zh-CN"/>
              </w:rPr>
            </w:pPr>
            <w:r>
              <w:rPr>
                <w:rFonts w:hint="eastAsia" w:ascii="黑体" w:hAnsi="黑体" w:eastAsia="黑体" w:cs="黑体"/>
                <w:lang w:val="en-US" w:eastAsia="zh-CN"/>
              </w:rPr>
              <w:t>把</w:t>
            </w:r>
          </w:p>
        </w:tc>
        <w:tc>
          <w:tcPr>
            <w:tcW w:w="1780" w:type="dxa"/>
            <w:vAlign w:val="center"/>
          </w:tcPr>
          <w:p w14:paraId="5887A1C9">
            <w:pPr>
              <w:pStyle w:val="11"/>
              <w:jc w:val="center"/>
              <w:rPr>
                <w:rFonts w:hint="eastAsia" w:ascii="黑体" w:hAnsi="黑体" w:eastAsia="黑体" w:cs="黑体"/>
                <w:lang w:val="en-US" w:eastAsia="zh-CN"/>
              </w:rPr>
            </w:pPr>
          </w:p>
        </w:tc>
        <w:tc>
          <w:tcPr>
            <w:tcW w:w="1193" w:type="dxa"/>
            <w:vAlign w:val="center"/>
          </w:tcPr>
          <w:p w14:paraId="02FF240A">
            <w:pPr>
              <w:pStyle w:val="11"/>
              <w:jc w:val="center"/>
              <w:rPr>
                <w:rFonts w:hint="eastAsia" w:ascii="黑体" w:hAnsi="黑体" w:eastAsia="黑体" w:cs="黑体"/>
                <w:lang w:val="en-US" w:eastAsia="zh-CN"/>
              </w:rPr>
            </w:pPr>
          </w:p>
        </w:tc>
        <w:tc>
          <w:tcPr>
            <w:tcW w:w="2188" w:type="dxa"/>
            <w:shd w:val="clear" w:color="auto" w:fill="auto"/>
            <w:vAlign w:val="center"/>
          </w:tcPr>
          <w:p w14:paraId="4F0D3364">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00A8A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286DCCE9">
            <w:pPr>
              <w:pStyle w:val="11"/>
              <w:jc w:val="center"/>
              <w:rPr>
                <w:rFonts w:hint="default" w:ascii="黑体" w:hAnsi="黑体" w:eastAsia="黑体" w:cs="黑体"/>
                <w:lang w:val="en-US" w:eastAsia="zh-CN"/>
              </w:rPr>
            </w:pPr>
            <w:r>
              <w:rPr>
                <w:rFonts w:hint="eastAsia" w:ascii="黑体" w:hAnsi="黑体" w:eastAsia="黑体" w:cs="黑体"/>
                <w:lang w:val="en-US" w:eastAsia="zh-CN"/>
              </w:rPr>
              <w:t>30</w:t>
            </w:r>
          </w:p>
        </w:tc>
        <w:tc>
          <w:tcPr>
            <w:tcW w:w="1728" w:type="dxa"/>
            <w:vAlign w:val="center"/>
          </w:tcPr>
          <w:p w14:paraId="1C6B055C">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床头柜（放水瓶）</w:t>
            </w:r>
          </w:p>
        </w:tc>
        <w:tc>
          <w:tcPr>
            <w:tcW w:w="1411" w:type="dxa"/>
            <w:vAlign w:val="center"/>
          </w:tcPr>
          <w:p w14:paraId="1B4C55B0">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200</w:t>
            </w:r>
          </w:p>
        </w:tc>
        <w:tc>
          <w:tcPr>
            <w:tcW w:w="889" w:type="dxa"/>
            <w:vAlign w:val="center"/>
          </w:tcPr>
          <w:p w14:paraId="2A57CF7C">
            <w:pPr>
              <w:pStyle w:val="11"/>
              <w:jc w:val="center"/>
              <w:rPr>
                <w:rFonts w:hint="eastAsia" w:ascii="黑体" w:hAnsi="黑体" w:eastAsia="黑体" w:cs="黑体"/>
                <w:lang w:eastAsia="zh-CN"/>
              </w:rPr>
            </w:pPr>
            <w:r>
              <w:rPr>
                <w:rFonts w:hint="eastAsia" w:ascii="黑体" w:hAnsi="黑体" w:eastAsia="黑体" w:cs="黑体"/>
                <w:lang w:val="en-US" w:eastAsia="zh-CN"/>
              </w:rPr>
              <w:t>组</w:t>
            </w:r>
          </w:p>
        </w:tc>
        <w:tc>
          <w:tcPr>
            <w:tcW w:w="1780" w:type="dxa"/>
            <w:vAlign w:val="center"/>
          </w:tcPr>
          <w:p w14:paraId="2E5C5841">
            <w:pPr>
              <w:pStyle w:val="11"/>
              <w:jc w:val="center"/>
              <w:rPr>
                <w:rFonts w:hint="eastAsia" w:ascii="黑体" w:hAnsi="黑体" w:eastAsia="黑体" w:cs="黑体"/>
                <w:lang w:val="en-US" w:eastAsia="zh-CN"/>
              </w:rPr>
            </w:pPr>
          </w:p>
        </w:tc>
        <w:tc>
          <w:tcPr>
            <w:tcW w:w="1193" w:type="dxa"/>
            <w:vAlign w:val="center"/>
          </w:tcPr>
          <w:p w14:paraId="06017B92">
            <w:pPr>
              <w:pStyle w:val="11"/>
              <w:jc w:val="center"/>
              <w:rPr>
                <w:rFonts w:hint="eastAsia" w:ascii="黑体" w:hAnsi="黑体" w:eastAsia="黑体" w:cs="黑体"/>
                <w:lang w:val="en-US" w:eastAsia="zh-CN"/>
              </w:rPr>
            </w:pPr>
          </w:p>
        </w:tc>
        <w:tc>
          <w:tcPr>
            <w:tcW w:w="2188" w:type="dxa"/>
            <w:shd w:val="clear" w:color="auto" w:fill="auto"/>
            <w:vAlign w:val="center"/>
          </w:tcPr>
          <w:p w14:paraId="3DB6BE27">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449D6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58BCA6BF">
            <w:pPr>
              <w:pStyle w:val="11"/>
              <w:jc w:val="center"/>
              <w:rPr>
                <w:rFonts w:hint="default" w:ascii="黑体" w:hAnsi="黑体" w:eastAsia="黑体" w:cs="黑体"/>
                <w:lang w:val="en-US" w:eastAsia="zh-CN"/>
              </w:rPr>
            </w:pPr>
            <w:r>
              <w:rPr>
                <w:rFonts w:hint="eastAsia" w:ascii="黑体" w:hAnsi="黑体" w:eastAsia="黑体" w:cs="黑体"/>
                <w:lang w:val="en-US" w:eastAsia="zh-CN"/>
              </w:rPr>
              <w:t>31</w:t>
            </w:r>
          </w:p>
        </w:tc>
        <w:tc>
          <w:tcPr>
            <w:tcW w:w="1728" w:type="dxa"/>
            <w:vAlign w:val="center"/>
          </w:tcPr>
          <w:p w14:paraId="142B001E">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储物柜、置物柜</w:t>
            </w:r>
          </w:p>
        </w:tc>
        <w:tc>
          <w:tcPr>
            <w:tcW w:w="1411" w:type="dxa"/>
            <w:vAlign w:val="center"/>
          </w:tcPr>
          <w:p w14:paraId="456A3C33">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20</w:t>
            </w:r>
          </w:p>
        </w:tc>
        <w:tc>
          <w:tcPr>
            <w:tcW w:w="889" w:type="dxa"/>
            <w:vAlign w:val="center"/>
          </w:tcPr>
          <w:p w14:paraId="60D7407C">
            <w:pPr>
              <w:pStyle w:val="11"/>
              <w:jc w:val="center"/>
              <w:rPr>
                <w:rFonts w:hint="eastAsia" w:ascii="黑体" w:hAnsi="黑体" w:eastAsia="黑体" w:cs="黑体"/>
                <w:lang w:eastAsia="zh-CN"/>
              </w:rPr>
            </w:pPr>
            <w:r>
              <w:rPr>
                <w:rFonts w:hint="eastAsia" w:ascii="黑体" w:hAnsi="黑体" w:eastAsia="黑体" w:cs="黑体"/>
                <w:lang w:val="en-US" w:eastAsia="zh-CN"/>
              </w:rPr>
              <w:t>组</w:t>
            </w:r>
          </w:p>
        </w:tc>
        <w:tc>
          <w:tcPr>
            <w:tcW w:w="1780" w:type="dxa"/>
            <w:vAlign w:val="center"/>
          </w:tcPr>
          <w:p w14:paraId="3465BB12">
            <w:pPr>
              <w:pStyle w:val="11"/>
              <w:jc w:val="center"/>
              <w:rPr>
                <w:rFonts w:hint="eastAsia" w:ascii="黑体" w:hAnsi="黑体" w:eastAsia="黑体" w:cs="黑体"/>
                <w:lang w:val="en-US" w:eastAsia="zh-CN"/>
              </w:rPr>
            </w:pPr>
          </w:p>
        </w:tc>
        <w:tc>
          <w:tcPr>
            <w:tcW w:w="1193" w:type="dxa"/>
            <w:vAlign w:val="center"/>
          </w:tcPr>
          <w:p w14:paraId="698B03F0">
            <w:pPr>
              <w:pStyle w:val="11"/>
              <w:jc w:val="center"/>
              <w:rPr>
                <w:rFonts w:hint="eastAsia" w:ascii="黑体" w:hAnsi="黑体" w:eastAsia="黑体" w:cs="黑体"/>
                <w:lang w:val="en-US" w:eastAsia="zh-CN"/>
              </w:rPr>
            </w:pPr>
          </w:p>
        </w:tc>
        <w:tc>
          <w:tcPr>
            <w:tcW w:w="2188" w:type="dxa"/>
            <w:shd w:val="clear" w:color="auto" w:fill="auto"/>
            <w:vAlign w:val="center"/>
          </w:tcPr>
          <w:p w14:paraId="62891158">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r w14:paraId="72E8B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3D761D2C">
            <w:pPr>
              <w:pStyle w:val="11"/>
              <w:jc w:val="center"/>
              <w:rPr>
                <w:rFonts w:hint="default" w:ascii="黑体" w:hAnsi="黑体" w:eastAsia="黑体" w:cs="黑体"/>
                <w:lang w:val="en-US" w:eastAsia="zh-CN"/>
              </w:rPr>
            </w:pPr>
            <w:r>
              <w:rPr>
                <w:rFonts w:hint="eastAsia" w:ascii="黑体" w:hAnsi="黑体" w:eastAsia="黑体" w:cs="黑体"/>
                <w:lang w:val="en-US" w:eastAsia="zh-CN"/>
              </w:rPr>
              <w:t>32</w:t>
            </w:r>
          </w:p>
        </w:tc>
        <w:tc>
          <w:tcPr>
            <w:tcW w:w="1728" w:type="dxa"/>
            <w:vAlign w:val="center"/>
          </w:tcPr>
          <w:p w14:paraId="396FE320">
            <w:pPr>
              <w:keepNext w:val="0"/>
              <w:keepLines w:val="0"/>
              <w:widowControl/>
              <w:suppressLineNumbers w:val="0"/>
              <w:jc w:val="center"/>
              <w:textAlignment w:val="center"/>
              <w:rPr>
                <w:rFonts w:hint="eastAsia" w:ascii="黑体" w:hAnsi="宋体" w:eastAsia="黑体" w:cs="黑体"/>
                <w:i w:val="0"/>
                <w:iCs w:val="0"/>
                <w:color w:val="000000"/>
                <w:kern w:val="0"/>
                <w:sz w:val="21"/>
                <w:szCs w:val="21"/>
                <w:u w:val="none"/>
                <w:lang w:val="en-US" w:eastAsia="zh-CN" w:bidi="ar"/>
              </w:rPr>
            </w:pPr>
            <w:r>
              <w:rPr>
                <w:rFonts w:hint="eastAsia" w:ascii="黑体" w:hAnsi="宋体" w:eastAsia="黑体" w:cs="黑体"/>
                <w:i w:val="0"/>
                <w:iCs w:val="0"/>
                <w:color w:val="000000"/>
                <w:kern w:val="0"/>
                <w:sz w:val="21"/>
                <w:szCs w:val="21"/>
                <w:u w:val="none"/>
                <w:lang w:val="en-US" w:eastAsia="zh-CN" w:bidi="ar"/>
              </w:rPr>
              <w:t>陪护椅</w:t>
            </w:r>
          </w:p>
        </w:tc>
        <w:tc>
          <w:tcPr>
            <w:tcW w:w="1411" w:type="dxa"/>
            <w:vAlign w:val="center"/>
          </w:tcPr>
          <w:p w14:paraId="44D03B5D">
            <w:pPr>
              <w:keepNext w:val="0"/>
              <w:keepLines w:val="0"/>
              <w:widowControl/>
              <w:suppressLineNumbers w:val="0"/>
              <w:jc w:val="center"/>
              <w:textAlignment w:val="center"/>
              <w:rPr>
                <w:rFonts w:hint="eastAsia" w:ascii="黑体" w:hAnsi="黑体" w:eastAsia="黑体" w:cs="黑体"/>
                <w:lang w:val="en-US" w:eastAsia="zh-CN"/>
              </w:rPr>
            </w:pPr>
            <w:r>
              <w:rPr>
                <w:rFonts w:hint="eastAsia" w:ascii="黑体" w:hAnsi="宋体" w:eastAsia="黑体" w:cs="黑体"/>
                <w:i w:val="0"/>
                <w:iCs w:val="0"/>
                <w:color w:val="000000"/>
                <w:kern w:val="0"/>
                <w:sz w:val="20"/>
                <w:szCs w:val="20"/>
                <w:u w:val="none"/>
                <w:lang w:val="en-US" w:eastAsia="zh-CN" w:bidi="ar"/>
              </w:rPr>
              <w:t>50</w:t>
            </w:r>
          </w:p>
        </w:tc>
        <w:tc>
          <w:tcPr>
            <w:tcW w:w="889" w:type="dxa"/>
            <w:vAlign w:val="center"/>
          </w:tcPr>
          <w:p w14:paraId="243FC3EA">
            <w:pPr>
              <w:pStyle w:val="11"/>
              <w:jc w:val="center"/>
              <w:rPr>
                <w:rFonts w:hint="eastAsia" w:ascii="黑体" w:hAnsi="黑体" w:eastAsia="黑体" w:cs="黑体"/>
                <w:lang w:eastAsia="zh-CN"/>
              </w:rPr>
            </w:pPr>
            <w:r>
              <w:rPr>
                <w:rFonts w:hint="eastAsia" w:ascii="黑体" w:hAnsi="黑体" w:eastAsia="黑体" w:cs="黑体"/>
                <w:lang w:val="en-US" w:eastAsia="zh-CN"/>
              </w:rPr>
              <w:t>把</w:t>
            </w:r>
          </w:p>
        </w:tc>
        <w:tc>
          <w:tcPr>
            <w:tcW w:w="1780" w:type="dxa"/>
            <w:vAlign w:val="center"/>
          </w:tcPr>
          <w:p w14:paraId="3B548D2F">
            <w:pPr>
              <w:pStyle w:val="11"/>
              <w:jc w:val="center"/>
              <w:rPr>
                <w:rFonts w:hint="eastAsia" w:ascii="黑体" w:hAnsi="黑体" w:eastAsia="黑体" w:cs="黑体"/>
                <w:lang w:val="en-US" w:eastAsia="zh-CN"/>
              </w:rPr>
            </w:pPr>
          </w:p>
        </w:tc>
        <w:tc>
          <w:tcPr>
            <w:tcW w:w="1193" w:type="dxa"/>
            <w:vAlign w:val="center"/>
          </w:tcPr>
          <w:p w14:paraId="539D5117">
            <w:pPr>
              <w:pStyle w:val="11"/>
              <w:jc w:val="center"/>
              <w:rPr>
                <w:rFonts w:hint="eastAsia" w:ascii="黑体" w:hAnsi="黑体" w:eastAsia="黑体" w:cs="黑体"/>
                <w:lang w:val="en-US" w:eastAsia="zh-CN"/>
              </w:rPr>
            </w:pPr>
          </w:p>
        </w:tc>
        <w:tc>
          <w:tcPr>
            <w:tcW w:w="2188" w:type="dxa"/>
            <w:shd w:val="clear" w:color="auto" w:fill="auto"/>
            <w:vAlign w:val="center"/>
          </w:tcPr>
          <w:p w14:paraId="6A2C47B3">
            <w:pPr>
              <w:pStyle w:val="11"/>
              <w:jc w:val="center"/>
              <w:rPr>
                <w:rFonts w:hint="eastAsia" w:ascii="黑体" w:hAnsi="黑体" w:eastAsia="黑体" w:cs="黑体"/>
                <w:lang w:val="en-US" w:eastAsia="zh-CN" w:bidi="ar-SA"/>
              </w:rPr>
            </w:pPr>
            <w:r>
              <w:rPr>
                <w:rFonts w:hint="eastAsia" w:ascii="黑体" w:hAnsi="黑体" w:eastAsia="黑体" w:cs="黑体"/>
                <w:lang w:val="en-US" w:eastAsia="zh-CN"/>
              </w:rPr>
              <w:t>\</w:t>
            </w:r>
          </w:p>
        </w:tc>
      </w:tr>
    </w:tbl>
    <w:p w14:paraId="5A0BD027">
      <w:pPr>
        <w:rPr>
          <w:rFonts w:hint="default" w:ascii="Times New Roman" w:hAnsi="Times New Roman" w:cs="Times New Roman"/>
          <w:lang w:val="en-US" w:eastAsia="zh-CN"/>
        </w:rPr>
      </w:pPr>
    </w:p>
    <w:p w14:paraId="39D0E79F">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default" w:ascii="Times New Roman" w:hAnsi="Times New Roman" w:eastAsia="仿宋_GB2312" w:cs="Times New Roman"/>
          <w:kern w:val="0"/>
          <w:sz w:val="28"/>
          <w:szCs w:val="28"/>
          <w:lang w:val="en-US" w:eastAsia="zh-CN" w:bidi="ar-SA"/>
        </w:rPr>
      </w:pPr>
      <w:r>
        <w:rPr>
          <w:rFonts w:hint="eastAsia" w:ascii="Times New Roman" w:hAnsi="Times New Roman" w:eastAsia="仿宋_GB2312" w:cs="Times New Roman"/>
          <w:kern w:val="0"/>
          <w:sz w:val="28"/>
          <w:szCs w:val="28"/>
          <w:lang w:val="en-US" w:eastAsia="zh-CN" w:bidi="ar-SA"/>
        </w:rPr>
        <w:t>说明： 报价包含但不限于：产品生产费、材料费、运输费（含至采购方指定地点的装卸）、安装调试费、售后服务费、增值税及其他所有税费。报价若包含不可预见费，需单独列明并计入总价；含税单价：供应商需根据自身产品成本及报价策略填写，包含材料、生产、运输、安装、税费等所有费用（即‘含税包干价’），单价与数量乘积之和不得超过最高限价 167 万元；</w:t>
      </w:r>
      <w:r>
        <w:rPr>
          <w:rFonts w:hint="default" w:ascii="Times New Roman" w:hAnsi="Times New Roman" w:eastAsia="仿宋_GB2312" w:cs="Times New Roman"/>
          <w:kern w:val="0"/>
          <w:sz w:val="28"/>
          <w:szCs w:val="28"/>
          <w:lang w:val="en-US" w:eastAsia="zh-CN" w:bidi="ar-SA"/>
        </w:rPr>
        <w:t xml:space="preserve"> 发票税率：需明确填写适用增值税税率（如 13%），并确保与报价单中税率一致。</w:t>
      </w:r>
    </w:p>
    <w:p w14:paraId="7C1A4448">
      <w:pPr>
        <w:numPr>
          <w:ilvl w:val="0"/>
          <w:numId w:val="1"/>
        </w:numPr>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sz w:val="44"/>
          <w:szCs w:val="44"/>
          <w:lang w:val="en-US" w:eastAsia="zh-CN"/>
        </w:rPr>
        <w:t>标的名称：</w:t>
      </w:r>
      <w:r>
        <w:rPr>
          <w:rFonts w:hint="eastAsia" w:ascii="Times New Roman" w:hAnsi="Times New Roman" w:eastAsia="方正小标宋简体" w:cs="Times New Roman"/>
          <w:sz w:val="44"/>
          <w:szCs w:val="44"/>
          <w:lang w:val="en-US" w:eastAsia="zh-CN"/>
        </w:rPr>
        <w:t>办公家具</w:t>
      </w:r>
    </w:p>
    <w:tbl>
      <w:tblPr>
        <w:tblStyle w:val="7"/>
        <w:tblW w:w="915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26"/>
        <w:gridCol w:w="636"/>
        <w:gridCol w:w="1756"/>
        <w:gridCol w:w="2301"/>
        <w:gridCol w:w="4034"/>
      </w:tblGrid>
      <w:tr w14:paraId="40332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4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8846CE">
            <w:pPr>
              <w:keepNext w:val="0"/>
              <w:keepLines w:val="0"/>
              <w:widowControl/>
              <w:suppressLineNumbers w:val="0"/>
              <w:jc w:val="center"/>
              <w:textAlignment w:val="center"/>
              <w:rPr>
                <w:rFonts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序号</w:t>
            </w:r>
          </w:p>
        </w:tc>
        <w:tc>
          <w:tcPr>
            <w:tcW w:w="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8BBCF1">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品名</w:t>
            </w:r>
          </w:p>
        </w:tc>
        <w:tc>
          <w:tcPr>
            <w:tcW w:w="17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7B2590">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规格（W*D*H）</w:t>
            </w:r>
          </w:p>
        </w:tc>
        <w:tc>
          <w:tcPr>
            <w:tcW w:w="23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CA1E4A">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图片              （仅供色系.样式参考，投标供应商按采购人实际要求定制后配送）</w:t>
            </w:r>
          </w:p>
        </w:tc>
        <w:tc>
          <w:tcPr>
            <w:tcW w:w="40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26009E">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参数</w:t>
            </w:r>
          </w:p>
        </w:tc>
      </w:tr>
      <w:tr w14:paraId="45DE8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4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44A70F">
            <w:pPr>
              <w:jc w:val="center"/>
              <w:rPr>
                <w:rFonts w:hint="eastAsia" w:ascii="黑体" w:hAnsi="宋体" w:eastAsia="黑体" w:cs="黑体"/>
                <w:i w:val="0"/>
                <w:iCs w:val="0"/>
                <w:color w:val="000000"/>
                <w:sz w:val="20"/>
                <w:szCs w:val="20"/>
                <w:u w:val="none"/>
              </w:rPr>
            </w:pPr>
          </w:p>
        </w:tc>
        <w:tc>
          <w:tcPr>
            <w:tcW w:w="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2F0683">
            <w:pPr>
              <w:jc w:val="center"/>
              <w:rPr>
                <w:rFonts w:hint="eastAsia" w:ascii="黑体" w:hAnsi="宋体" w:eastAsia="黑体" w:cs="黑体"/>
                <w:i w:val="0"/>
                <w:iCs w:val="0"/>
                <w:color w:val="000000"/>
                <w:sz w:val="20"/>
                <w:szCs w:val="20"/>
                <w:u w:val="none"/>
              </w:rPr>
            </w:pPr>
          </w:p>
        </w:tc>
        <w:tc>
          <w:tcPr>
            <w:tcW w:w="1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4B531">
            <w:pPr>
              <w:jc w:val="center"/>
              <w:rPr>
                <w:rFonts w:hint="eastAsia" w:ascii="黑体" w:hAnsi="宋体" w:eastAsia="黑体" w:cs="黑体"/>
                <w:i w:val="0"/>
                <w:iCs w:val="0"/>
                <w:color w:val="000000"/>
                <w:sz w:val="20"/>
                <w:szCs w:val="20"/>
                <w:u w:val="none"/>
              </w:rPr>
            </w:pPr>
          </w:p>
        </w:tc>
        <w:tc>
          <w:tcPr>
            <w:tcW w:w="23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6D088">
            <w:pPr>
              <w:jc w:val="center"/>
              <w:rPr>
                <w:rFonts w:hint="eastAsia" w:ascii="黑体" w:hAnsi="宋体" w:eastAsia="黑体" w:cs="黑体"/>
                <w:i w:val="0"/>
                <w:iCs w:val="0"/>
                <w:color w:val="000000"/>
                <w:sz w:val="20"/>
                <w:szCs w:val="20"/>
                <w:u w:val="none"/>
              </w:rPr>
            </w:pPr>
          </w:p>
        </w:tc>
        <w:tc>
          <w:tcPr>
            <w:tcW w:w="40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7C14EC">
            <w:pPr>
              <w:jc w:val="center"/>
              <w:rPr>
                <w:rFonts w:hint="eastAsia" w:ascii="黑体" w:hAnsi="宋体" w:eastAsia="黑体" w:cs="黑体"/>
                <w:i w:val="0"/>
                <w:iCs w:val="0"/>
                <w:color w:val="000000"/>
                <w:sz w:val="20"/>
                <w:szCs w:val="20"/>
                <w:u w:val="none"/>
              </w:rPr>
            </w:pPr>
          </w:p>
        </w:tc>
      </w:tr>
      <w:tr w14:paraId="7FC14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37"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6C8DB">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1</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4309A">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主任办公桌</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2D4C3">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1600*700*750</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75121">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142875</wp:posOffset>
                  </wp:positionH>
                  <wp:positionV relativeFrom="paragraph">
                    <wp:posOffset>104775</wp:posOffset>
                  </wp:positionV>
                  <wp:extent cx="1168400" cy="772160"/>
                  <wp:effectExtent l="0" t="0" r="12700" b="8890"/>
                  <wp:wrapNone/>
                  <wp:docPr id="23" name="图片_2"/>
                  <wp:cNvGraphicFramePr/>
                  <a:graphic xmlns:a="http://schemas.openxmlformats.org/drawingml/2006/main">
                    <a:graphicData uri="http://schemas.openxmlformats.org/drawingml/2006/picture">
                      <pic:pic xmlns:pic="http://schemas.openxmlformats.org/drawingml/2006/picture">
                        <pic:nvPicPr>
                          <pic:cNvPr id="23" name="图片_2"/>
                          <pic:cNvPicPr/>
                        </pic:nvPicPr>
                        <pic:blipFill>
                          <a:blip r:embed="rId5"/>
                          <a:stretch>
                            <a:fillRect/>
                          </a:stretch>
                        </pic:blipFill>
                        <pic:spPr>
                          <a:xfrm>
                            <a:off x="0" y="0"/>
                            <a:ext cx="1168400" cy="772160"/>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39013">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1.基材：采用刨花板制作，台面厚度≥25mm；</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2.面材：采用浸渍胶膜纸饰面，表面无色差、裂口；</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3.封边条：采用PVC封边条，封边条厚度≥1.5mm；表面无划痕、颗粒，边缘倒角R0.5mm±0.1mm；</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4.脚架：采用≥50mm*50mm的钢管、壁厚≥1.2mm，表面经静电喷涂；</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5.锁具：外观喷涂层应无漏喷，锈蚀和脱色、掉色现象，涂层应光滑均匀，色泽一致，应无流挂、疙瘩、皱皮、飞漆等缺陷；</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6.滑轨：采用三节滑轨,带阻尼功能；</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7.家具部件间连接构件：采用三合一偏心连接件，金属件无毛刺、裂纹，结构稳固。</w:t>
            </w:r>
          </w:p>
        </w:tc>
      </w:tr>
      <w:tr w14:paraId="24ABB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76"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588BC">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2</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778F3">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办公桌</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5BF6E">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1200*600*750</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CC8CC">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143510</wp:posOffset>
                  </wp:positionH>
                  <wp:positionV relativeFrom="paragraph">
                    <wp:posOffset>120650</wp:posOffset>
                  </wp:positionV>
                  <wp:extent cx="1142365" cy="965200"/>
                  <wp:effectExtent l="0" t="0" r="635" b="6350"/>
                  <wp:wrapNone/>
                  <wp:docPr id="10" name="图片_3"/>
                  <wp:cNvGraphicFramePr/>
                  <a:graphic xmlns:a="http://schemas.openxmlformats.org/drawingml/2006/main">
                    <a:graphicData uri="http://schemas.openxmlformats.org/drawingml/2006/picture">
                      <pic:pic xmlns:pic="http://schemas.openxmlformats.org/drawingml/2006/picture">
                        <pic:nvPicPr>
                          <pic:cNvPr id="10" name="图片_3"/>
                          <pic:cNvPicPr/>
                        </pic:nvPicPr>
                        <pic:blipFill>
                          <a:blip r:embed="rId6"/>
                          <a:stretch>
                            <a:fillRect/>
                          </a:stretch>
                        </pic:blipFill>
                        <pic:spPr>
                          <a:xfrm>
                            <a:off x="0" y="0"/>
                            <a:ext cx="1142365" cy="965200"/>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256DC">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1.基材：采用刨花板制作，台面厚度≥25mm；</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2.面材：采用浸渍胶膜纸饰面，表面无色差、裂口；</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3.封边条：采用PVC封边条，封边条厚度≥1.5mm；表面无划痕、颗粒，边缘倒角R0.5mm±0.1mm；</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4.活动柜：钢制活动柜，钢板厚度≥0.7mm；</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5.脚架：采用钢型材，壁厚≥1.2mm，使用过程中应保持形状稳定，无明显变形；</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6.锁具：外观喷涂层应无漏喷，锈蚀和脱色、掉色现象，涂层应光滑均匀，色泽一致，应无流挂、疙瘩、皱皮、飞漆等缺陷；</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7.滑轨：采用三节滑轨,带阻尼功能；</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8.家具部件间连接构件：采用三合一偏心连接件，金属件无毛刺、裂纹，结构稳固；</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9.脚垫：采用PP塑料+15%玻璃纤维增强专用地脚，移动时不会划伤地板；</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10.配置：每张办公桌配1个钢制活动三抽柜、1个键盘架、1个钢制挂式主机架、1个升降多功能线盒、1根长度大于600mm的外挂过线槽。</w:t>
            </w:r>
          </w:p>
        </w:tc>
      </w:tr>
      <w:tr w14:paraId="3C1EF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2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69EB3">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3</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ABFD8">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L 型诊断桌</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16E69">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1400*700*750带转角柜</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B4B1A">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-26035</wp:posOffset>
                  </wp:positionH>
                  <wp:positionV relativeFrom="paragraph">
                    <wp:posOffset>-469265</wp:posOffset>
                  </wp:positionV>
                  <wp:extent cx="1349375" cy="948690"/>
                  <wp:effectExtent l="0" t="0" r="3175" b="3810"/>
                  <wp:wrapNone/>
                  <wp:docPr id="6" name="图片_3_SpCnt_1"/>
                  <wp:cNvGraphicFramePr/>
                  <a:graphic xmlns:a="http://schemas.openxmlformats.org/drawingml/2006/main">
                    <a:graphicData uri="http://schemas.openxmlformats.org/drawingml/2006/picture">
                      <pic:pic xmlns:pic="http://schemas.openxmlformats.org/drawingml/2006/picture">
                        <pic:nvPicPr>
                          <pic:cNvPr id="6" name="图片_3_SpCnt_1"/>
                          <pic:cNvPicPr/>
                        </pic:nvPicPr>
                        <pic:blipFill>
                          <a:blip r:embed="rId7"/>
                          <a:stretch>
                            <a:fillRect/>
                          </a:stretch>
                        </pic:blipFill>
                        <pic:spPr>
                          <a:xfrm>
                            <a:off x="0" y="0"/>
                            <a:ext cx="1349375" cy="948690"/>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CE17C">
            <w:pPr>
              <w:keepNext w:val="0"/>
              <w:keepLines w:val="0"/>
              <w:widowControl/>
              <w:numPr>
                <w:ilvl w:val="0"/>
                <w:numId w:val="2"/>
              </w:numPr>
              <w:suppressLineNumbers w:val="0"/>
              <w:jc w:val="left"/>
              <w:textAlignment w:val="center"/>
              <w:rPr>
                <w:rStyle w:val="12"/>
                <w:lang w:val="en-US" w:eastAsia="zh-CN" w:bidi="ar"/>
              </w:rPr>
            </w:pPr>
            <w:r>
              <w:rPr>
                <w:rStyle w:val="12"/>
                <w:lang w:val="en-US" w:eastAsia="zh-CN" w:bidi="ar"/>
              </w:rPr>
              <w:t>基材：采用E0级中密度纤维板，甲醛释放量（1m</w:t>
            </w:r>
            <w:r>
              <w:rPr>
                <w:rStyle w:val="13"/>
                <w:lang w:val="en-US" w:eastAsia="zh-CN" w:bidi="ar"/>
              </w:rPr>
              <w:t>³</w:t>
            </w:r>
            <w:r>
              <w:rPr>
                <w:rStyle w:val="12"/>
                <w:lang w:val="en-US" w:eastAsia="zh-CN" w:bidi="ar"/>
              </w:rPr>
              <w:t>气候箱法）≤0.05mg/m</w:t>
            </w:r>
            <w:r>
              <w:rPr>
                <w:rStyle w:val="13"/>
                <w:lang w:val="en-US" w:eastAsia="zh-CN" w:bidi="ar"/>
              </w:rPr>
              <w:t>³</w:t>
            </w:r>
            <w:r>
              <w:rPr>
                <w:rStyle w:val="12"/>
                <w:lang w:val="en-US" w:eastAsia="zh-CN" w:bidi="ar"/>
              </w:rPr>
              <w:t>，含水率检测合格，物理力学性能静曲强度≥25MPa，弹性模量≥3400MPa，内胶合强度≥0.5MPa，吸水厚度膨胀率≤8%，表面胶合强度≥1MPa，检验依据为GB/T11718-2021中密度纤维板、GB/T39600-2021人造板及其制品甲醛释放量分级。</w:t>
            </w:r>
            <w:r>
              <w:rPr>
                <w:rStyle w:val="12"/>
                <w:lang w:val="en-US" w:eastAsia="zh-CN" w:bidi="ar"/>
              </w:rPr>
              <w:br w:type="textWrapping"/>
            </w:r>
            <w:r>
              <w:rPr>
                <w:rStyle w:val="12"/>
                <w:lang w:val="en-US" w:eastAsia="zh-CN" w:bidi="ar"/>
              </w:rPr>
              <w:t>2、面材：采用木皮贴面，甲醛释放量（气候箱法）≤0.015mg/m</w:t>
            </w:r>
            <w:r>
              <w:rPr>
                <w:rStyle w:val="13"/>
                <w:lang w:val="en-US" w:eastAsia="zh-CN" w:bidi="ar"/>
              </w:rPr>
              <w:t>³</w:t>
            </w:r>
            <w:r>
              <w:rPr>
                <w:rStyle w:val="12"/>
                <w:lang w:val="en-US" w:eastAsia="zh-CN" w:bidi="ar"/>
              </w:rPr>
              <w:t>，单板含水率检测合格，检验依据为GB/T 13010-2020 木材工业用单板、GB/T 35601-2017 绿色产品评价 人造板和木质地板。</w:t>
            </w:r>
            <w:r>
              <w:rPr>
                <w:rStyle w:val="12"/>
                <w:lang w:val="en-US" w:eastAsia="zh-CN" w:bidi="ar"/>
              </w:rPr>
              <w:br w:type="textWrapping"/>
            </w:r>
            <w:r>
              <w:rPr>
                <w:rStyle w:val="12"/>
                <w:lang w:val="en-US" w:eastAsia="zh-CN" w:bidi="ar"/>
              </w:rPr>
              <w:t>3、油漆：采用水性油漆，VOC含量≤105g/L，甲醛含量≤15mg/kg，苯系物总和含量（限苯、甲苯、乙苯、二甲苯）未检出（检出限≤50mg/kg），在容器中搅拌后均匀无硬块；检验依据为 GB/T 23999-2009 室内装饰装修用水性木器涂料。</w:t>
            </w:r>
            <w:r>
              <w:rPr>
                <w:rStyle w:val="12"/>
                <w:lang w:val="en-US" w:eastAsia="zh-CN" w:bidi="ar"/>
              </w:rPr>
              <w:br w:type="textWrapping"/>
            </w:r>
            <w:r>
              <w:rPr>
                <w:rStyle w:val="12"/>
                <w:lang w:val="en-US" w:eastAsia="zh-CN" w:bidi="ar"/>
              </w:rPr>
              <w:t>4、连接件：采用三合一连接件，三合一偏心连接件的偏心体与连接螺杆的锁紧角度150°～190°范围内，金属镀层抗盐雾18h，1.5mm以下锈点≤20点/dm</w:t>
            </w:r>
            <w:r>
              <w:rPr>
                <w:rStyle w:val="13"/>
                <w:lang w:val="en-US" w:eastAsia="zh-CN" w:bidi="ar"/>
              </w:rPr>
              <w:t>²</w:t>
            </w:r>
            <w:r>
              <w:rPr>
                <w:rStyle w:val="12"/>
                <w:lang w:val="en-US" w:eastAsia="zh-CN" w:bidi="ar"/>
              </w:rPr>
              <w:t>，其中≥1.0mm锈点不超过5点（距离边缘棱角2mm以内的不计）；力学性能三合一偏心连接件偏心体抗压强度≥280N，三合一偏心连接件预埋螺母抗拉强度≥600N，三合一偏心连接件中连接螺杆螺纹与预埋螺母的抗拉强度≥1000N，三合一偏心连接件中偏心体与连接螺杆的扭矩12＜偏心体公称直径（mm）≤15N·m，扭矩≥7.0N·m；人造气氛腐蚀试验（盐雾试验）中性盐雾（NSS）试验周期≥72h，保护评级（Rp）≥10级，外观评级（Rᴀ）≥10级、乙酸盐雾（AASS）试验周期≥72h，保护评级（Rp）≥10级，外观评级（Rᴀ）≥10级、铜加速乙酸盐雾（CASS）试验周期≥72h，保护评级（Rp）≥10级，外观评级（Rᴀ）≥10级。检验依据为GB/T 28203-2011 家具用连接件技术要求及试验方法、GB/T 10125-2021 人造气氛腐蚀试验 盐雾试验、GB/T 6461-2002 金属基体上金属和其他无机覆盖层 经腐蚀试验后的试样和试件的评级。</w:t>
            </w:r>
            <w:r>
              <w:rPr>
                <w:rStyle w:val="12"/>
                <w:lang w:val="en-US" w:eastAsia="zh-CN" w:bidi="ar"/>
              </w:rPr>
              <w:br w:type="textWrapping"/>
            </w:r>
            <w:r>
              <w:rPr>
                <w:rStyle w:val="12"/>
                <w:lang w:val="en-US" w:eastAsia="zh-CN" w:bidi="ar"/>
              </w:rPr>
              <w:t>5、铰链：采用缓冲铰链，过载（垂直静载荷、水平静载荷）、功能（垂直静载荷、水平静载荷）检测合格；中性盐雾试验（NSS）连续喷雾≥460h，镀（涂）层对基体的保护等级≥10级,镀（涂）层本身耐腐蚀等级≥10级。检验依据为QB/T 3827-1999 轻工产品金属镀层和化学处理层的耐腐蚀试验方法 乙酸盐雾试验（ASS）法、QB/T 3832-1999 轻工产品金属镀层腐蚀试验结果的评价、QB/T 2189-2013 家具五金 杯状暗铰链、QB/T 3826-1999 轻工产品金属镀层和化学处理层的耐腐蚀试验方法 中性盐雾试验（NSS）法。</w:t>
            </w:r>
            <w:r>
              <w:rPr>
                <w:rStyle w:val="12"/>
                <w:lang w:val="en-US" w:eastAsia="zh-CN" w:bidi="ar"/>
              </w:rPr>
              <w:br w:type="textWrapping"/>
            </w:r>
            <w:r>
              <w:rPr>
                <w:rStyle w:val="12"/>
                <w:rFonts w:hint="eastAsia"/>
                <w:lang w:val="en-US" w:eastAsia="zh-CN" w:bidi="ar"/>
              </w:rPr>
              <w:t>6</w:t>
            </w:r>
            <w:r>
              <w:rPr>
                <w:rStyle w:val="12"/>
                <w:lang w:val="en-US" w:eastAsia="zh-CN" w:bidi="ar"/>
              </w:rPr>
              <w:t>、抽屉采用优质导轨，符合：检测内容包含：耐久性、金属件外观性能要求、家具涂层可迁移元素，金属涂层耐腐蚀等级&gt;10级；</w:t>
            </w:r>
            <w:r>
              <w:rPr>
                <w:rStyle w:val="12"/>
                <w:lang w:val="en-US" w:eastAsia="zh-CN" w:bidi="ar"/>
              </w:rPr>
              <w:br w:type="textWrapping"/>
            </w:r>
            <w:r>
              <w:rPr>
                <w:rStyle w:val="12"/>
                <w:rFonts w:hint="eastAsia"/>
                <w:lang w:val="en-US" w:eastAsia="zh-CN" w:bidi="ar"/>
              </w:rPr>
              <w:t>7</w:t>
            </w:r>
            <w:r>
              <w:rPr>
                <w:rStyle w:val="12"/>
                <w:lang w:val="en-US" w:eastAsia="zh-CN" w:bidi="ar"/>
              </w:rPr>
              <w:t>、侧柜采用优质铰链，符合：检测内容包含：耐久性、金属件外观性能要求、家具涂层可迁移元素，金属涂层耐腐蚀等级&gt;10级；</w:t>
            </w:r>
            <w:r>
              <w:rPr>
                <w:rStyle w:val="12"/>
                <w:lang w:val="en-US" w:eastAsia="zh-CN" w:bidi="ar"/>
              </w:rPr>
              <w:br w:type="textWrapping"/>
            </w:r>
            <w:r>
              <w:rPr>
                <w:rStyle w:val="12"/>
                <w:rFonts w:hint="eastAsia"/>
                <w:lang w:val="en-US" w:eastAsia="zh-CN" w:bidi="ar"/>
              </w:rPr>
              <w:t>8</w:t>
            </w:r>
            <w:r>
              <w:rPr>
                <w:rStyle w:val="12"/>
                <w:lang w:val="en-US" w:eastAsia="zh-CN" w:bidi="ar"/>
              </w:rPr>
              <w:t>、效率文件抽：透明PP材质，每个抽自带拉手功能及标签卡槽功能。</w:t>
            </w:r>
          </w:p>
          <w:p w14:paraId="75C1AC62">
            <w:pPr>
              <w:keepNext w:val="0"/>
              <w:keepLines w:val="0"/>
              <w:widowControl/>
              <w:numPr>
                <w:ilvl w:val="0"/>
                <w:numId w:val="0"/>
              </w:numPr>
              <w:suppressLineNumbers w:val="0"/>
              <w:jc w:val="left"/>
              <w:textAlignment w:val="center"/>
              <w:rPr>
                <w:rFonts w:hint="eastAsia" w:ascii="黑体" w:hAnsi="宋体" w:eastAsia="黑体" w:cs="黑体"/>
                <w:i w:val="0"/>
                <w:iCs w:val="0"/>
                <w:color w:val="000000"/>
                <w:sz w:val="20"/>
                <w:szCs w:val="20"/>
                <w:u w:val="none"/>
              </w:rPr>
            </w:pPr>
            <w:r>
              <w:rPr>
                <w:rStyle w:val="12"/>
                <w:rFonts w:hint="eastAsia"/>
                <w:lang w:val="en-US" w:eastAsia="zh-CN" w:bidi="ar"/>
              </w:rPr>
              <w:t>9</w:t>
            </w:r>
            <w:r>
              <w:rPr>
                <w:rStyle w:val="12"/>
                <w:lang w:val="en-US" w:eastAsia="zh-CN" w:bidi="ar"/>
              </w:rPr>
              <w:t>、医生工作台符合：检测类别包含但不限于形状和位置公差(平整度、底脚平稳性)、软、硬质覆面、主桌面垂直静载荷试验、桌面</w:t>
            </w:r>
            <w:r>
              <w:rPr>
                <w:rStyle w:val="12"/>
                <w:lang w:val="en-US" w:eastAsia="zh-CN" w:bidi="ar"/>
              </w:rPr>
              <w:br w:type="textWrapping"/>
            </w:r>
            <w:r>
              <w:rPr>
                <w:rStyle w:val="12"/>
                <w:lang w:val="en-US" w:eastAsia="zh-CN" w:bidi="ar"/>
              </w:rPr>
              <w:t>持续垂直静载荷试验、桌面水平静载荷试验、桌面垂直冲击、桌腿跌落试验、桌面水平耐久性试验、桌面垂直加载稳定性、桌面垂直和</w:t>
            </w:r>
            <w:r>
              <w:rPr>
                <w:rStyle w:val="12"/>
                <w:lang w:val="en-US" w:eastAsia="zh-CN" w:bidi="ar"/>
              </w:rPr>
              <w:br w:type="textWrapping"/>
            </w:r>
            <w:r>
              <w:rPr>
                <w:rStyle w:val="12"/>
                <w:lang w:val="en-US" w:eastAsia="zh-CN" w:bidi="ar"/>
              </w:rPr>
              <w:t>水平加载稳定性，甲醛释放量&lt;0</w:t>
            </w:r>
            <w:r>
              <w:rPr>
                <w:rStyle w:val="12"/>
                <w:rFonts w:hint="eastAsia"/>
                <w:lang w:val="en-US" w:eastAsia="zh-CN" w:bidi="ar"/>
              </w:rPr>
              <w:t>.</w:t>
            </w:r>
            <w:r>
              <w:rPr>
                <w:rStyle w:val="12"/>
                <w:lang w:val="en-US" w:eastAsia="zh-CN" w:bidi="ar"/>
              </w:rPr>
              <w:t>4mg/L。</w:t>
            </w:r>
          </w:p>
        </w:tc>
      </w:tr>
      <w:tr w14:paraId="72C92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4"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620A6">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4</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1193E">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窗口办公桌</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35683">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1200*600*750</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69E08">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103505</wp:posOffset>
                  </wp:positionH>
                  <wp:positionV relativeFrom="paragraph">
                    <wp:posOffset>138430</wp:posOffset>
                  </wp:positionV>
                  <wp:extent cx="1143635" cy="752475"/>
                  <wp:effectExtent l="0" t="0" r="18415" b="9525"/>
                  <wp:wrapNone/>
                  <wp:docPr id="24" name="image9"/>
                  <wp:cNvGraphicFramePr/>
                  <a:graphic xmlns:a="http://schemas.openxmlformats.org/drawingml/2006/main">
                    <a:graphicData uri="http://schemas.openxmlformats.org/drawingml/2006/picture">
                      <pic:pic xmlns:pic="http://schemas.openxmlformats.org/drawingml/2006/picture">
                        <pic:nvPicPr>
                          <pic:cNvPr id="24" name="image9"/>
                          <pic:cNvPicPr/>
                        </pic:nvPicPr>
                        <pic:blipFill>
                          <a:blip r:embed="rId8"/>
                          <a:stretch>
                            <a:fillRect/>
                          </a:stretch>
                        </pic:blipFill>
                        <pic:spPr>
                          <a:xfrm>
                            <a:off x="0" y="0"/>
                            <a:ext cx="1143635" cy="752475"/>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B09E9">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Style w:val="12"/>
                <w:lang w:val="en-US" w:eastAsia="zh-CN" w:bidi="ar"/>
              </w:rPr>
              <w:t>1.基材：E0级实木</w:t>
            </w:r>
            <w:r>
              <w:rPr>
                <w:rStyle w:val="12"/>
                <w:rFonts w:hint="eastAsia"/>
                <w:lang w:val="en-US" w:eastAsia="zh-CN" w:bidi="ar"/>
              </w:rPr>
              <w:t>颗</w:t>
            </w:r>
            <w:r>
              <w:rPr>
                <w:rStyle w:val="12"/>
                <w:lang w:val="en-US" w:eastAsia="zh-CN" w:bidi="ar"/>
              </w:rPr>
              <w:t>粒板符合GB/T15102-2017《浸渍瞳膜纸饰面纤维板和刨花板》、GB/T396</w:t>
            </w:r>
            <w:r>
              <w:rPr>
                <w:rStyle w:val="12"/>
                <w:rFonts w:hint="eastAsia"/>
                <w:lang w:val="en-US" w:eastAsia="zh-CN" w:bidi="ar"/>
              </w:rPr>
              <w:t>00</w:t>
            </w:r>
            <w:r>
              <w:rPr>
                <w:rStyle w:val="12"/>
                <w:lang w:val="en-US" w:eastAsia="zh-CN" w:bidi="ar"/>
              </w:rPr>
              <w:t>-2021《人造板及其</w:t>
            </w:r>
            <w:r>
              <w:rPr>
                <w:rStyle w:val="12"/>
                <w:lang w:val="en-US" w:eastAsia="zh-CN" w:bidi="ar"/>
              </w:rPr>
              <w:br w:type="textWrapping"/>
            </w:r>
            <w:r>
              <w:rPr>
                <w:rStyle w:val="12"/>
                <w:lang w:val="en-US" w:eastAsia="zh-CN" w:bidi="ar"/>
              </w:rPr>
              <w:t>制品甲醛释放量分级》标准、3吸水厚度</w:t>
            </w:r>
            <w:r>
              <w:rPr>
                <w:rStyle w:val="12"/>
                <w:rFonts w:hint="eastAsia"/>
                <w:lang w:val="en-US" w:eastAsia="zh-CN" w:bidi="ar"/>
              </w:rPr>
              <w:t>膨胀</w:t>
            </w:r>
            <w:r>
              <w:rPr>
                <w:rStyle w:val="12"/>
                <w:lang w:val="en-US" w:eastAsia="zh-CN" w:bidi="ar"/>
              </w:rPr>
              <w:t>率(</w:t>
            </w:r>
            <w:r>
              <w:rPr>
                <w:rStyle w:val="12"/>
                <w:rFonts w:hint="eastAsia"/>
                <w:lang w:val="en-US" w:eastAsia="zh-CN" w:bidi="ar"/>
              </w:rPr>
              <w:t>%</w:t>
            </w:r>
            <w:r>
              <w:rPr>
                <w:rStyle w:val="12"/>
                <w:lang w:val="en-US" w:eastAsia="zh-CN" w:bidi="ar"/>
              </w:rPr>
              <w:t>)&lt;4.1,含水率(%):6-9;表面耐划痕：&gt;1.5N表面无大于90%的连续划痕；表面耐</w:t>
            </w:r>
            <w:r>
              <w:rPr>
                <w:rStyle w:val="12"/>
                <w:lang w:val="en-US" w:eastAsia="zh-CN" w:bidi="ar"/>
              </w:rPr>
              <w:br w:type="textWrapping"/>
            </w:r>
            <w:r>
              <w:rPr>
                <w:rStyle w:val="12"/>
                <w:lang w:val="en-US" w:eastAsia="zh-CN" w:bidi="ar"/>
              </w:rPr>
              <w:t>香烟灼烧》5级；甲醛释放量&lt;ut2mylm (级);</w:t>
            </w:r>
            <w:r>
              <w:rPr>
                <w:rStyle w:val="12"/>
                <w:lang w:val="en-US" w:eastAsia="zh-CN" w:bidi="ar"/>
              </w:rPr>
              <w:br w:type="textWrapping"/>
            </w:r>
            <w:r>
              <w:rPr>
                <w:rStyle w:val="12"/>
                <w:lang w:val="en-US" w:eastAsia="zh-CN" w:bidi="ar"/>
              </w:rPr>
              <w:t>β3、</w:t>
            </w:r>
            <w:r>
              <w:rPr>
                <w:rStyle w:val="12"/>
                <w:rFonts w:hint="eastAsia"/>
                <w:lang w:val="en-US" w:eastAsia="zh-CN" w:bidi="ar"/>
              </w:rPr>
              <w:t>挡</w:t>
            </w:r>
            <w:r>
              <w:rPr>
                <w:rStyle w:val="12"/>
                <w:lang w:val="en-US" w:eastAsia="zh-CN" w:bidi="ar"/>
              </w:rPr>
              <w:t>板及柜体：采用15mm三聚氰胺板，符合：甲醛释放量&lt;0042mg/m</w:t>
            </w:r>
            <w:r>
              <w:rPr>
                <w:rStyle w:val="13"/>
                <w:lang w:val="en-US" w:eastAsia="zh-CN" w:bidi="ar"/>
              </w:rPr>
              <w:t>³</w:t>
            </w:r>
            <w:r>
              <w:rPr>
                <w:rStyle w:val="12"/>
                <w:lang w:val="en-US" w:eastAsia="zh-CN" w:bidi="ar"/>
              </w:rPr>
              <w:t>,24h吸水厚度膨胀率&lt;5.5%,含水率&lt;77%,板内密度偏差为</w:t>
            </w:r>
            <w:r>
              <w:rPr>
                <w:rStyle w:val="12"/>
                <w:lang w:val="en-US" w:eastAsia="zh-CN" w:bidi="ar"/>
              </w:rPr>
              <w:br w:type="textWrapping"/>
            </w:r>
            <w:r>
              <w:rPr>
                <w:rStyle w:val="12"/>
                <w:lang w:val="en-US" w:eastAsia="zh-CN" w:bidi="ar"/>
              </w:rPr>
              <w:t>±1.4%;</w:t>
            </w:r>
            <w:r>
              <w:rPr>
                <w:rStyle w:val="12"/>
                <w:lang w:val="en-US" w:eastAsia="zh-CN" w:bidi="ar"/>
              </w:rPr>
              <w:br w:type="textWrapping"/>
            </w:r>
            <w:r>
              <w:rPr>
                <w:rStyle w:val="12"/>
                <w:lang w:val="en-US" w:eastAsia="zh-CN" w:bidi="ar"/>
              </w:rPr>
              <w:t>4、封边：符合QB/T44632013标准，耐干热性：应无龟裂、无鼓泡；耐磨性：磨30后无露底现象；耐冷热循环性：应无龟裂、无鼓泡、</w:t>
            </w:r>
            <w:r>
              <w:rPr>
                <w:rStyle w:val="12"/>
                <w:lang w:val="en-US" w:eastAsia="zh-CN" w:bidi="ar"/>
              </w:rPr>
              <w:br w:type="textWrapping"/>
            </w:r>
            <w:r>
              <w:rPr>
                <w:rStyle w:val="12"/>
                <w:lang w:val="en-US" w:eastAsia="zh-CN" w:bidi="ar"/>
              </w:rPr>
              <w:t>无变色、无起皱；可迁移元素(可溶性重金属：锑(Sb)≤60mg/kg.砷(As)≤25mg/kg.锲(Ba)≤1000mg/ko,镉(Cd)&lt;75mg/ko,铬(C)≤60mg/ko,铅</w:t>
            </w:r>
            <w:r>
              <w:rPr>
                <w:rStyle w:val="12"/>
                <w:lang w:val="en-US" w:eastAsia="zh-CN" w:bidi="ar"/>
              </w:rPr>
              <w:br w:type="textWrapping"/>
            </w:r>
            <w:r>
              <w:rPr>
                <w:rStyle w:val="12"/>
                <w:lang w:val="en-US" w:eastAsia="zh-CN" w:bidi="ar"/>
              </w:rPr>
              <w:t>(Pb)&lt;90mg/kg,汞(Hg)&lt;60mg/kg.硒(Se)&lt;500mg/kg;</w:t>
            </w:r>
            <w:r>
              <w:rPr>
                <w:rStyle w:val="12"/>
                <w:lang w:val="en-US" w:eastAsia="zh-CN" w:bidi="ar"/>
              </w:rPr>
              <w:br w:type="textWrapping"/>
            </w:r>
            <w:r>
              <w:rPr>
                <w:rStyle w:val="12"/>
                <w:lang w:val="en-US" w:eastAsia="zh-CN" w:bidi="ar"/>
              </w:rPr>
              <w:t>5、五金连接件符合GB/T3325-2024、QB/T3826-1999、QB/T3832-1999标准，耐腐蚀试验：中性盐雾试验(SS)-连续喷雾&gt;18h,耐腐蚀等</w:t>
            </w:r>
            <w:r>
              <w:rPr>
                <w:rStyle w:val="12"/>
                <w:lang w:val="en-US" w:eastAsia="zh-CN" w:bidi="ar"/>
              </w:rPr>
              <w:br w:type="textWrapping"/>
            </w:r>
            <w:r>
              <w:rPr>
                <w:rStyle w:val="12"/>
                <w:lang w:val="en-US" w:eastAsia="zh-CN" w:bidi="ar"/>
              </w:rPr>
              <w:t>级&gt;10级；外观性能：应无漏喷、锈蚀、脱色、掉色等，应光滑均匀，色泽一致，应无流挂、疙瘩、皱皮、飞漆等；</w:t>
            </w:r>
          </w:p>
        </w:tc>
      </w:tr>
      <w:tr w14:paraId="3ABDF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C8237">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5</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F97A4">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钢木折叠条桌</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2D1FB">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1200*450*750</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8C1C3">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-33655</wp:posOffset>
                  </wp:positionH>
                  <wp:positionV relativeFrom="paragraph">
                    <wp:posOffset>-467995</wp:posOffset>
                  </wp:positionV>
                  <wp:extent cx="1351280" cy="843915"/>
                  <wp:effectExtent l="0" t="0" r="1270" b="13335"/>
                  <wp:wrapNone/>
                  <wp:docPr id="17" name="图片_13"/>
                  <wp:cNvGraphicFramePr/>
                  <a:graphic xmlns:a="http://schemas.openxmlformats.org/drawingml/2006/main">
                    <a:graphicData uri="http://schemas.openxmlformats.org/drawingml/2006/picture">
                      <pic:pic xmlns:pic="http://schemas.openxmlformats.org/drawingml/2006/picture">
                        <pic:nvPicPr>
                          <pic:cNvPr id="17" name="图片_13"/>
                          <pic:cNvPicPr/>
                        </pic:nvPicPr>
                        <pic:blipFill>
                          <a:blip r:embed="rId9"/>
                          <a:stretch>
                            <a:fillRect/>
                          </a:stretch>
                        </pic:blipFill>
                        <pic:spPr>
                          <a:xfrm>
                            <a:off x="0" y="0"/>
                            <a:ext cx="1351280" cy="843915"/>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0BEC5">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Style w:val="12"/>
                <w:lang w:val="en-US" w:eastAsia="zh-CN" w:bidi="ar"/>
              </w:rPr>
              <w:t>1、基材：E1级环保实木颗粒板，甲醛释放量≤0.03mg/m</w:t>
            </w:r>
            <w:r>
              <w:rPr>
                <w:rStyle w:val="13"/>
                <w:lang w:val="en-US" w:eastAsia="zh-CN" w:bidi="ar"/>
              </w:rPr>
              <w:t>³</w:t>
            </w:r>
            <w:r>
              <w:rPr>
                <w:rStyle w:val="12"/>
                <w:lang w:val="en-US" w:eastAsia="zh-CN" w:bidi="ar"/>
              </w:rPr>
              <w:t>，含水率≤10%，2h吸水厚度膨胀率≤5%，内结合强度≥0.40MPa，静曲强度≥15MPa，弹性模量≥2500MPa，检验依据为GB18580-2017室内装饰装修材料人造板及其制品中甲醛释放量标准、GB∕T4897-2015刨花板标准。</w:t>
            </w:r>
            <w:r>
              <w:rPr>
                <w:rStyle w:val="12"/>
                <w:lang w:val="en-US" w:eastAsia="zh-CN" w:bidi="ar"/>
              </w:rPr>
              <w:br w:type="textWrapping"/>
            </w:r>
            <w:r>
              <w:rPr>
                <w:rStyle w:val="12"/>
                <w:lang w:val="en-US" w:eastAsia="zh-CN" w:bidi="ar"/>
              </w:rPr>
              <w:t>2、面材：采用三聚氰胺饰面板，检验依据为GB/T15102-2017浸渍胶膜纸饰面纤维板和刨花板、GB/T35601-2017绿色产品评价人造板和木质地板、GB18580-2017室内装饰装修材料人造板及其制品中甲醛释放限量标准，甲醛释放限量≤0.04mg/m</w:t>
            </w:r>
            <w:r>
              <w:rPr>
                <w:rStyle w:val="13"/>
                <w:lang w:val="en-US" w:eastAsia="zh-CN" w:bidi="ar"/>
              </w:rPr>
              <w:t>³</w:t>
            </w:r>
            <w:r>
              <w:rPr>
                <w:rStyle w:val="12"/>
                <w:lang w:val="en-US" w:eastAsia="zh-CN" w:bidi="ar"/>
              </w:rPr>
              <w:t>，耐光色牢度＞4级，表面耐龟裂＞4级，表面耐干热＞4级，表面耐污染腐蚀（丙酮、咖啡（120g/L）、氢氧化钠溶液（25％）、双氧水（30％）、鞋油、柠檬酸溶液（10％））达到5级，表面耐香烟灼烧达到4级，表面耐磨磨耗值≤20mg/100r，表面耐划痕无大于90％的连续划痕，表面胶合强度≥1.0MPa，板内密度偏差±5%，24h吸水厚度膨胀率≤5%，挥发性有机化合物（72h）（苯、甲苯、二甲苯、总挥发性有机化合物（TVOC））未检出。</w:t>
            </w:r>
            <w:r>
              <w:rPr>
                <w:rStyle w:val="12"/>
                <w:lang w:val="en-US" w:eastAsia="zh-CN" w:bidi="ar"/>
              </w:rPr>
              <w:br w:type="textWrapping"/>
            </w:r>
            <w:r>
              <w:rPr>
                <w:rStyle w:val="12"/>
                <w:lang w:val="en-US" w:eastAsia="zh-CN" w:bidi="ar"/>
              </w:rPr>
              <w:t>3、胶粘剂：总挥发性有机物含量≤30g/L，甲苯+二甲苯≤0.2g/kg，苯≤0.2g/kg,游离甲醛≤0.05g/kg，检验依据为GB18583-2008室内装饰装修材料胶黏剂中有害物质限量标准。</w:t>
            </w:r>
            <w:r>
              <w:rPr>
                <w:rStyle w:val="12"/>
                <w:lang w:val="en-US" w:eastAsia="zh-CN" w:bidi="ar"/>
              </w:rPr>
              <w:br w:type="textWrapping"/>
            </w:r>
            <w:r>
              <w:rPr>
                <w:rStyle w:val="12"/>
                <w:lang w:val="en-US" w:eastAsia="zh-CN" w:bidi="ar"/>
              </w:rPr>
              <w:t>4、封边条：采用PVC封边条,检验依据为QB/T4463-2013家具封边条技术要求，GB/T17657-2013人造板及饰面人造板理化性能试验方法。</w:t>
            </w:r>
            <w:r>
              <w:rPr>
                <w:rStyle w:val="12"/>
                <w:lang w:val="en-US" w:eastAsia="zh-CN" w:bidi="ar"/>
              </w:rPr>
              <w:br w:type="textWrapping"/>
            </w:r>
            <w:r>
              <w:rPr>
                <w:rStyle w:val="12"/>
                <w:lang w:val="en-US" w:eastAsia="zh-CN" w:bidi="ar"/>
              </w:rPr>
              <w:t>5、五金件：采用五金件，三合一连接件检验依据为GB/T3325-2017金属家具通用技术条件标准，金属件外观电镀层无剥落、无反锈、无毛刺、无烧焦、起泡、针孔、裂痕、花斑和划痕。</w:t>
            </w:r>
          </w:p>
        </w:tc>
      </w:tr>
      <w:tr w14:paraId="7113F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38B80">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6</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FA6DA">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餐桌</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FFBEE">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1400*700*750</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29F53">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222250</wp:posOffset>
                  </wp:positionH>
                  <wp:positionV relativeFrom="paragraph">
                    <wp:posOffset>222250</wp:posOffset>
                  </wp:positionV>
                  <wp:extent cx="901700" cy="612775"/>
                  <wp:effectExtent l="0" t="0" r="12700" b="15875"/>
                  <wp:wrapNone/>
                  <wp:docPr id="18" name="image16"/>
                  <wp:cNvGraphicFramePr/>
                  <a:graphic xmlns:a="http://schemas.openxmlformats.org/drawingml/2006/main">
                    <a:graphicData uri="http://schemas.openxmlformats.org/drawingml/2006/picture">
                      <pic:pic xmlns:pic="http://schemas.openxmlformats.org/drawingml/2006/picture">
                        <pic:nvPicPr>
                          <pic:cNvPr id="18" name="image16"/>
                          <pic:cNvPicPr/>
                        </pic:nvPicPr>
                        <pic:blipFill>
                          <a:blip r:embed="rId10"/>
                          <a:stretch>
                            <a:fillRect/>
                          </a:stretch>
                        </pic:blipFill>
                        <pic:spPr>
                          <a:xfrm>
                            <a:off x="0" y="0"/>
                            <a:ext cx="901700" cy="612775"/>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EFE8F">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1、餐桌规格：1200*600*750(±5)mm ；                                                               台面25mm厚三胺板，面贴防火板，做半包圆边；</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2、侧面封边：PVC封边条，符合：外观无缺陷、耐冷热循环性无龟裂、无鼓泡、无变色、无起皱，甲醛释放量未检出(检出限：</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0.05mg/L),特定元素的迁移，铬、砷、硒、镉、锑、钡、汞、铅均未检出；</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3、五金配件：优质家具五金标件；</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4、钢制喷塑下架。</w:t>
            </w:r>
          </w:p>
        </w:tc>
      </w:tr>
      <w:tr w14:paraId="1EDFD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DC94A">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7</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882DE">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餐椅</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8B4F2">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常规</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D7C23">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168910</wp:posOffset>
                  </wp:positionH>
                  <wp:positionV relativeFrom="paragraph">
                    <wp:posOffset>121920</wp:posOffset>
                  </wp:positionV>
                  <wp:extent cx="961390" cy="1106805"/>
                  <wp:effectExtent l="0" t="0" r="10160" b="17145"/>
                  <wp:wrapNone/>
                  <wp:docPr id="13" name="图片_1"/>
                  <wp:cNvGraphicFramePr/>
                  <a:graphic xmlns:a="http://schemas.openxmlformats.org/drawingml/2006/main">
                    <a:graphicData uri="http://schemas.openxmlformats.org/drawingml/2006/picture">
                      <pic:pic xmlns:pic="http://schemas.openxmlformats.org/drawingml/2006/picture">
                        <pic:nvPicPr>
                          <pic:cNvPr id="13" name="图片_1"/>
                          <pic:cNvPicPr/>
                        </pic:nvPicPr>
                        <pic:blipFill>
                          <a:blip r:embed="rId11"/>
                          <a:stretch>
                            <a:fillRect/>
                          </a:stretch>
                        </pic:blipFill>
                        <pic:spPr>
                          <a:xfrm>
                            <a:off x="0" y="0"/>
                            <a:ext cx="961390" cy="1106805"/>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2382B">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材质：坐垫部分为12mm多层曲木板基材，表面贴防火防水装饰板，四周经多次打磨油漆防水封边；3、椅架：不锈钢钢管直径&gt;19mm,表面经多次打磨亮光处理。</w:t>
            </w:r>
          </w:p>
        </w:tc>
      </w:tr>
      <w:tr w14:paraId="19E51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4"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D9F92">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8</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185E9">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长茶几</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F0D40">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1200*600*450</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FF309">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342900</wp:posOffset>
                  </wp:positionH>
                  <wp:positionV relativeFrom="paragraph">
                    <wp:posOffset>82550</wp:posOffset>
                  </wp:positionV>
                  <wp:extent cx="800100" cy="990600"/>
                  <wp:effectExtent l="0" t="0" r="0" b="0"/>
                  <wp:wrapNone/>
                  <wp:docPr id="7" name="图片_10"/>
                  <wp:cNvGraphicFramePr/>
                  <a:graphic xmlns:a="http://schemas.openxmlformats.org/drawingml/2006/main">
                    <a:graphicData uri="http://schemas.openxmlformats.org/drawingml/2006/picture">
                      <pic:pic xmlns:pic="http://schemas.openxmlformats.org/drawingml/2006/picture">
                        <pic:nvPicPr>
                          <pic:cNvPr id="7" name="图片_10"/>
                          <pic:cNvPicPr/>
                        </pic:nvPicPr>
                        <pic:blipFill>
                          <a:blip r:embed="rId12"/>
                          <a:stretch>
                            <a:fillRect/>
                          </a:stretch>
                        </pic:blipFill>
                        <pic:spPr>
                          <a:xfrm>
                            <a:off x="0" y="0"/>
                            <a:ext cx="800100" cy="990600"/>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3DA91">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1.基材：采用刨花板制作，台面厚度≥25mm；</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2.面材：采用浸渍胶膜纸饰面，表面无色差、裂口；</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3.封边条：采用PVC封边条，封边条厚度≥1.5mm；表面无划痕、颗粒，边缘倒角R0.5mm±0.1mm；</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4.脚架：静电喷涂钢脚，钢管壁厚≥1.2mm。</w:t>
            </w:r>
          </w:p>
        </w:tc>
      </w:tr>
      <w:tr w14:paraId="24457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EC763">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-2525395</wp:posOffset>
                  </wp:positionH>
                  <wp:positionV relativeFrom="paragraph">
                    <wp:posOffset>-285115</wp:posOffset>
                  </wp:positionV>
                  <wp:extent cx="800100" cy="990600"/>
                  <wp:effectExtent l="0" t="0" r="0" b="0"/>
                  <wp:wrapNone/>
                  <wp:docPr id="8" name="图片_11"/>
                  <wp:cNvGraphicFramePr/>
                  <a:graphic xmlns:a="http://schemas.openxmlformats.org/drawingml/2006/main">
                    <a:graphicData uri="http://schemas.openxmlformats.org/drawingml/2006/picture">
                      <pic:pic xmlns:pic="http://schemas.openxmlformats.org/drawingml/2006/picture">
                        <pic:nvPicPr>
                          <pic:cNvPr id="8" name="图片_11"/>
                          <pic:cNvPicPr/>
                        </pic:nvPicPr>
                        <pic:blipFill>
                          <a:blip r:embed="rId12"/>
                          <a:stretch>
                            <a:fillRect/>
                          </a:stretch>
                        </pic:blipFill>
                        <pic:spPr>
                          <a:xfrm>
                            <a:off x="0" y="0"/>
                            <a:ext cx="800100" cy="990600"/>
                          </a:xfrm>
                          <a:prstGeom prst="rect">
                            <a:avLst/>
                          </a:prstGeom>
                          <a:noFill/>
                          <a:ln>
                            <a:noFill/>
                          </a:ln>
                        </pic:spPr>
                      </pic:pic>
                    </a:graphicData>
                  </a:graphic>
                </wp:anchor>
              </w:drawing>
            </w:r>
            <w:r>
              <w:rPr>
                <w:rFonts w:hint="eastAsia" w:ascii="黑体" w:hAnsi="宋体" w:eastAsia="黑体" w:cs="黑体"/>
                <w:i w:val="0"/>
                <w:iCs w:val="0"/>
                <w:color w:val="000000"/>
                <w:kern w:val="0"/>
                <w:sz w:val="21"/>
                <w:szCs w:val="21"/>
                <w:u w:val="none"/>
                <w:lang w:val="en-US" w:eastAsia="zh-CN" w:bidi="ar"/>
              </w:rPr>
              <w:t>9</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4B632">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办公椅</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BEA1C">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常规</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E00FF">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228600</wp:posOffset>
                  </wp:positionH>
                  <wp:positionV relativeFrom="paragraph">
                    <wp:posOffset>19050</wp:posOffset>
                  </wp:positionV>
                  <wp:extent cx="914400" cy="1200150"/>
                  <wp:effectExtent l="0" t="0" r="0" b="0"/>
                  <wp:wrapNone/>
                  <wp:docPr id="25" name="图片_12"/>
                  <wp:cNvGraphicFramePr/>
                  <a:graphic xmlns:a="http://schemas.openxmlformats.org/drawingml/2006/main">
                    <a:graphicData uri="http://schemas.openxmlformats.org/drawingml/2006/picture">
                      <pic:pic xmlns:pic="http://schemas.openxmlformats.org/drawingml/2006/picture">
                        <pic:nvPicPr>
                          <pic:cNvPr id="25" name="图片_12"/>
                          <pic:cNvPicPr/>
                        </pic:nvPicPr>
                        <pic:blipFill>
                          <a:blip r:embed="rId13"/>
                          <a:stretch>
                            <a:fillRect/>
                          </a:stretch>
                        </pic:blipFill>
                        <pic:spPr>
                          <a:xfrm>
                            <a:off x="0" y="0"/>
                            <a:ext cx="914400" cy="1200150"/>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46BAD">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1.内置填充物：采用聚氨酯泡沫，边缘平整无毛刺，确保与座椅框架精准贴合，避免缝隙或鼓包；</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2.饰面：选用无污染，耐磨损、着色牢固的纺织面料，长期使用不脱色；</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3.机构：采用座椅用底盘，具备升降、防爆功能；</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4.气杆：采用座椅用气压棒，管壁厚度≥2.0mm，能实现平稳、顺畅的升降功能，无卡顿、异响或明显的顿挫感；</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5.椅脚：采用PA尼龙五星脚，无色差、明显划痕；</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6.脚轮：采用耐磨万向脚轮，脚轮在移动时不易划伤地胶、地砖、木地板。</w:t>
            </w:r>
          </w:p>
        </w:tc>
      </w:tr>
      <w:tr w14:paraId="4AABE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2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9F2C6">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10</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83718">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诊断椅</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288F6">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常规</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E8BDC">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292100</wp:posOffset>
                  </wp:positionH>
                  <wp:positionV relativeFrom="paragraph">
                    <wp:posOffset>76200</wp:posOffset>
                  </wp:positionV>
                  <wp:extent cx="842010" cy="1124585"/>
                  <wp:effectExtent l="0" t="0" r="15240" b="18415"/>
                  <wp:wrapNone/>
                  <wp:docPr id="19" name="图片_37"/>
                  <wp:cNvGraphicFramePr/>
                  <a:graphic xmlns:a="http://schemas.openxmlformats.org/drawingml/2006/main">
                    <a:graphicData uri="http://schemas.openxmlformats.org/drawingml/2006/picture">
                      <pic:pic xmlns:pic="http://schemas.openxmlformats.org/drawingml/2006/picture">
                        <pic:nvPicPr>
                          <pic:cNvPr id="19" name="图片_37"/>
                          <pic:cNvPicPr/>
                        </pic:nvPicPr>
                        <pic:blipFill>
                          <a:blip r:embed="rId14"/>
                          <a:stretch>
                            <a:fillRect/>
                          </a:stretch>
                        </pic:blipFill>
                        <pic:spPr>
                          <a:xfrm>
                            <a:off x="0" y="0"/>
                            <a:ext cx="842010" cy="1124585"/>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577A9">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基材：采用PP塑料，表面涂层可迁移元素（锑、砷、镉、铬、铅、汞、硒）含量均检测合格。有害物质限量-邻苯二甲酸酯（DBP、BBP、DEHP、DNOP、DINP、DIDP）含量均未检出，苯并[a]芘、16种多环芳烃（PAH）总量、多溴联苯、多溴二苯醚含量均未检出，理化性能塑料件硬度-邵氏D硬度≥HD65。检验依据为HJ 2547-2016 环境标志产品技术要求 家具、GB/T 32487-2016 塑料家具通用技术条件、SN/T 1877.2-2007 塑料原料及其制品中多环芳烃的测定方法。（▲提供国家认可的第三方检测机构出具的带CMA标识的PP塑料检验检测合格报告）</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2、脚架：采用钢架，金属涂层耐腐蚀等级（中性盐雾试验（NSS））连续喷雾≥240h，等级≥10级，人造气氛腐蚀试验（盐雾试验）（铜加速乙酸盐雾（CASS））试验周期≥240h，保护评级（Rᴘ）≥10级，外观评级（Rᴀ）≥10级。检验依据为GB/T 10125-2021 人造气氛腐蚀试验 盐雾试验、GB/T 6461-2002 金属基体上金属和其他无机覆盖层 经腐蚀试验后的试样和试件的评级、QB/T 3826-1999 轻工产品金属镀层和化学处理层的耐腐蚀试验方法 中性盐雾试验（NSS）法。</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3、脚垫：采用ABS塑料，表面涂层可迁移元素（锑、砷、镉、铬、铅、汞、硒）含量均检测合格。有害物质限量-邻苯二甲酸酯（DBP、BBP、DEHP、DNOP、DINP、DIDP）含量均未检出，多环芳烃（苯并[a]芘、16种多环芳烃（PAH）总量）含量均未检出，多溴联苯、多溴二苯醚含量均未检出，理化性能塑料件硬度-邵氏D硬度≥HD63。检验依据为HJ 2547-2016 环境标志产品技术要求 家具、GB/T 32487-2016 塑料家具通用技术条件。（▲提供国家认可的第三方检测机构出具的带CMA标识的ABS塑料检验检测合格报告）</w:t>
            </w:r>
          </w:p>
        </w:tc>
      </w:tr>
      <w:tr w14:paraId="2B0F5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F6431">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11</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7875A">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圆凳（带升降带轮无靠背）</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ACC07">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常规</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C0CAA">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342900</wp:posOffset>
                  </wp:positionH>
                  <wp:positionV relativeFrom="paragraph">
                    <wp:posOffset>254000</wp:posOffset>
                  </wp:positionV>
                  <wp:extent cx="686435" cy="793750"/>
                  <wp:effectExtent l="0" t="0" r="18415" b="6350"/>
                  <wp:wrapNone/>
                  <wp:docPr id="20" name="image26"/>
                  <wp:cNvGraphicFramePr/>
                  <a:graphic xmlns:a="http://schemas.openxmlformats.org/drawingml/2006/main">
                    <a:graphicData uri="http://schemas.openxmlformats.org/drawingml/2006/picture">
                      <pic:pic xmlns:pic="http://schemas.openxmlformats.org/drawingml/2006/picture">
                        <pic:nvPicPr>
                          <pic:cNvPr id="20" name="image26"/>
                          <pic:cNvPicPr/>
                        </pic:nvPicPr>
                        <pic:blipFill>
                          <a:blip r:embed="rId15"/>
                          <a:stretch>
                            <a:fillRect/>
                          </a:stretch>
                        </pic:blipFill>
                        <pic:spPr>
                          <a:xfrm>
                            <a:off x="0" y="0"/>
                            <a:ext cx="686435" cy="793750"/>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87B67">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1、规格：0330*500~640(±5)mm</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2、▲坐面：PP材料符合GB/T32487-2016《塑料家具通用技术条件》及GB/T31402-2023《塑料和其他无孔材料表面抗菌活性的测定》标准，塑料件外观应无裂纹、明显变形、缩水、针孔，应无凹陷、飞边、折皱、疙瘩，应无气泡、杂质、伤痕、白印，表面应光洁，应无</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划痕、毛刺、拉毛、污渍，应无明显色差；理化性能：塑料件耐冷热循环应无裂纹、鼓泡、变色、起皱；可迁移元素(镉、铬、汞、锑</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卜硒、砷、铅、钡均未检出(检出限：002mg/kg));多溴联苯(PBB)、多溴二苯醚(PBDE)、多环芳烃-16种多环芳烃(PAH)总量、多环</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)芳烃苯并a芘均检测合格，邻苯二甲酸酯(DBP、BBP、DEHP、DNOP、DINP、DIDP)均未检出，抗菌活性值金黄色葡萄球菌活性值</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&gt;1.2,抗菌率&gt;93%;(提供“PP材料”带CNAS或CMA的第三方检测报告扫描件);</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3、气压棒：符合QB/T3826-1999、QB/T3827-1999、QB/T3832-1999、GB/T33252024、GB/T67392022标准，检测项包含但不限于：中性</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盐雾试验&gt;7Zh耐腐蚀等级不低于10级，乙酸盐雾&gt;96h耐腐蚀等级不低于10级，金属喷漆(塑)涂层：硬度不低于4H;</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4、五星脚架：DBP、BBP、DEHP、DNOP、DINP、DIDP未检出，可溶性铅、可溶性镉、可溶性铬、可溶性汞未检出，苯并回]芘未检</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出，16种多环芳烃(PAH)总量未检出。</w:t>
            </w:r>
          </w:p>
        </w:tc>
      </w:tr>
      <w:tr w14:paraId="389EE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2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F7A80">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12</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2C2BE">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病员椅</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E8161">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常规</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BA4C4">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222250</wp:posOffset>
                  </wp:positionH>
                  <wp:positionV relativeFrom="paragraph">
                    <wp:posOffset>50800</wp:posOffset>
                  </wp:positionV>
                  <wp:extent cx="800100" cy="1057275"/>
                  <wp:effectExtent l="0" t="0" r="0" b="9525"/>
                  <wp:wrapNone/>
                  <wp:docPr id="15" name="图片_16"/>
                  <wp:cNvGraphicFramePr/>
                  <a:graphic xmlns:a="http://schemas.openxmlformats.org/drawingml/2006/main">
                    <a:graphicData uri="http://schemas.openxmlformats.org/drawingml/2006/picture">
                      <pic:pic xmlns:pic="http://schemas.openxmlformats.org/drawingml/2006/picture">
                        <pic:nvPicPr>
                          <pic:cNvPr id="15" name="图片_16"/>
                          <pic:cNvPicPr/>
                        </pic:nvPicPr>
                        <pic:blipFill>
                          <a:blip r:embed="rId16"/>
                          <a:stretch>
                            <a:fillRect/>
                          </a:stretch>
                        </pic:blipFill>
                        <pic:spPr>
                          <a:xfrm>
                            <a:off x="0" y="0"/>
                            <a:ext cx="800100" cy="1057275"/>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DA481">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1、椅座：采用pp塑料，座宽450mm±5mm，背高375mm±5mm，靠背腰部弧形开口设计开口尺寸为（260mm*26mm）±5mm，单手拿取，通过拉背负载测试确保靠背结构抗形变能力达标。</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2、椅架：采用（20mm*30mm*1.5mm）±5mm扁方钢管磨砂喷涂，连接部位采用≥5mm钢板，内置抽拉试卡扣链接装置，椅子侧面预留梯形安装孔位，可实现无扶手链接、加扶手链接、加写字板链接功能。</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3、连接件：采用螺栓+螺母组合连接，可确保连接结构具备必要的承载能力和抗腐蚀性能。</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4、脚垫：采用PP塑料+15%玻璃纤维增强专用地脚，移动时不会划伤地板。</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5、叠螺功能:垂直平衡堆叠不倾斜。</w:t>
            </w:r>
          </w:p>
        </w:tc>
      </w:tr>
      <w:tr w14:paraId="408D7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8DAF9">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13</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BC8FF">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办公室客椅</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2759E">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常规</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60980">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215900</wp:posOffset>
                  </wp:positionH>
                  <wp:positionV relativeFrom="paragraph">
                    <wp:posOffset>88900</wp:posOffset>
                  </wp:positionV>
                  <wp:extent cx="1076325" cy="1057910"/>
                  <wp:effectExtent l="0" t="0" r="9525" b="8890"/>
                  <wp:wrapNone/>
                  <wp:docPr id="14" name="图片_2_SpCnt_1"/>
                  <wp:cNvGraphicFramePr/>
                  <a:graphic xmlns:a="http://schemas.openxmlformats.org/drawingml/2006/main">
                    <a:graphicData uri="http://schemas.openxmlformats.org/drawingml/2006/picture">
                      <pic:pic xmlns:pic="http://schemas.openxmlformats.org/drawingml/2006/picture">
                        <pic:nvPicPr>
                          <pic:cNvPr id="14" name="图片_2_SpCnt_1"/>
                          <pic:cNvPicPr/>
                        </pic:nvPicPr>
                        <pic:blipFill>
                          <a:blip r:embed="rId17"/>
                          <a:stretch>
                            <a:fillRect/>
                          </a:stretch>
                        </pic:blipFill>
                        <pic:spPr>
                          <a:xfrm>
                            <a:off x="0" y="0"/>
                            <a:ext cx="1076325" cy="1057910"/>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19067">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1、背框采用分体式设计，腰部曲线符合人体工程学，采用黑色全新PP塑料。</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2、面料网布，甲醛含量（B类）≤20mg/kg，pH值（B类）检测合格，染色牢度-耐水色牢度（B类）≥4级，染色牢度-耐酸汗渍色牢度（B类）≥4级，染色牢度-耐碱汗渍色牢度（B类）≥4级，染色牢度-耐干摩擦色牢度（B类）≥4级，可分解致癌芳香胺染料（24种）未检出，可萃取的重金属砷（As）、铅（Pb）、铬（Cr）、钴（Co）、铜（Cu）、镍（Ni）、铬（Cr）（Ⅵ）、镉（Cd）、锑（Sb）、汞（Hg）含量均检测合格；富马酸二甲酯（DMF）检测合格，燃烧性能（装饰用织物B1级）（损毁长度经向、纬向≤100 mm，续燃时间经向、纬向≤2s、阴燃时间经向、纬向≤2s），耐湿摩擦色牢度经向、纬向≥4级。检验依据为HJ 2547-2016 环境标志产品技术要求 家具、HJ 2546-2016 环境标志产品技术要求 纺织产品、GB/T 17591-2006 阻燃织物、GB/T 3920-2008 纺织品 色牢度试验 耐摩擦色牢度、GB/T 20944.1-2007 纺织品 抗菌性能的评价 第1部分：琼脂平皿扩散法。</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3、扶手与外靠背链接，向下倾斜135度左右。</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4、海绵：采用一体成型聚氨酯高回弹定型海绵。</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5、脚架采用壁厚≥2.0mm钢材。</w:t>
            </w:r>
          </w:p>
        </w:tc>
      </w:tr>
      <w:tr w14:paraId="0B39C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549DE">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14</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62B32">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候诊椅（三人）</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145C4">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三人位</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166EC">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55880</wp:posOffset>
                  </wp:positionH>
                  <wp:positionV relativeFrom="paragraph">
                    <wp:posOffset>314960</wp:posOffset>
                  </wp:positionV>
                  <wp:extent cx="1238250" cy="770255"/>
                  <wp:effectExtent l="0" t="0" r="0" b="10795"/>
                  <wp:wrapNone/>
                  <wp:docPr id="9" name="图片_19"/>
                  <wp:cNvGraphicFramePr/>
                  <a:graphic xmlns:a="http://schemas.openxmlformats.org/drawingml/2006/main">
                    <a:graphicData uri="http://schemas.openxmlformats.org/drawingml/2006/picture">
                      <pic:pic xmlns:pic="http://schemas.openxmlformats.org/drawingml/2006/picture">
                        <pic:nvPicPr>
                          <pic:cNvPr id="9" name="图片_19"/>
                          <pic:cNvPicPr/>
                        </pic:nvPicPr>
                        <pic:blipFill>
                          <a:blip r:embed="rId18"/>
                          <a:stretch>
                            <a:fillRect/>
                          </a:stretch>
                        </pic:blipFill>
                        <pic:spPr>
                          <a:xfrm>
                            <a:off x="0" y="0"/>
                            <a:ext cx="1238250" cy="770255"/>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42928">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扶手与椅脚：采用铝合金压铸成型，表面做静电喷粉喷涂处理，扶手面宽45mm。站脚形状为“人”字形以确保最佳的支撑稳定性，脚的整体宽度600mm（±10mm），脚与横梁最低接触面到地面的距离210mm（±10mm）、最高250mm（±10mm）（不含调节脚高度）。调节脚垫为黑色优质PP脚垫，脚垫底部蜂巢式设计；</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2.椅座、椅背表面材质：主要材质为“聚氨基甲酸酯”共聚合物（PU），模具内一体成型，座背板PU整体厚度要求≥25mm，椅座宽≥565mm，椅座深≥460mm，椅背宽≥565mm；</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3.椅座、椅背PU（采用整体组合座背板，不能采用分体式连接）内层材质：采用1.2mm优质钢架，使用专用高速数控冲床配合专用冲孔模具冲孔。外部采用100%纯高密度聚氨酯（PU)全部包裹，椅背带V字形凹凸设计，椅座及椅背应该按照人体维度设计，坐感舒适；</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4.座板与座板之间的缝隙设置合理，控制在6mm-8mm之间，避免小孩的手脚被座椅间缝隙卡住；</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5.横梁：采用80*40*1.6mm矩形管钢管，表面做静电喷粉喷涂处理；</w:t>
            </w:r>
          </w:p>
        </w:tc>
      </w:tr>
      <w:tr w14:paraId="5D099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F4387">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15</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76910">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候诊椅（四人）</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74E84">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1033145</wp:posOffset>
                  </wp:positionH>
                  <wp:positionV relativeFrom="paragraph">
                    <wp:posOffset>-62865</wp:posOffset>
                  </wp:positionV>
                  <wp:extent cx="1470025" cy="603250"/>
                  <wp:effectExtent l="0" t="0" r="15875" b="6350"/>
                  <wp:wrapNone/>
                  <wp:docPr id="21" name="图片_10_SpCnt_1"/>
                  <wp:cNvGraphicFramePr/>
                  <a:graphic xmlns:a="http://schemas.openxmlformats.org/drawingml/2006/main">
                    <a:graphicData uri="http://schemas.openxmlformats.org/drawingml/2006/picture">
                      <pic:pic xmlns:pic="http://schemas.openxmlformats.org/drawingml/2006/picture">
                        <pic:nvPicPr>
                          <pic:cNvPr id="21" name="图片_10_SpCnt_1"/>
                          <pic:cNvPicPr/>
                        </pic:nvPicPr>
                        <pic:blipFill>
                          <a:blip r:embed="rId19"/>
                          <a:stretch>
                            <a:fillRect/>
                          </a:stretch>
                        </pic:blipFill>
                        <pic:spPr>
                          <a:xfrm>
                            <a:off x="0" y="0"/>
                            <a:ext cx="1470025" cy="603250"/>
                          </a:xfrm>
                          <a:prstGeom prst="rect">
                            <a:avLst/>
                          </a:prstGeom>
                          <a:noFill/>
                          <a:ln>
                            <a:noFill/>
                          </a:ln>
                        </pic:spPr>
                      </pic:pic>
                    </a:graphicData>
                  </a:graphic>
                </wp:anchor>
              </w:drawing>
            </w:r>
            <w:r>
              <w:rPr>
                <w:rFonts w:hint="eastAsia" w:ascii="黑体" w:hAnsi="宋体" w:eastAsia="黑体" w:cs="黑体"/>
                <w:i w:val="0"/>
                <w:iCs w:val="0"/>
                <w:color w:val="000000"/>
                <w:kern w:val="0"/>
                <w:sz w:val="20"/>
                <w:szCs w:val="20"/>
                <w:u w:val="none"/>
                <w:lang w:val="en-US" w:eastAsia="zh-CN" w:bidi="ar"/>
              </w:rPr>
              <w:t>四人位</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89AA3">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0B59B">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、椅座宽度：520±5mm，椅座深度：450±5mm，椅座面距地高度：435±5mm，座椅顶部总深度：605±5mm</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2、材质说明：</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2.1、座背椅板为PU连体材质（聚氨基甲酸酯），内置铁架+铁板（椅座椅背造型无钢架外露），通过冷压再焊接成型，铁板采用≥1.2mm冷轧钢板，成型后再与铁架焊接为一整体。座背板PU边沿厚度要求≥25mm，椅座宽≥520mm，椅座深≥450mm，成型座背铁板，一体发泡成型，椅背带V字形凹凸设计，椅板成型宽度520㎜/允许公差±5㎜。</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2.2、扶手脚采用≥1.2mm厚冷轧钢板，冲压、焊接成型，打磨抛光，除油除锈后表面静电喷粉处理。扶手面加装聚氨酯一体成型PU扶手面，PU扶手面长度410 mm，面宽50 mm，面厚20 mm允许公差±3㎜，PU扶手面表面光滑无毛刺，PU扶手面适用于医院等候区，扶手位呈倒三角密封形状，椅脚长565mm±3㎜，结构稳定，安全性能好。</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2.3、承重梁采用直径≥60mm、厚度≥2.0mm六角钢管钻孔加工成型，除油除锈后表面静电喷粉处理。</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3、PU颜色：可选</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4、金属颜色：可选（灰白色或者闪银灰色，整椅金属同色系）</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5、调节脚垫：标配黑色PP脚垫，显得更加沉稳大方。</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6、坚固件（安装螺丝）：座背PU组合安装采用≥8*25mm大扁头内六角螺丝连接，座背PU与承重梁采用≥10*80mm圆头内六角螺丝连接，扶手脚采用≥10*80mm圆头内六角螺丝连接。</w:t>
            </w:r>
          </w:p>
        </w:tc>
      </w:tr>
      <w:tr w14:paraId="2AD06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E399C">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16</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F1CAA">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体检中心等候沙发</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9AF47">
            <w:pPr>
              <w:keepNext w:val="0"/>
              <w:keepLines w:val="0"/>
              <w:widowControl/>
              <w:suppressLineNumbers w:val="0"/>
              <w:jc w:val="center"/>
              <w:textAlignment w:val="center"/>
              <w:rPr>
                <w:rFonts w:hint="eastAsia" w:ascii="黑体" w:hAnsi="宋体" w:eastAsia="黑体" w:cs="黑体"/>
                <w:i w:val="0"/>
                <w:iCs w:val="0"/>
                <w:color w:val="000000"/>
                <w:kern w:val="0"/>
                <w:sz w:val="20"/>
                <w:szCs w:val="20"/>
                <w:u w:val="none"/>
                <w:lang w:val="en-US" w:eastAsia="zh-CN" w:bidi="ar"/>
              </w:rPr>
            </w:pPr>
            <w:r>
              <w:rPr>
                <w:rFonts w:hint="eastAsia" w:ascii="黑体" w:hAnsi="宋体" w:eastAsia="黑体" w:cs="黑体"/>
                <w:i w:val="0"/>
                <w:iCs w:val="0"/>
                <w:color w:val="000000"/>
                <w:kern w:val="0"/>
                <w:sz w:val="20"/>
                <w:szCs w:val="20"/>
                <w:u w:val="none"/>
                <w:lang w:val="en-US" w:eastAsia="zh-CN" w:bidi="ar"/>
              </w:rPr>
              <w:t>1400*800*700</w:t>
            </w:r>
          </w:p>
          <w:p w14:paraId="2AC2D15A">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(±5)mm</w:t>
            </w:r>
            <w:r>
              <w:rPr>
                <w:rFonts w:hint="eastAsia" w:ascii="黑体" w:hAnsi="宋体" w:eastAsia="黑体" w:cs="黑体"/>
                <w:i w:val="0"/>
                <w:iCs w:val="0"/>
                <w:color w:val="000000"/>
                <w:kern w:val="0"/>
                <w:sz w:val="20"/>
                <w:szCs w:val="20"/>
                <w:u w:val="none"/>
                <w:lang w:val="en-US" w:eastAsia="zh-CN" w:bidi="ar"/>
              </w:rPr>
              <w:br w:type="textWrapping"/>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C4E9C">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184150</wp:posOffset>
                  </wp:positionH>
                  <wp:positionV relativeFrom="paragraph">
                    <wp:posOffset>127000</wp:posOffset>
                  </wp:positionV>
                  <wp:extent cx="1035685" cy="1048385"/>
                  <wp:effectExtent l="0" t="0" r="12065" b="18415"/>
                  <wp:wrapNone/>
                  <wp:docPr id="26" name="image36"/>
                  <wp:cNvGraphicFramePr/>
                  <a:graphic xmlns:a="http://schemas.openxmlformats.org/drawingml/2006/main">
                    <a:graphicData uri="http://schemas.openxmlformats.org/drawingml/2006/picture">
                      <pic:pic xmlns:pic="http://schemas.openxmlformats.org/drawingml/2006/picture">
                        <pic:nvPicPr>
                          <pic:cNvPr id="26" name="image36"/>
                          <pic:cNvPicPr/>
                        </pic:nvPicPr>
                        <pic:blipFill>
                          <a:blip r:embed="rId20"/>
                          <a:stretch>
                            <a:fillRect/>
                          </a:stretch>
                        </pic:blipFill>
                        <pic:spPr>
                          <a:xfrm>
                            <a:off x="0" y="0"/>
                            <a:ext cx="1035685" cy="1048385"/>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903F1">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1、规格：1400*800*700(±5)mm</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2、面料西皮：符合GB/T16799-2018家具用皮革》标准，摩擦色牢度-(干擦&gt;500次-涂层厚度&gt;25um、湿擦&gt;250次-涂层厚度&gt;25um</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卜碱性汗液&gt;80次-涂层原度&gt;25um)&gt;4级；耐磨性(CS-10,&gt;500g,&gt;500)无明显损伤、剥落；撕裂力&gt;37.5N;气味&lt;2级；禁用偶氮</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染料、游离甲醛未检出(检出隔值内);</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3、内框架衬板：采用曲木木材、材质坚硬刚性强，承托力&gt;250KG,符合人体工学原理，经蒸、压煮、烘干、杀虫、杀菌处理，具有防</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腐、防虫、防潮等性能，坐德舒适；</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4、海绵：环保海绵，符合《通用软质驱醚型聚氨酯泡沫塑料身；</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5、内框架：采用规格20*20mm松木方，材质坚硬钢性强，木材含水率低于9%,经过高温高压、防虫防腐等处理，不易变形折断；</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6、沙发脚：电镀钢沙发脚。</w:t>
            </w:r>
          </w:p>
        </w:tc>
      </w:tr>
      <w:tr w14:paraId="75DC8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C656B">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17</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70067">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单人沙发</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91BB4">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单人位</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CA381">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76200</wp:posOffset>
                  </wp:positionH>
                  <wp:positionV relativeFrom="paragraph">
                    <wp:posOffset>146050</wp:posOffset>
                  </wp:positionV>
                  <wp:extent cx="1175385" cy="788035"/>
                  <wp:effectExtent l="0" t="0" r="5715" b="12065"/>
                  <wp:wrapNone/>
                  <wp:docPr id="11" name="image37"/>
                  <wp:cNvGraphicFramePr/>
                  <a:graphic xmlns:a="http://schemas.openxmlformats.org/drawingml/2006/main">
                    <a:graphicData uri="http://schemas.openxmlformats.org/drawingml/2006/picture">
                      <pic:pic xmlns:pic="http://schemas.openxmlformats.org/drawingml/2006/picture">
                        <pic:nvPicPr>
                          <pic:cNvPr id="11" name="image37"/>
                          <pic:cNvPicPr/>
                        </pic:nvPicPr>
                        <pic:blipFill>
                          <a:blip r:embed="rId21"/>
                          <a:stretch>
                            <a:fillRect/>
                          </a:stretch>
                        </pic:blipFill>
                        <pic:spPr>
                          <a:xfrm>
                            <a:off x="0" y="0"/>
                            <a:ext cx="1175385" cy="788035"/>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A2F1A">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1、规格：850#750*850(±5)mm</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2、面料西皮：符合GB/T16799-2018《家具用皮革》标准，摩擦色牢度-(干擦&gt;500次-涂层厚度&gt;25um、湿擦&gt;250次-涂层厚度&gt;25um</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卜碱性汗液≥80次-涂层厚度&gt;25um)&gt;4级；耐磨性(CS-10,&gt;500g,&gt;500)无明显损伤、剥落；撕裂力&gt;37.5N;气味&lt;2级；禁用偶氮</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染料、游离甲醛未检出(检出限值内);</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3、内框架衬板：采用曲木木材，材质坚硬刚性强，承托力&gt;250KG,符合人体工学原理，经蒸、压煮、烘干、杀虫、杀菌处理，具有防</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腐、防虫、防潮等性能，坐感舒适；</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4、海绵：环保海绵，符合《通用软质聚醚型聚氨酯泡沫塑料》;</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5、内框架：采用规格20*20mm松木方，材质坚硬钢性强，木材含水水率低于9%,经过高温高压、防虫防腐等处理，不易变形折断；</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6、沙发脚：电镀钢沙发脚。</w:t>
            </w:r>
          </w:p>
        </w:tc>
      </w:tr>
      <w:tr w14:paraId="0B7B4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598F3">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18</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4A9BF">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双人等候沙发</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2E312">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双人位</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5E35A">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69850</wp:posOffset>
                  </wp:positionH>
                  <wp:positionV relativeFrom="paragraph">
                    <wp:posOffset>152400</wp:posOffset>
                  </wp:positionV>
                  <wp:extent cx="1175385" cy="788035"/>
                  <wp:effectExtent l="0" t="0" r="5715" b="12065"/>
                  <wp:wrapNone/>
                  <wp:docPr id="22" name="image37_SpCnt_1"/>
                  <wp:cNvGraphicFramePr/>
                  <a:graphic xmlns:a="http://schemas.openxmlformats.org/drawingml/2006/main">
                    <a:graphicData uri="http://schemas.openxmlformats.org/drawingml/2006/picture">
                      <pic:pic xmlns:pic="http://schemas.openxmlformats.org/drawingml/2006/picture">
                        <pic:nvPicPr>
                          <pic:cNvPr id="22" name="image37_SpCnt_1"/>
                          <pic:cNvPicPr/>
                        </pic:nvPicPr>
                        <pic:blipFill>
                          <a:blip r:embed="rId21"/>
                          <a:stretch>
                            <a:fillRect/>
                          </a:stretch>
                        </pic:blipFill>
                        <pic:spPr>
                          <a:xfrm>
                            <a:off x="0" y="0"/>
                            <a:ext cx="1175385" cy="788035"/>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0FBB5">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1、规格：1850*750*850(±5)mm</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2、面料西皮：符合GB/T16799-2018《家具用皮革》标准，摩擦色牢度-(干擦&gt;500次-涂层厚度&gt;25um、湿擦&gt;250次-涂层厚度&gt;25um</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、碱性汗液≥80次-涂层厚度&gt;25um)&gt;4级；耐磨性(CS-10,&gt;500g,&gt;500)无明显损伤、剥落；撕裂力&gt;37.5N;气味&lt;2级；禁用偶氮</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染料、游离甲醛未检出(检出限值内);</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3、内框架衬板：采用曲木木材，材质坚硬刚性强，承托力&gt;250KG,符合人体工学原理，经蒸、压煮、烘干、杀虫、杀菌处理，具有防</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腐、防虫、防潮等性能，坐感舒适；</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4、海绵：环保海绵，符合《通用软质聚醚型聚氨酯泡沫塑料》;</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5、内框架：采用规格20*20mm松木方，材质坚硬钢性强，木材含水水率低于9%,经过高温高压、防虫防腐等处理，不易变形折断；</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6、沙发脚：电镀钢沙发脚。</w:t>
            </w:r>
          </w:p>
        </w:tc>
      </w:tr>
      <w:tr w14:paraId="5672D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496DF">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19</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F6E2F">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VIP 会客沙发</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145DD">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1+1+3</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E6DB7">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-1905</wp:posOffset>
                  </wp:positionH>
                  <wp:positionV relativeFrom="paragraph">
                    <wp:posOffset>206375</wp:posOffset>
                  </wp:positionV>
                  <wp:extent cx="1362075" cy="850900"/>
                  <wp:effectExtent l="0" t="0" r="9525" b="6350"/>
                  <wp:wrapNone/>
                  <wp:docPr id="2" name="图片_1_SpCnt_1"/>
                  <wp:cNvGraphicFramePr/>
                  <a:graphic xmlns:a="http://schemas.openxmlformats.org/drawingml/2006/main">
                    <a:graphicData uri="http://schemas.openxmlformats.org/drawingml/2006/picture">
                      <pic:pic xmlns:pic="http://schemas.openxmlformats.org/drawingml/2006/picture">
                        <pic:nvPicPr>
                          <pic:cNvPr id="2" name="图片_1_SpCnt_1"/>
                          <pic:cNvPicPr/>
                        </pic:nvPicPr>
                        <pic:blipFill>
                          <a:blip r:embed="rId22"/>
                          <a:stretch>
                            <a:fillRect/>
                          </a:stretch>
                        </pic:blipFill>
                        <pic:spPr>
                          <a:xfrm>
                            <a:off x="0" y="0"/>
                            <a:ext cx="1362075" cy="850900"/>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62E18">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Style w:val="12"/>
                <w:lang w:val="en-US" w:eastAsia="zh-CN" w:bidi="ar"/>
              </w:rPr>
              <w:t>1、皮革：超纤皮，4.0≤pH≤9.0，甲醛未检出，可萃取的重金属（锑（Sb）、砷（As）、铅（Pb）、镉（Cd）、铬（Cr）、铬（Cr）（六价）、钴（Co）、铜（Cu）、镍（Ni）、汞（Hg））未检出，可裂解出致癌芳香胺的偶氮染料，色牢度（沾色）（耐酸汗液、耐碱汗液、耐干摩擦）≥4级，无异常气味，耐折牢度（50000次）后无裂纹，撕裂力≥30N，挥发性有机物（VOC）≤15mg/kg。检验依据为GB/T 16799-2018 家具用皮革、QB/T 4045-2010 聚氨酯家居用合成革安全技术条件、GB/T 17593.2-2007 纺织品 重金属的测定 第2部分：电感耦合等离子体原子发射光谱法。</w:t>
            </w:r>
            <w:r>
              <w:rPr>
                <w:rStyle w:val="12"/>
                <w:lang w:val="en-US" w:eastAsia="zh-CN" w:bidi="ar"/>
              </w:rPr>
              <w:br w:type="textWrapping"/>
            </w:r>
            <w:r>
              <w:rPr>
                <w:rStyle w:val="12"/>
                <w:lang w:val="en-US" w:eastAsia="zh-CN" w:bidi="ar"/>
              </w:rPr>
              <w:t>2、内部填充物：采用阻燃海绵，表面有防腐和防变形保护膜，软硬适中，回弹性好，不变形，产品回弹率≥42%，拉伸强度≥105KPa,75%压缩永久变形≤7%，25%压陷硬度120±10N，游离甲醛≤10mg/kg，检验依据为GB/T 10802-2006标准和HJ 2547-2016环境标志产品技术要求家具标准。</w:t>
            </w:r>
            <w:r>
              <w:rPr>
                <w:rStyle w:val="12"/>
                <w:lang w:val="en-US" w:eastAsia="zh-CN" w:bidi="ar"/>
              </w:rPr>
              <w:br w:type="textWrapping"/>
            </w:r>
            <w:r>
              <w:rPr>
                <w:rStyle w:val="12"/>
                <w:lang w:val="en-US" w:eastAsia="zh-CN" w:bidi="ar"/>
              </w:rPr>
              <w:t>3、内框架：橡胶木，检验依据为 参照GB/T 3324-2017《木家具通用技术条件》参照HJ 571-2010《环境标志产品技术要求 人造板及其制品》GB/T 1931-2009《木材含水率测定方法》委托方技术要求 木材含水率为3-14%，总挥发性有机化合物（TVOC）释放率≤0.50mg/m</w:t>
            </w:r>
            <w:r>
              <w:rPr>
                <w:rStyle w:val="13"/>
                <w:lang w:val="en-US" w:eastAsia="zh-CN" w:bidi="ar"/>
              </w:rPr>
              <w:t>³</w:t>
            </w:r>
            <w:r>
              <w:rPr>
                <w:rStyle w:val="12"/>
                <w:lang w:val="en-US" w:eastAsia="zh-CN" w:bidi="ar"/>
              </w:rPr>
              <w:t>，木制件外观无贯通裂缝、无虫蛀、外表无腐朽材，外表和存放物品部位无树脂囊，外表节子宽度不应超过材宽的1/3（特殊设计要求除外），无死节、孔洞、夹皮和树脂道、树胶道。</w:t>
            </w:r>
            <w:r>
              <w:rPr>
                <w:rStyle w:val="12"/>
                <w:lang w:val="en-US" w:eastAsia="zh-CN" w:bidi="ar"/>
              </w:rPr>
              <w:br w:type="textWrapping"/>
            </w:r>
            <w:r>
              <w:rPr>
                <w:rStyle w:val="12"/>
                <w:lang w:val="en-US" w:eastAsia="zh-CN" w:bidi="ar"/>
              </w:rPr>
              <w:t>4、紧固件：检验依据为QB/ T 3826-1999和QB/T 3832-1999标准，产品经过48h中性盐雾试验测试,耐腐蚀等级≥8级。</w:t>
            </w:r>
          </w:p>
        </w:tc>
      </w:tr>
      <w:tr w14:paraId="7F625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36C95">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20</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808E8">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换鞋凳</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FC5B7">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1200*450*450</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9031F">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74295</wp:posOffset>
                  </wp:positionH>
                  <wp:positionV relativeFrom="paragraph">
                    <wp:posOffset>167640</wp:posOffset>
                  </wp:positionV>
                  <wp:extent cx="1223010" cy="940435"/>
                  <wp:effectExtent l="0" t="0" r="15240" b="12065"/>
                  <wp:wrapNone/>
                  <wp:docPr id="3" name="图片_26"/>
                  <wp:cNvGraphicFramePr/>
                  <a:graphic xmlns:a="http://schemas.openxmlformats.org/drawingml/2006/main">
                    <a:graphicData uri="http://schemas.openxmlformats.org/drawingml/2006/picture">
                      <pic:pic xmlns:pic="http://schemas.openxmlformats.org/drawingml/2006/picture">
                        <pic:nvPicPr>
                          <pic:cNvPr id="3" name="图片_26"/>
                          <pic:cNvPicPr/>
                        </pic:nvPicPr>
                        <pic:blipFill>
                          <a:blip r:embed="rId23"/>
                          <a:stretch>
                            <a:fillRect/>
                          </a:stretch>
                        </pic:blipFill>
                        <pic:spPr>
                          <a:xfrm>
                            <a:off x="0" y="0"/>
                            <a:ext cx="1223010" cy="940435"/>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71054">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1.软包面料：医用抑菌皮饰面,耐磨损，长期使用不褪色；</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2.软包填充：用高回弹软质聚氨酯泡沫塑料，不易塌陷。</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3.框架：电解钢板经酸洗、磷化处理，电焊、打磨加工而成,钢板厚度≥1.0mm;</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4.塑粉：选用热固性塑粉对钢管表面进行喷涂处理，喷涂层塑粉颜色可选，使钢件具备抗菌、防霉、防腐、防锈性能。</w:t>
            </w:r>
          </w:p>
        </w:tc>
      </w:tr>
      <w:tr w14:paraId="12821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44785">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21</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4DAA5">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更衣柜</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31937">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900*420*1800</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C270F">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393700</wp:posOffset>
                  </wp:positionH>
                  <wp:positionV relativeFrom="paragraph">
                    <wp:posOffset>146050</wp:posOffset>
                  </wp:positionV>
                  <wp:extent cx="542925" cy="971550"/>
                  <wp:effectExtent l="0" t="0" r="9525" b="0"/>
                  <wp:wrapNone/>
                  <wp:docPr id="12" name="图片_27"/>
                  <wp:cNvGraphicFramePr/>
                  <a:graphic xmlns:a="http://schemas.openxmlformats.org/drawingml/2006/main">
                    <a:graphicData uri="http://schemas.openxmlformats.org/drawingml/2006/picture">
                      <pic:pic xmlns:pic="http://schemas.openxmlformats.org/drawingml/2006/picture">
                        <pic:nvPicPr>
                          <pic:cNvPr id="12" name="图片_27"/>
                          <pic:cNvPicPr/>
                        </pic:nvPicPr>
                        <pic:blipFill>
                          <a:blip r:embed="rId24"/>
                          <a:stretch>
                            <a:fillRect/>
                          </a:stretch>
                        </pic:blipFill>
                        <pic:spPr>
                          <a:xfrm>
                            <a:off x="0" y="0"/>
                            <a:ext cx="542925" cy="971550"/>
                          </a:xfrm>
                          <a:prstGeom prst="rect">
                            <a:avLst/>
                          </a:prstGeom>
                          <a:noFill/>
                          <a:ln>
                            <a:noFill/>
                          </a:ln>
                        </pic:spPr>
                      </pic:pic>
                    </a:graphicData>
                  </a:graphic>
                </wp:anchor>
              </w:drawing>
            </w:r>
          </w:p>
        </w:tc>
        <w:tc>
          <w:tcPr>
            <w:tcW w:w="40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563253">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1.电解钢板经酸洗、磷化处理，电焊、打磨加工而成,钢板厚度≥0.7mm;</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2.选用热固性塑粉对钢板表面进行喷涂处理，喷涂层塑粉颜色可选，使钢件具备抗菌、防霉、防腐、防锈性能；</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3.铰链：采用不锈钢阻尼铰链，具有良好的缓冲效果，确保门板关闭时平稳、静音；</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4.拉手：内嵌式金属拉手；</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5.锁具：外观喷涂层应无漏喷，锈蚀和脱色、掉色现象，涂层应光滑均匀，色泽一致，应无流挂、疙瘩、皱皮、飞漆等缺陷。</w:t>
            </w:r>
          </w:p>
        </w:tc>
      </w:tr>
      <w:tr w14:paraId="6EF2F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898B9">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22</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456EE">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钢制文件柜</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5E9C4">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850*390*1800</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622CE">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361950</wp:posOffset>
                  </wp:positionH>
                  <wp:positionV relativeFrom="paragraph">
                    <wp:posOffset>107950</wp:posOffset>
                  </wp:positionV>
                  <wp:extent cx="561975" cy="1085850"/>
                  <wp:effectExtent l="0" t="0" r="9525" b="0"/>
                  <wp:wrapNone/>
                  <wp:docPr id="4" name="图片_28"/>
                  <wp:cNvGraphicFramePr/>
                  <a:graphic xmlns:a="http://schemas.openxmlformats.org/drawingml/2006/main">
                    <a:graphicData uri="http://schemas.openxmlformats.org/drawingml/2006/picture">
                      <pic:pic xmlns:pic="http://schemas.openxmlformats.org/drawingml/2006/picture">
                        <pic:nvPicPr>
                          <pic:cNvPr id="4" name="图片_28"/>
                          <pic:cNvPicPr/>
                        </pic:nvPicPr>
                        <pic:blipFill>
                          <a:blip r:embed="rId25"/>
                          <a:stretch>
                            <a:fillRect/>
                          </a:stretch>
                        </pic:blipFill>
                        <pic:spPr>
                          <a:xfrm>
                            <a:off x="0" y="0"/>
                            <a:ext cx="561975" cy="1085850"/>
                          </a:xfrm>
                          <a:prstGeom prst="rect">
                            <a:avLst/>
                          </a:prstGeom>
                          <a:noFill/>
                          <a:ln>
                            <a:noFill/>
                          </a:ln>
                        </pic:spPr>
                      </pic:pic>
                    </a:graphicData>
                  </a:graphic>
                </wp:anchor>
              </w:drawing>
            </w:r>
          </w:p>
        </w:tc>
        <w:tc>
          <w:tcPr>
            <w:tcW w:w="40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FC3C0">
            <w:pPr>
              <w:jc w:val="left"/>
              <w:rPr>
                <w:rFonts w:hint="eastAsia" w:ascii="黑体" w:hAnsi="宋体" w:eastAsia="黑体" w:cs="黑体"/>
                <w:i w:val="0"/>
                <w:iCs w:val="0"/>
                <w:color w:val="000000"/>
                <w:sz w:val="20"/>
                <w:szCs w:val="20"/>
                <w:u w:val="none"/>
              </w:rPr>
            </w:pPr>
          </w:p>
        </w:tc>
      </w:tr>
      <w:tr w14:paraId="4FBE3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D15A8">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23</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6D23F">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钢制药架</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7615E">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900*450*2000</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53007">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12700</wp:posOffset>
                  </wp:positionH>
                  <wp:positionV relativeFrom="paragraph">
                    <wp:posOffset>146050</wp:posOffset>
                  </wp:positionV>
                  <wp:extent cx="1254760" cy="958850"/>
                  <wp:effectExtent l="0" t="0" r="2540" b="12700"/>
                  <wp:wrapNone/>
                  <wp:docPr id="5" name="图片_29"/>
                  <wp:cNvGraphicFramePr/>
                  <a:graphic xmlns:a="http://schemas.openxmlformats.org/drawingml/2006/main">
                    <a:graphicData uri="http://schemas.openxmlformats.org/drawingml/2006/picture">
                      <pic:pic xmlns:pic="http://schemas.openxmlformats.org/drawingml/2006/picture">
                        <pic:nvPicPr>
                          <pic:cNvPr id="5" name="图片_29"/>
                          <pic:cNvPicPr/>
                        </pic:nvPicPr>
                        <pic:blipFill>
                          <a:blip r:embed="rId26"/>
                          <a:stretch>
                            <a:fillRect/>
                          </a:stretch>
                        </pic:blipFill>
                        <pic:spPr>
                          <a:xfrm>
                            <a:off x="0" y="0"/>
                            <a:ext cx="1254760" cy="958850"/>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B5B9D">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1.立柱:采用 1.2mm 电解钢板折弯成型；</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2.横粱:采用 60*40*1.2mmP 型管；</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3.隔板、层板：采用 0.7mm 电解钢板折弯成型，隔板上下高度可调节、左右位置可调节；</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4.侧板、背板 ：采用0.6mm 电解钢板折弯成型；</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5.标签条卡槽：采用1.5mm 电解钢板折弯成型；</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6.表面处理：电解钢板经酸洗、磷化处理，电焊、打磨加工处理后再对表面采用热固性塑粉对钢管表面进行喷涂处理，喷涂层塑粉颜色可选。</w:t>
            </w:r>
          </w:p>
        </w:tc>
      </w:tr>
      <w:tr w14:paraId="497C2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AC79A">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24</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1543E">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检查床</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C4641">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1900*650*650</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2A134">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260350</wp:posOffset>
                  </wp:positionH>
                  <wp:positionV relativeFrom="paragraph">
                    <wp:posOffset>330200</wp:posOffset>
                  </wp:positionV>
                  <wp:extent cx="908050" cy="565150"/>
                  <wp:effectExtent l="0" t="0" r="6350" b="6350"/>
                  <wp:wrapNone/>
                  <wp:docPr id="16" name="image50"/>
                  <wp:cNvGraphicFramePr/>
                  <a:graphic xmlns:a="http://schemas.openxmlformats.org/drawingml/2006/main">
                    <a:graphicData uri="http://schemas.openxmlformats.org/drawingml/2006/picture">
                      <pic:pic xmlns:pic="http://schemas.openxmlformats.org/drawingml/2006/picture">
                        <pic:nvPicPr>
                          <pic:cNvPr id="16" name="image50"/>
                          <pic:cNvPicPr/>
                        </pic:nvPicPr>
                        <pic:blipFill>
                          <a:blip r:embed="rId27"/>
                          <a:stretch>
                            <a:fillRect/>
                          </a:stretch>
                        </pic:blipFill>
                        <pic:spPr>
                          <a:xfrm>
                            <a:off x="0" y="0"/>
                            <a:ext cx="908050" cy="565150"/>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BAD76">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Style w:val="14"/>
                <w:lang w:val="en-US" w:eastAsia="zh-CN" w:bidi="ar"/>
              </w:rPr>
              <w:t>1、规格：2000*700*650(±5)mm</w:t>
            </w:r>
            <w:r>
              <w:rPr>
                <w:rStyle w:val="14"/>
                <w:lang w:val="en-US" w:eastAsia="zh-CN" w:bidi="ar"/>
              </w:rPr>
              <w:br w:type="textWrapping"/>
            </w:r>
            <w:r>
              <w:rPr>
                <w:rStyle w:val="14"/>
                <w:lang w:val="en-US" w:eastAsia="zh-CN" w:bidi="ar"/>
              </w:rPr>
              <w:t>2、面材：西皮，符合摩擦色牢度干擦(500次)沾色与变色&gt;4级，湿擦(250次)沾色与变色&gt;4级，碱性汗液(80次)沾色与变色》</w:t>
            </w:r>
            <w:r>
              <w:rPr>
                <w:rStyle w:val="14"/>
                <w:lang w:val="en-US" w:eastAsia="zh-CN" w:bidi="ar"/>
              </w:rPr>
              <w:br w:type="textWrapping"/>
            </w:r>
            <w:r>
              <w:rPr>
                <w:rStyle w:val="14"/>
                <w:lang w:val="en-US" w:eastAsia="zh-CN" w:bidi="ar"/>
              </w:rPr>
              <w:t>4级，游离甲醛未检出；</w:t>
            </w:r>
            <w:r>
              <w:rPr>
                <w:rStyle w:val="14"/>
                <w:lang w:val="en-US" w:eastAsia="zh-CN" w:bidi="ar"/>
              </w:rPr>
              <w:br w:type="textWrapping"/>
            </w:r>
            <w:r>
              <w:rPr>
                <w:rStyle w:val="14"/>
                <w:lang w:val="en-US" w:eastAsia="zh-CN" w:bidi="ar"/>
              </w:rPr>
              <w:t>3、衬板：实木多层生态板，符合含水率&lt;7%,甲醛释放量&lt;0.032mg/m</w:t>
            </w:r>
            <w:r>
              <w:rPr>
                <w:rStyle w:val="15"/>
                <w:lang w:val="en-US" w:eastAsia="zh-CN" w:bidi="ar"/>
              </w:rPr>
              <w:t>³</w:t>
            </w:r>
            <w:r>
              <w:rPr>
                <w:rStyle w:val="14"/>
                <w:lang w:val="en-US" w:eastAsia="zh-CN" w:bidi="ar"/>
              </w:rPr>
              <w:t>,浸渍剥离：未剥离；</w:t>
            </w:r>
            <w:r>
              <w:rPr>
                <w:rStyle w:val="14"/>
                <w:lang w:val="en-US" w:eastAsia="zh-CN" w:bidi="ar"/>
              </w:rPr>
              <w:br w:type="textWrapping"/>
            </w:r>
            <w:r>
              <w:rPr>
                <w:rStyle w:val="14"/>
                <w:lang w:val="en-US" w:eastAsia="zh-CN" w:bidi="ar"/>
              </w:rPr>
              <w:t>4、海绵：软硬适中，回弹性好，不变形；符合《通用软质聚醚型聚氨</w:t>
            </w:r>
            <w:r>
              <w:rPr>
                <w:rFonts w:ascii="Segoe UI" w:hAnsi="Segoe UI" w:eastAsia="Segoe UI" w:cs="Segoe UI"/>
                <w:i w:val="0"/>
                <w:iCs w:val="0"/>
                <w:caps w:val="0"/>
                <w:spacing w:val="0"/>
                <w:sz w:val="15"/>
                <w:szCs w:val="15"/>
                <w:shd w:val="clear" w:fill="FFFFFF"/>
              </w:rPr>
              <w:t>酯</w:t>
            </w:r>
            <w:r>
              <w:rPr>
                <w:rStyle w:val="14"/>
                <w:lang w:val="en-US" w:eastAsia="zh-CN" w:bidi="ar"/>
              </w:rPr>
              <w:t>泡沫塑料》、《建筑材料及制品燃烧性能分级》、《泡沫塑料</w:t>
            </w:r>
            <w:r>
              <w:rPr>
                <w:rStyle w:val="14"/>
                <w:lang w:val="en-US" w:eastAsia="zh-CN" w:bidi="ar"/>
              </w:rPr>
              <w:br w:type="textWrapping"/>
            </w:r>
            <w:r>
              <w:rPr>
                <w:rStyle w:val="14"/>
                <w:lang w:val="en-US" w:eastAsia="zh-CN" w:bidi="ar"/>
              </w:rPr>
              <w:t>橡胶表观密度的测定》;</w:t>
            </w:r>
            <w:r>
              <w:rPr>
                <w:rStyle w:val="14"/>
                <w:lang w:val="en-US" w:eastAsia="zh-CN" w:bidi="ar"/>
              </w:rPr>
              <w:br w:type="textWrapping"/>
            </w:r>
            <w:r>
              <w:rPr>
                <w:rStyle w:val="14"/>
                <w:lang w:val="en-US" w:eastAsia="zh-CN" w:bidi="ar"/>
              </w:rPr>
              <w:t>5、钢件涂层：环氧聚酯粉末，抗撞击、耐腐蚀性强、光泽性好、附着力强；</w:t>
            </w:r>
            <w:r>
              <w:rPr>
                <w:rStyle w:val="14"/>
                <w:lang w:val="en-US" w:eastAsia="zh-CN" w:bidi="ar"/>
              </w:rPr>
              <w:br w:type="textWrapping"/>
            </w:r>
            <w:r>
              <w:rPr>
                <w:rStyle w:val="14"/>
                <w:lang w:val="en-US" w:eastAsia="zh-CN" w:bidi="ar"/>
              </w:rPr>
              <w:t>6、脚垫：采用配套塑料注塑成型，符合《环境标志产品技术要求家具》标准，邻苯二甲酸酯未检出；</w:t>
            </w:r>
            <w:r>
              <w:rPr>
                <w:rStyle w:val="14"/>
                <w:lang w:val="en-US" w:eastAsia="zh-CN" w:bidi="ar"/>
              </w:rPr>
              <w:br w:type="textWrapping"/>
            </w:r>
            <w:r>
              <w:rPr>
                <w:rStyle w:val="14"/>
                <w:lang w:val="en-US" w:eastAsia="zh-CN" w:bidi="ar"/>
              </w:rPr>
              <w:t>7、诊断床符合检测类别至少包含：形状和位置公差(着地平稳性&lt;06mm,圆度&lt;1.0mm),金属件外观要求(管材、焊接件、冲压件</w:t>
            </w:r>
            <w:r>
              <w:rPr>
                <w:rStyle w:val="14"/>
                <w:lang w:val="en-US" w:eastAsia="zh-CN" w:bidi="ar"/>
              </w:rPr>
              <w:br w:type="textWrapping"/>
            </w:r>
            <w:r>
              <w:rPr>
                <w:rStyle w:val="14"/>
                <w:lang w:val="en-US" w:eastAsia="zh-CN" w:bidi="ar"/>
              </w:rPr>
              <w:t>卜皱纹或波纹、喷涂层)检测合格，标志和使用说明合格，金属喷漆(塑)涂层理化性能(硬度&gt;4H,冲压强度、耐腐蚀符合要求),床</w:t>
            </w:r>
            <w:r>
              <w:rPr>
                <w:rStyle w:val="14"/>
                <w:lang w:val="en-US" w:eastAsia="zh-CN" w:bidi="ar"/>
              </w:rPr>
              <w:br w:type="textWrapping"/>
            </w:r>
            <w:r>
              <w:rPr>
                <w:rStyle w:val="14"/>
                <w:lang w:val="en-US" w:eastAsia="zh-CN" w:bidi="ar"/>
              </w:rPr>
              <w:t>类强度和耐久性合格。</w:t>
            </w:r>
          </w:p>
        </w:tc>
      </w:tr>
      <w:tr w14:paraId="45A33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872C8">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25</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94269">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示教室讲台</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B30B3">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600*400*1150</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F76A6">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273050</wp:posOffset>
                  </wp:positionH>
                  <wp:positionV relativeFrom="paragraph">
                    <wp:posOffset>82550</wp:posOffset>
                  </wp:positionV>
                  <wp:extent cx="885825" cy="1028700"/>
                  <wp:effectExtent l="0" t="0" r="9525" b="0"/>
                  <wp:wrapNone/>
                  <wp:docPr id="28" name="图片_31"/>
                  <wp:cNvGraphicFramePr/>
                  <a:graphic xmlns:a="http://schemas.openxmlformats.org/drawingml/2006/main">
                    <a:graphicData uri="http://schemas.openxmlformats.org/drawingml/2006/picture">
                      <pic:pic xmlns:pic="http://schemas.openxmlformats.org/drawingml/2006/picture">
                        <pic:nvPicPr>
                          <pic:cNvPr id="28" name="图片_31"/>
                          <pic:cNvPicPr/>
                        </pic:nvPicPr>
                        <pic:blipFill>
                          <a:blip r:embed="rId28"/>
                          <a:stretch>
                            <a:fillRect/>
                          </a:stretch>
                        </pic:blipFill>
                        <pic:spPr>
                          <a:xfrm>
                            <a:off x="0" y="0"/>
                            <a:ext cx="885825" cy="1028700"/>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CF977">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1.基材：采用刨花板制作，台面厚度≥25mm；</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2.面材：采用浸渍胶膜纸饰面，表面无色差、裂口；</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3.封边条：采用PVC封边条，封边条厚度≥1.5mm；表面无划痕、颗粒，边缘倒角R0.5mm±0.1mm；</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4.脚架：采用钢型材，壁厚≥1.2mm，使用过程中应保持形状稳定，无明显变形。</w:t>
            </w:r>
          </w:p>
        </w:tc>
      </w:tr>
      <w:tr w14:paraId="78DCB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63E99">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26</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BDD7F">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采血凳（带背带轮可升降）</w:t>
            </w:r>
          </w:p>
        </w:tc>
        <w:tc>
          <w:tcPr>
            <w:tcW w:w="1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46C1B">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标准</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D1B32">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241300</wp:posOffset>
                  </wp:positionH>
                  <wp:positionV relativeFrom="paragraph">
                    <wp:posOffset>82550</wp:posOffset>
                  </wp:positionV>
                  <wp:extent cx="792480" cy="1064895"/>
                  <wp:effectExtent l="0" t="0" r="7620" b="1905"/>
                  <wp:wrapNone/>
                  <wp:docPr id="27" name="图片_51"/>
                  <wp:cNvGraphicFramePr/>
                  <a:graphic xmlns:a="http://schemas.openxmlformats.org/drawingml/2006/main">
                    <a:graphicData uri="http://schemas.openxmlformats.org/drawingml/2006/picture">
                      <pic:pic xmlns:pic="http://schemas.openxmlformats.org/drawingml/2006/picture">
                        <pic:nvPicPr>
                          <pic:cNvPr id="27" name="图片_51"/>
                          <pic:cNvPicPr/>
                        </pic:nvPicPr>
                        <pic:blipFill>
                          <a:blip r:embed="rId29"/>
                          <a:stretch>
                            <a:fillRect/>
                          </a:stretch>
                        </pic:blipFill>
                        <pic:spPr>
                          <a:xfrm>
                            <a:off x="0" y="0"/>
                            <a:ext cx="792480" cy="1064895"/>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2395D">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Style w:val="14"/>
                <w:lang w:val="en-US" w:eastAsia="zh-CN" w:bidi="ar"/>
              </w:rPr>
              <w:t>1、面材：采用环保超纤皮，pH：5.0～7.0，甲醛未检出，可萃取的重金属（锑（Sb）、砷（As）、铅（Pb）、镉（Cd）、铬（Cr）、铬（Cr）（六价）、钴（Co）、铜（Cu）、镍（Ni）、汞（Hg））未检出，可裂解出致癌芳香胺的偶氮染料（24种）未检出。</w:t>
            </w:r>
            <w:r>
              <w:rPr>
                <w:rStyle w:val="14"/>
                <w:lang w:val="en-US" w:eastAsia="zh-CN" w:bidi="ar"/>
              </w:rPr>
              <w:br w:type="textWrapping"/>
            </w:r>
            <w:r>
              <w:rPr>
                <w:rStyle w:val="14"/>
                <w:lang w:val="en-US" w:eastAsia="zh-CN" w:bidi="ar"/>
              </w:rPr>
              <w:t>2、海绵：回弹率≥45%，拉伸强度≥120KPa,75%压缩永久变形≤8%，25%压陷硬度120±14N，伸长率≥160%，撕裂强度≥3N/cm，干热老化后拉伸强度≥115KPa，干热老化后拉伸强度变化率处于-15%到﹢15%之间，检验依据为GB/T10802-2006通用软质聚醚型聚氨酯泡沫塑料。</w:t>
            </w:r>
            <w:r>
              <w:rPr>
                <w:rStyle w:val="14"/>
                <w:lang w:val="en-US" w:eastAsia="zh-CN" w:bidi="ar"/>
              </w:rPr>
              <w:br w:type="textWrapping"/>
            </w:r>
            <w:r>
              <w:rPr>
                <w:rStyle w:val="14"/>
                <w:lang w:val="en-US" w:eastAsia="zh-CN" w:bidi="ar"/>
              </w:rPr>
              <w:t>3、内板材：采用实木多层板，板材含水率≤8%；甲醛释放量≤0.05mg/m</w:t>
            </w:r>
            <w:r>
              <w:rPr>
                <w:rStyle w:val="15"/>
                <w:lang w:val="en-US" w:eastAsia="zh-CN" w:bidi="ar"/>
              </w:rPr>
              <w:t>³</w:t>
            </w:r>
            <w:r>
              <w:rPr>
                <w:rStyle w:val="14"/>
                <w:lang w:val="en-US" w:eastAsia="zh-CN" w:bidi="ar"/>
              </w:rPr>
              <w:t>；人造板静曲强度（顺纹）≥24.0</w:t>
            </w:r>
            <w:r>
              <w:rPr>
                <w:rStyle w:val="14"/>
                <w:rFonts w:hint="eastAsia"/>
                <w:lang w:val="en-US" w:eastAsia="zh-CN" w:bidi="ar"/>
              </w:rPr>
              <w:t>Mpa</w:t>
            </w:r>
            <w:r>
              <w:rPr>
                <w:rStyle w:val="14"/>
                <w:lang w:val="en-US" w:eastAsia="zh-CN" w:bidi="ar"/>
              </w:rPr>
              <w:t>，静曲强度（横纹）≥18.0。检验依据为GB/T3324-2017木家具通用技术条件GB/T9846-2015普通胶合板。</w:t>
            </w:r>
            <w:r>
              <w:rPr>
                <w:rStyle w:val="14"/>
                <w:lang w:val="en-US" w:eastAsia="zh-CN" w:bidi="ar"/>
              </w:rPr>
              <w:br w:type="textWrapping"/>
            </w:r>
            <w:r>
              <w:rPr>
                <w:rStyle w:val="14"/>
                <w:lang w:val="en-US" w:eastAsia="zh-CN" w:bidi="ar"/>
              </w:rPr>
              <w:t>4、气压棒：产品经过24H耐盐雾测试，能够达到1.5mm以下锈点≤20点/d㎡，其中≥1.0mm锈点不超过5点，金属件涂层耐盐雾测试合格，安全性能-耐高低温性能检验依据为经过-30℃和60℃高低温储存后，公称力衰减≤5%，安全性能-循环寿命经耐高低温性能试验后，再经5万次循环寿命试验，公称力衰减≤13%，检验依据为QB/T2280-2016办公家具办公椅。</w:t>
            </w:r>
            <w:r>
              <w:rPr>
                <w:rStyle w:val="14"/>
                <w:lang w:val="en-US" w:eastAsia="zh-CN" w:bidi="ar"/>
              </w:rPr>
              <w:br w:type="textWrapping"/>
            </w:r>
            <w:r>
              <w:rPr>
                <w:rStyle w:val="14"/>
                <w:lang w:val="en-US" w:eastAsia="zh-CN" w:bidi="ar"/>
              </w:rPr>
              <w:t>5、万向轮：塑料件外观无裂痕、无明显变形，无明显缩孔、气泡、杂质、伤痕，外表用塑料件表面光洁、无划痕、无污渍、无明显色差，检验依据为GB/T 3325-2017金属家具通用技术条件标准。</w:t>
            </w:r>
          </w:p>
        </w:tc>
      </w:tr>
      <w:tr w14:paraId="5C42F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EDA26">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27</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68889">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候诊长条椅</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96F49">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1800*400*300</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8D861">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-51435</wp:posOffset>
                  </wp:positionH>
                  <wp:positionV relativeFrom="paragraph">
                    <wp:posOffset>330200</wp:posOffset>
                  </wp:positionV>
                  <wp:extent cx="1410970" cy="635000"/>
                  <wp:effectExtent l="0" t="0" r="17780" b="12700"/>
                  <wp:wrapNone/>
                  <wp:docPr id="29" name="图片_33"/>
                  <wp:cNvGraphicFramePr/>
                  <a:graphic xmlns:a="http://schemas.openxmlformats.org/drawingml/2006/main">
                    <a:graphicData uri="http://schemas.openxmlformats.org/drawingml/2006/picture">
                      <pic:pic xmlns:pic="http://schemas.openxmlformats.org/drawingml/2006/picture">
                        <pic:nvPicPr>
                          <pic:cNvPr id="29" name="图片_33"/>
                          <pic:cNvPicPr/>
                        </pic:nvPicPr>
                        <pic:blipFill>
                          <a:blip r:embed="rId30"/>
                          <a:stretch>
                            <a:fillRect/>
                          </a:stretch>
                        </pic:blipFill>
                        <pic:spPr>
                          <a:xfrm>
                            <a:off x="0" y="0"/>
                            <a:ext cx="1410970" cy="635000"/>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617FE">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椅脚：采用铝合金压铸成型，表面做静电喷粉喷涂处理。站脚形状为“人”字形以确保最佳的支撑稳定性，脚的整体宽度600mm（±10mm），脚与横梁最低接触面到地面的距离210mm（±10mm）、最高250mm（±10mm）（不含调节脚高度）。调节脚垫为黑色优质PP脚垫，脚垫底部蜂巢式设计；</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2.椅座表面材质：主要材质为“聚氨基甲酸酯”共聚合物（PU），模具内一体成型，座背板PU整体厚度要求≥25mm，椅座宽≥565mm，椅座深≥460mm，椅背宽≥565mm；</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3.椅座内层材质：采用1.2mm优质钢架，使用专用高速数控冲床配合专用冲孔模具冲孔。外部采用100%纯高密度聚氨酯（PU)全部包裹；</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4.横梁：采用80*40*1.6mm矩形管钢管，表面做静电喷粉喷涂处理。</w:t>
            </w:r>
          </w:p>
        </w:tc>
      </w:tr>
      <w:tr w14:paraId="0977F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6F115">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28</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C1C83">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儿童桌</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2A1C4">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1600*800*520</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C3EB5">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118745</wp:posOffset>
                  </wp:positionH>
                  <wp:positionV relativeFrom="paragraph">
                    <wp:posOffset>110490</wp:posOffset>
                  </wp:positionV>
                  <wp:extent cx="1264920" cy="889635"/>
                  <wp:effectExtent l="0" t="0" r="11430" b="5715"/>
                  <wp:wrapNone/>
                  <wp:docPr id="30" name="图片_34"/>
                  <wp:cNvGraphicFramePr/>
                  <a:graphic xmlns:a="http://schemas.openxmlformats.org/drawingml/2006/main">
                    <a:graphicData uri="http://schemas.openxmlformats.org/drawingml/2006/picture">
                      <pic:pic xmlns:pic="http://schemas.openxmlformats.org/drawingml/2006/picture">
                        <pic:nvPicPr>
                          <pic:cNvPr id="30" name="图片_34"/>
                          <pic:cNvPicPr/>
                        </pic:nvPicPr>
                        <pic:blipFill>
                          <a:blip r:embed="rId31"/>
                          <a:stretch>
                            <a:fillRect/>
                          </a:stretch>
                        </pic:blipFill>
                        <pic:spPr>
                          <a:xfrm>
                            <a:off x="0" y="0"/>
                            <a:ext cx="1264920" cy="889635"/>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A99B9">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1.基材：采用刨花板制作，台面厚度≥25mm；</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2.面材：采用浸渍胶膜纸饰面，表面无色差、裂口；</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3.封边条：采用PU聚氨酯D型封边条，具有耐磨、柔韧性好的优点；</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4.脚架：采用家具用聚酰胺（PA）材料，耐磨损、抗冲击，长期使用不褪色。</w:t>
            </w:r>
          </w:p>
        </w:tc>
      </w:tr>
      <w:tr w14:paraId="1F532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B186B">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29</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5C509">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儿童椅</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2472D">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标准</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53B74">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50165</wp:posOffset>
                  </wp:positionH>
                  <wp:positionV relativeFrom="paragraph">
                    <wp:posOffset>222885</wp:posOffset>
                  </wp:positionV>
                  <wp:extent cx="1222375" cy="859155"/>
                  <wp:effectExtent l="0" t="0" r="15875" b="17145"/>
                  <wp:wrapNone/>
                  <wp:docPr id="31" name="图片_35"/>
                  <wp:cNvGraphicFramePr/>
                  <a:graphic xmlns:a="http://schemas.openxmlformats.org/drawingml/2006/main">
                    <a:graphicData uri="http://schemas.openxmlformats.org/drawingml/2006/picture">
                      <pic:pic xmlns:pic="http://schemas.openxmlformats.org/drawingml/2006/picture">
                        <pic:nvPicPr>
                          <pic:cNvPr id="31" name="图片_35"/>
                          <pic:cNvPicPr/>
                        </pic:nvPicPr>
                        <pic:blipFill>
                          <a:blip r:embed="rId32"/>
                          <a:stretch>
                            <a:fillRect/>
                          </a:stretch>
                        </pic:blipFill>
                        <pic:spPr>
                          <a:xfrm>
                            <a:off x="0" y="0"/>
                            <a:ext cx="1222375" cy="859155"/>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FA587">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1.椅架及座背:采用家具用聚酰胺（PA）材料，耐磨损、抗冲击，长期使用不褪色。</w:t>
            </w:r>
          </w:p>
        </w:tc>
      </w:tr>
      <w:tr w14:paraId="2E81A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77410">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30</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D415F">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床头柜（放水瓶）</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D6123">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标准</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38533">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146050</wp:posOffset>
                  </wp:positionH>
                  <wp:positionV relativeFrom="paragraph">
                    <wp:posOffset>69850</wp:posOffset>
                  </wp:positionV>
                  <wp:extent cx="1057275" cy="1118235"/>
                  <wp:effectExtent l="0" t="0" r="9525" b="5715"/>
                  <wp:wrapNone/>
                  <wp:docPr id="32" name="图片_36"/>
                  <wp:cNvGraphicFramePr/>
                  <a:graphic xmlns:a="http://schemas.openxmlformats.org/drawingml/2006/main">
                    <a:graphicData uri="http://schemas.openxmlformats.org/drawingml/2006/picture">
                      <pic:pic xmlns:pic="http://schemas.openxmlformats.org/drawingml/2006/picture">
                        <pic:nvPicPr>
                          <pic:cNvPr id="32" name="图片_36"/>
                          <pic:cNvPicPr/>
                        </pic:nvPicPr>
                        <pic:blipFill>
                          <a:blip r:embed="rId33"/>
                          <a:stretch>
                            <a:fillRect/>
                          </a:stretch>
                        </pic:blipFill>
                        <pic:spPr>
                          <a:xfrm>
                            <a:off x="0" y="0"/>
                            <a:ext cx="1057275" cy="1118235"/>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B6C5E">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 xml:space="preserve">1.一抽一门结构，整体以高强度性能的纯新ABS材料注塑成形; </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2.柜面两侧设有内藏式毛巾架，柜内带一块层板；</w:t>
            </w:r>
            <w:r>
              <w:rPr>
                <w:rFonts w:hint="eastAsia" w:ascii="黑体" w:hAnsi="宋体" w:eastAsia="黑体" w:cs="黑体"/>
                <w:i w:val="0"/>
                <w:iCs w:val="0"/>
                <w:color w:val="000000"/>
                <w:kern w:val="0"/>
                <w:sz w:val="20"/>
                <w:szCs w:val="20"/>
                <w:u w:val="none"/>
                <w:lang w:val="en-US" w:eastAsia="zh-CN" w:bidi="ar"/>
              </w:rPr>
              <w:br w:type="textWrapping"/>
            </w:r>
            <w:r>
              <w:rPr>
                <w:rFonts w:hint="eastAsia" w:ascii="黑体" w:hAnsi="宋体" w:eastAsia="黑体" w:cs="黑体"/>
                <w:i w:val="0"/>
                <w:iCs w:val="0"/>
                <w:color w:val="000000"/>
                <w:kern w:val="0"/>
                <w:sz w:val="20"/>
                <w:szCs w:val="20"/>
                <w:u w:val="none"/>
                <w:lang w:val="en-US" w:eastAsia="zh-CN" w:bidi="ar"/>
              </w:rPr>
              <w:t>3.床头柜面板采用全新的ABS注塑成型，防潮防水，易清洁，可冲洗；</w:t>
            </w:r>
          </w:p>
        </w:tc>
      </w:tr>
      <w:tr w14:paraId="63C39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4E3DA">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31</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03047">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储物柜、置物柜</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C03DA">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850*390*1850</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39D94">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406400</wp:posOffset>
                  </wp:positionH>
                  <wp:positionV relativeFrom="paragraph">
                    <wp:posOffset>139700</wp:posOffset>
                  </wp:positionV>
                  <wp:extent cx="602615" cy="1155065"/>
                  <wp:effectExtent l="0" t="0" r="6985" b="6985"/>
                  <wp:wrapNone/>
                  <wp:docPr id="33" name="image60"/>
                  <wp:cNvGraphicFramePr/>
                  <a:graphic xmlns:a="http://schemas.openxmlformats.org/drawingml/2006/main">
                    <a:graphicData uri="http://schemas.openxmlformats.org/drawingml/2006/picture">
                      <pic:pic xmlns:pic="http://schemas.openxmlformats.org/drawingml/2006/picture">
                        <pic:nvPicPr>
                          <pic:cNvPr id="33" name="image60"/>
                          <pic:cNvPicPr/>
                        </pic:nvPicPr>
                        <pic:blipFill>
                          <a:blip r:embed="rId34"/>
                          <a:stretch>
                            <a:fillRect/>
                          </a:stretch>
                        </pic:blipFill>
                        <pic:spPr>
                          <a:xfrm>
                            <a:off x="0" y="0"/>
                            <a:ext cx="602615" cy="1155065"/>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FF27B">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Style w:val="14"/>
                <w:lang w:val="en-US" w:eastAsia="zh-CN" w:bidi="ar"/>
              </w:rPr>
              <w:t>1、规格：800550-2000(±5)mm</w:t>
            </w:r>
            <w:r>
              <w:rPr>
                <w:rStyle w:val="14"/>
                <w:lang w:val="en-US" w:eastAsia="zh-CN" w:bidi="ar"/>
              </w:rPr>
              <w:br w:type="textWrapping"/>
            </w:r>
            <w:r>
              <w:rPr>
                <w:rStyle w:val="14"/>
                <w:lang w:val="en-US" w:eastAsia="zh-CN" w:bidi="ar"/>
              </w:rPr>
              <w:t>2、基材：采用&gt;18mm厚环保三聚氰胺饰面板，符合GB/T5102-2017《浸渍胶膜纸饰面纤维板和创花板》标准，甲醛释放量&lt;</w:t>
            </w:r>
            <w:r>
              <w:rPr>
                <w:rStyle w:val="14"/>
                <w:lang w:val="en-US" w:eastAsia="zh-CN" w:bidi="ar"/>
              </w:rPr>
              <w:br w:type="textWrapping"/>
            </w:r>
            <w:r>
              <w:rPr>
                <w:rStyle w:val="14"/>
                <w:lang w:val="en-US" w:eastAsia="zh-CN" w:bidi="ar"/>
              </w:rPr>
              <w:t>0.037mg/m</w:t>
            </w:r>
            <w:r>
              <w:rPr>
                <w:rStyle w:val="15"/>
                <w:lang w:val="en-US" w:eastAsia="zh-CN" w:bidi="ar"/>
              </w:rPr>
              <w:t>³</w:t>
            </w:r>
            <w:r>
              <w:rPr>
                <w:rStyle w:val="14"/>
                <w:lang w:val="en-US" w:eastAsia="zh-CN" w:bidi="ar"/>
              </w:rPr>
              <w:t>,5%</w:t>
            </w:r>
            <w:r>
              <w:rPr>
                <w:rStyle w:val="14"/>
                <w:rFonts w:hint="eastAsia"/>
                <w:lang w:val="en-US" w:eastAsia="zh-CN" w:bidi="ar"/>
              </w:rPr>
              <w:t>&lt;</w:t>
            </w:r>
            <w:r>
              <w:rPr>
                <w:rStyle w:val="14"/>
                <w:lang w:val="en-US" w:eastAsia="zh-CN" w:bidi="ar"/>
              </w:rPr>
              <w:t>含水率</w:t>
            </w:r>
            <w:r>
              <w:rPr>
                <w:rStyle w:val="14"/>
                <w:rFonts w:hint="eastAsia"/>
                <w:lang w:val="en-US" w:eastAsia="zh-CN" w:bidi="ar"/>
              </w:rPr>
              <w:t>&lt;</w:t>
            </w:r>
            <w:r>
              <w:rPr>
                <w:rStyle w:val="14"/>
                <w:lang w:val="en-US" w:eastAsia="zh-CN" w:bidi="ar"/>
              </w:rPr>
              <w:t>13%,密度&gt;0.71g/cm</w:t>
            </w:r>
            <w:r>
              <w:rPr>
                <w:rStyle w:val="15"/>
                <w:lang w:val="en-US" w:eastAsia="zh-CN" w:bidi="ar"/>
              </w:rPr>
              <w:t>³</w:t>
            </w:r>
            <w:r>
              <w:rPr>
                <w:rStyle w:val="14"/>
                <w:lang w:val="en-US" w:eastAsia="zh-CN" w:bidi="ar"/>
              </w:rPr>
              <w:t>,24h吸水厚度膨胀率&lt;4.2%,表面耐划痕(&gt;1.5N表面无大于90%的连续划痕),外</w:t>
            </w:r>
            <w:r>
              <w:rPr>
                <w:rStyle w:val="14"/>
                <w:lang w:val="en-US" w:eastAsia="zh-CN" w:bidi="ar"/>
              </w:rPr>
              <w:br w:type="textWrapping"/>
            </w:r>
            <w:r>
              <w:rPr>
                <w:rStyle w:val="14"/>
                <w:lang w:val="en-US" w:eastAsia="zh-CN" w:bidi="ar"/>
              </w:rPr>
              <w:t>0观质量检测项包含干花、湿花，污斑，表面划痕，透底，表面孔隙，颜色不匹配，光泽不均，鼓泡，鼓包均符合要求；</w:t>
            </w:r>
            <w:r>
              <w:rPr>
                <w:rStyle w:val="14"/>
                <w:lang w:val="en-US" w:eastAsia="zh-CN" w:bidi="ar"/>
              </w:rPr>
              <w:br w:type="textWrapping"/>
            </w:r>
            <w:r>
              <w:rPr>
                <w:rStyle w:val="14"/>
                <w:lang w:val="en-US" w:eastAsia="zh-CN" w:bidi="ar"/>
              </w:rPr>
              <w:t>3、封边：同色封边条封边，符合《家具用封边条技术要求》标准；</w:t>
            </w:r>
            <w:r>
              <w:rPr>
                <w:rStyle w:val="14"/>
                <w:lang w:val="en-US" w:eastAsia="zh-CN" w:bidi="ar"/>
              </w:rPr>
              <w:br w:type="textWrapping"/>
            </w:r>
            <w:r>
              <w:rPr>
                <w:rStyle w:val="14"/>
                <w:lang w:val="en-US" w:eastAsia="zh-CN" w:bidi="ar"/>
              </w:rPr>
              <w:t>4、五金标件：符合：涂层应无漏喷，锈蚀和脱色、掉色现象，涂层应光滑均匀，色泽一致，应无流挂、挖瘩、皱皮、飞漆等缺陷，中</w:t>
            </w:r>
            <w:r>
              <w:rPr>
                <w:rStyle w:val="14"/>
                <w:lang w:val="en-US" w:eastAsia="zh-CN" w:bidi="ar"/>
              </w:rPr>
              <w:br w:type="textWrapping"/>
            </w:r>
            <w:r>
              <w:rPr>
                <w:rStyle w:val="14"/>
                <w:lang w:val="en-US" w:eastAsia="zh-CN" w:bidi="ar"/>
              </w:rPr>
              <w:t>性盐雾试验(NSS)耐腐蚀等级≥10级。</w:t>
            </w:r>
          </w:p>
        </w:tc>
      </w:tr>
      <w:tr w14:paraId="50165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3217E">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32</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AFD04">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陪护椅</w:t>
            </w:r>
          </w:p>
        </w:tc>
        <w:tc>
          <w:tcPr>
            <w:tcW w:w="1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37264">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收齐W620*D800*H920</w:t>
            </w:r>
          </w:p>
        </w:tc>
        <w:tc>
          <w:tcPr>
            <w:tcW w:w="2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6E2D8">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114300</wp:posOffset>
                  </wp:positionH>
                  <wp:positionV relativeFrom="paragraph">
                    <wp:posOffset>133350</wp:posOffset>
                  </wp:positionV>
                  <wp:extent cx="1279525" cy="807085"/>
                  <wp:effectExtent l="0" t="0" r="15875" b="12065"/>
                  <wp:wrapNone/>
                  <wp:docPr id="34" name="图片_25"/>
                  <wp:cNvGraphicFramePr/>
                  <a:graphic xmlns:a="http://schemas.openxmlformats.org/drawingml/2006/main">
                    <a:graphicData uri="http://schemas.openxmlformats.org/drawingml/2006/picture">
                      <pic:pic xmlns:pic="http://schemas.openxmlformats.org/drawingml/2006/picture">
                        <pic:nvPicPr>
                          <pic:cNvPr id="34" name="图片_25"/>
                          <pic:cNvPicPr/>
                        </pic:nvPicPr>
                        <pic:blipFill>
                          <a:blip r:embed="rId35"/>
                          <a:stretch>
                            <a:fillRect/>
                          </a:stretch>
                        </pic:blipFill>
                        <pic:spPr>
                          <a:xfrm>
                            <a:off x="0" y="0"/>
                            <a:ext cx="1279525" cy="807085"/>
                          </a:xfrm>
                          <a:prstGeom prst="rect">
                            <a:avLst/>
                          </a:prstGeom>
                          <a:noFill/>
                          <a:ln>
                            <a:noFill/>
                          </a:ln>
                        </pic:spPr>
                      </pic:pic>
                    </a:graphicData>
                  </a:graphic>
                </wp:anchor>
              </w:drawing>
            </w:r>
          </w:p>
        </w:tc>
        <w:tc>
          <w:tcPr>
            <w:tcW w:w="40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B5159">
            <w:pPr>
              <w:keepNext w:val="0"/>
              <w:keepLines w:val="0"/>
              <w:widowControl/>
              <w:suppressLineNumbers w:val="0"/>
              <w:jc w:val="left"/>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1、规格：收起：W610*DT80HV#(±5)mr展开；W610*D1850*H600(±5)mmW610*D7602、用材：采用碳钢喷涂，主管来用直 确rm;管壁厚1.5mm的优质钢管。经磷化、喷塑处理，高温固化永不生锈，不掉塑、不褪色，H940展承压不小于150kg时不变形。3、一物两用，集沙发椅和陪护床两种功能于一体。W610*D18504、垫套内为高密度发泡海绵，优质木板垫底，外包优质防水耐脏布料。5、软皮料扶手，耐磨，舒适美观。6、焊接光滑牢固，坚固耐用，不使用时可轻松收放，节省空间，各部连动装置活动自如，静音小轮，推动及收放时无噪音。</w:t>
            </w:r>
          </w:p>
        </w:tc>
      </w:tr>
    </w:tbl>
    <w:p w14:paraId="3B7C6838">
      <w:pPr>
        <w:ind w:firstLine="560" w:firstLineChars="200"/>
        <w:rPr>
          <w:rFonts w:hint="default" w:ascii="Times New Roman" w:hAnsi="Times New Roman" w:eastAsia="仿宋_GB2312" w:cs="Times New Roman"/>
          <w:kern w:val="0"/>
          <w:sz w:val="28"/>
          <w:szCs w:val="28"/>
          <w:lang w:val="en-US" w:eastAsia="zh-CN" w:bidi="ar-SA"/>
        </w:rPr>
      </w:pPr>
      <w:r>
        <w:rPr>
          <w:rFonts w:hint="default" w:ascii="Times New Roman" w:hAnsi="Times New Roman" w:eastAsia="仿宋_GB2312" w:cs="Times New Roman"/>
          <w:kern w:val="0"/>
          <w:sz w:val="28"/>
          <w:szCs w:val="28"/>
          <w:lang w:val="en-US" w:eastAsia="zh-CN" w:bidi="ar-SA"/>
        </w:rPr>
        <w:t>★签订合同时，供应商应提供相应技术参数的检测报告及功能截图证明并附在合同附件中，无法提供的视为虚假响应，采购人有权取消供应商供货资格。</w:t>
      </w:r>
    </w:p>
    <w:p w14:paraId="60CD9856">
      <w:pPr>
        <w:keepNext w:val="0"/>
        <w:keepLines w:val="0"/>
        <w:pageBreakBefore w:val="0"/>
        <w:widowControl w:val="0"/>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方正仿宋_GB2312" w:cs="Times New Roman"/>
          <w:kern w:val="2"/>
          <w:sz w:val="32"/>
          <w:szCs w:val="32"/>
          <w:lang w:val="en-US" w:eastAsia="zh-CN" w:bidi="ar-SA"/>
        </w:rPr>
      </w:pPr>
    </w:p>
    <w:p w14:paraId="311D80FF">
      <w:pPr>
        <w:keepNext w:val="0"/>
        <w:keepLines w:val="0"/>
        <w:pageBreakBefore w:val="0"/>
        <w:widowControl w:val="0"/>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方正仿宋_GB2312" w:cs="Times New Roman"/>
          <w:kern w:val="2"/>
          <w:sz w:val="32"/>
          <w:szCs w:val="32"/>
          <w:lang w:val="en-US" w:eastAsia="zh-CN" w:bidi="ar-SA"/>
        </w:rPr>
      </w:pPr>
    </w:p>
    <w:p w14:paraId="2C5B11AD">
      <w:pPr>
        <w:keepNext w:val="0"/>
        <w:keepLines w:val="0"/>
        <w:pageBreakBefore w:val="0"/>
        <w:widowControl w:val="0"/>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方正仿宋_GB2312" w:cs="Times New Roman"/>
          <w:kern w:val="2"/>
          <w:sz w:val="32"/>
          <w:szCs w:val="32"/>
          <w:lang w:val="en-US" w:eastAsia="zh-CN" w:bidi="ar-SA"/>
        </w:rPr>
      </w:pPr>
    </w:p>
    <w:p w14:paraId="548B700B">
      <w:pPr>
        <w:keepNext w:val="0"/>
        <w:keepLines w:val="0"/>
        <w:pageBreakBefore w:val="0"/>
        <w:widowControl w:val="0"/>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方正仿宋_GB2312" w:cs="Times New Roman"/>
          <w:kern w:val="2"/>
          <w:sz w:val="32"/>
          <w:szCs w:val="32"/>
          <w:lang w:val="en-US" w:eastAsia="zh-CN" w:bidi="ar-SA"/>
        </w:rPr>
      </w:pPr>
    </w:p>
    <w:p w14:paraId="02890971">
      <w:pPr>
        <w:keepNext w:val="0"/>
        <w:keepLines w:val="0"/>
        <w:pageBreakBefore w:val="0"/>
        <w:widowControl w:val="0"/>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方正仿宋_GB2312" w:cs="Times New Roman"/>
          <w:kern w:val="2"/>
          <w:sz w:val="32"/>
          <w:szCs w:val="32"/>
          <w:lang w:val="en-US" w:eastAsia="zh-CN" w:bidi="ar-SA"/>
        </w:rPr>
      </w:pPr>
    </w:p>
    <w:p w14:paraId="7C195193">
      <w:pPr>
        <w:keepNext w:val="0"/>
        <w:keepLines w:val="0"/>
        <w:pageBreakBefore w:val="0"/>
        <w:widowControl w:val="0"/>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方正仿宋_GB2312" w:cs="Times New Roman"/>
          <w:kern w:val="2"/>
          <w:sz w:val="32"/>
          <w:szCs w:val="32"/>
          <w:lang w:val="en-US" w:eastAsia="zh-CN" w:bidi="ar-SA"/>
        </w:rPr>
      </w:pPr>
    </w:p>
    <w:p w14:paraId="68D9A8FB">
      <w:pPr>
        <w:keepNext w:val="0"/>
        <w:keepLines w:val="0"/>
        <w:pageBreakBefore w:val="0"/>
        <w:widowControl w:val="0"/>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方正仿宋_GB2312" w:cs="Times New Roman"/>
          <w:kern w:val="2"/>
          <w:sz w:val="32"/>
          <w:szCs w:val="32"/>
          <w:lang w:val="en-US" w:eastAsia="zh-CN" w:bidi="ar-SA"/>
        </w:rPr>
      </w:pPr>
    </w:p>
    <w:p w14:paraId="47A3B824">
      <w:pPr>
        <w:keepNext w:val="0"/>
        <w:keepLines w:val="0"/>
        <w:pageBreakBefore w:val="0"/>
        <w:widowControl w:val="0"/>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方正仿宋_GB2312" w:cs="Times New Roman"/>
          <w:kern w:val="2"/>
          <w:sz w:val="32"/>
          <w:szCs w:val="32"/>
          <w:lang w:val="en-US" w:eastAsia="zh-CN" w:bidi="ar-SA"/>
        </w:rPr>
      </w:pPr>
    </w:p>
    <w:p w14:paraId="1B840B60">
      <w:pPr>
        <w:keepNext w:val="0"/>
        <w:keepLines w:val="0"/>
        <w:pageBreakBefore w:val="0"/>
        <w:widowControl w:val="0"/>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方正仿宋_GB2312" w:cs="Times New Roman"/>
          <w:kern w:val="2"/>
          <w:sz w:val="32"/>
          <w:szCs w:val="32"/>
          <w:lang w:val="en-US" w:eastAsia="zh-CN" w:bidi="ar-SA"/>
        </w:rPr>
      </w:pPr>
    </w:p>
    <w:p w14:paraId="3DF00F1D">
      <w:pPr>
        <w:keepNext w:val="0"/>
        <w:keepLines w:val="0"/>
        <w:pageBreakBefore w:val="0"/>
        <w:widowControl w:val="0"/>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方正仿宋_GB2312" w:cs="Times New Roman"/>
          <w:kern w:val="2"/>
          <w:sz w:val="32"/>
          <w:szCs w:val="32"/>
          <w:lang w:val="en-US" w:eastAsia="zh-CN" w:bidi="ar-SA"/>
        </w:rPr>
      </w:pPr>
    </w:p>
    <w:p w14:paraId="28F39AC1">
      <w:pPr>
        <w:keepNext w:val="0"/>
        <w:keepLines w:val="0"/>
        <w:pageBreakBefore w:val="0"/>
        <w:widowControl w:val="0"/>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方正仿宋_GB2312" w:cs="Times New Roman"/>
          <w:kern w:val="2"/>
          <w:sz w:val="32"/>
          <w:szCs w:val="32"/>
          <w:lang w:val="en-US" w:eastAsia="zh-CN" w:bidi="ar-SA"/>
        </w:rPr>
      </w:pPr>
    </w:p>
    <w:p w14:paraId="5E3A9DD0">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jc w:val="left"/>
        <w:textAlignment w:val="auto"/>
        <w:rPr>
          <w:rFonts w:hint="default" w:ascii="Times New Roman" w:hAnsi="Times New Roman" w:eastAsia="仿宋_GB2312" w:cs="Times New Roman"/>
          <w:kern w:val="2"/>
          <w:sz w:val="32"/>
          <w:szCs w:val="32"/>
          <w:lang w:val="en-US" w:eastAsia="zh-CN" w:bidi="ar-SA"/>
        </w:rPr>
      </w:pPr>
      <w:bookmarkStart w:id="0" w:name="_GoBack"/>
      <w:bookmarkEnd w:id="0"/>
    </w:p>
    <w:p w14:paraId="3AD923CE">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jc w:val="center"/>
        <w:textAlignment w:val="auto"/>
        <w:rPr>
          <w:rFonts w:hint="default" w:ascii="Times New Roman" w:hAnsi="Times New Roman" w:eastAsia="方正小标宋简体" w:cs="Times New Roman"/>
          <w:kern w:val="2"/>
          <w:sz w:val="44"/>
          <w:szCs w:val="44"/>
          <w:lang w:val="en-US" w:eastAsia="zh-CN" w:bidi="ar-SA"/>
        </w:rPr>
      </w:pPr>
      <w:r>
        <w:rPr>
          <w:rFonts w:hint="default" w:ascii="Times New Roman" w:hAnsi="Times New Roman" w:eastAsia="方正小标宋简体" w:cs="Times New Roman"/>
          <w:kern w:val="2"/>
          <w:sz w:val="44"/>
          <w:szCs w:val="44"/>
          <w:lang w:val="en-US" w:eastAsia="zh-CN" w:bidi="ar-SA"/>
        </w:rPr>
        <w:t>供应商资质要求</w:t>
      </w:r>
    </w:p>
    <w:p w14:paraId="6EA0F9FE">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jc w:val="center"/>
        <w:textAlignment w:val="auto"/>
        <w:rPr>
          <w:rFonts w:hint="default" w:ascii="Times New Roman" w:hAnsi="Times New Roman" w:eastAsia="仿宋_GB2312" w:cs="Times New Roman"/>
          <w:kern w:val="2"/>
          <w:sz w:val="44"/>
          <w:szCs w:val="44"/>
          <w:lang w:val="en-US" w:eastAsia="zh-CN" w:bidi="ar-SA"/>
        </w:rPr>
      </w:pPr>
    </w:p>
    <w:p w14:paraId="5E195FFA">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在中国境内注册并具有独立承担民事责任的能力，公司设立并实际运营满一年期及以上；</w:t>
      </w:r>
    </w:p>
    <w:p w14:paraId="0A0A2D0E">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具有良好的商业信誉和健全的财务会计制度；​</w:t>
      </w:r>
    </w:p>
    <w:p w14:paraId="658214BE">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具有依法缴纳税收和社会保险资金的良好记录；​</w:t>
      </w:r>
    </w:p>
    <w:p w14:paraId="71F3BD7A">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具有履行合同所必需的设备和专业技术能力；​</w:t>
      </w:r>
    </w:p>
    <w:p w14:paraId="1C7B95C8">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参加本次征集活动前三年内，在经营活动中没有重大违法记录；​</w:t>
      </w:r>
    </w:p>
    <w:p w14:paraId="671AE024">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法律、行政法规规定的其他条件；​</w:t>
      </w:r>
    </w:p>
    <w:p w14:paraId="3D05B6C4">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在2022年1月1日至报名截止日期间，单位及法定代表人（经营者）不存在行贿行为；​</w:t>
      </w:r>
    </w:p>
    <w:p w14:paraId="24DA0AC9">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家具</w:t>
      </w:r>
      <w:r>
        <w:rPr>
          <w:rFonts w:hint="default" w:ascii="Times New Roman" w:hAnsi="Times New Roman" w:eastAsia="仿宋_GB2312" w:cs="Times New Roman"/>
          <w:kern w:val="2"/>
          <w:sz w:val="32"/>
          <w:szCs w:val="32"/>
          <w:lang w:val="en-US" w:eastAsia="zh-CN" w:bidi="ar-SA"/>
        </w:rPr>
        <w:t>类供应商应为生产厂家或者生产厂家授权供应商，需提供以下证明材料：​</w:t>
      </w:r>
    </w:p>
    <w:p w14:paraId="51AB5C06">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1）若为生产厂家，应提供产品品牌的《商标注册证》复印件，且《商标注册证》中的注册人应与供应商名称一致（若因工商登记信息变更导致名称不一致，需提供市场监管部门变更登记证明）；《商标注册证》核定使用商品分类应包含本次响应产品对应分类；提交材料时《商标注册证》应在有效期内，入围后需确保在项目要求工期内持续有效。​</w:t>
      </w:r>
    </w:p>
    <w:p w14:paraId="154AE8FA">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（2）若为生产厂家授权供应商，除提供上述生产厂家相关证明材料（需生产厂家加盖公章）外，还应提供授权文件复印件；</w:t>
      </w:r>
    </w:p>
    <w:p w14:paraId="1F86F3D9">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业绩要求：​</w:t>
      </w:r>
    </w:p>
    <w:p w14:paraId="6374715A">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color w:val="auto"/>
          <w:kern w:val="2"/>
          <w:sz w:val="32"/>
          <w:szCs w:val="32"/>
          <w:lang w:val="en-US" w:eastAsia="zh-CN" w:bidi="ar-SA"/>
        </w:rPr>
      </w:pPr>
      <w:r>
        <w:rPr>
          <w:rFonts w:hint="eastAsia" w:ascii="Times New Roman" w:hAnsi="Times New Roman" w:eastAsia="仿宋_GB2312" w:cs="Times New Roman"/>
          <w:color w:val="auto"/>
          <w:kern w:val="2"/>
          <w:sz w:val="32"/>
          <w:szCs w:val="32"/>
          <w:lang w:val="en-US" w:eastAsia="zh-CN" w:bidi="ar-SA"/>
        </w:rPr>
        <w:t>家具</w:t>
      </w:r>
      <w:r>
        <w:rPr>
          <w:rFonts w:hint="default" w:ascii="Times New Roman" w:hAnsi="Times New Roman" w:eastAsia="仿宋_GB2312" w:cs="Times New Roman"/>
          <w:color w:val="auto"/>
          <w:kern w:val="2"/>
          <w:sz w:val="32"/>
          <w:szCs w:val="32"/>
          <w:lang w:val="en-US" w:eastAsia="zh-CN" w:bidi="ar-SA"/>
        </w:rPr>
        <w:t>类供应商：近3年（2022年1月1日至报名截止日前）至少已完成1个类似项目业绩（需提供合同协议书、供货完成证明材料，时间、供货类型、业绩金额以供货完成证明材料为准）；</w:t>
      </w:r>
    </w:p>
    <w:p w14:paraId="22A45809">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不得存在以下不良状况或不良信用记录：​</w:t>
      </w:r>
    </w:p>
    <w:p w14:paraId="332BE616">
      <w:pPr>
        <w:keepNext w:val="0"/>
        <w:keepLines w:val="0"/>
        <w:pageBreakBefore w:val="0"/>
        <w:widowControl w:val="0"/>
        <w:numPr>
          <w:ilvl w:val="0"/>
          <w:numId w:val="4"/>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经查证，近3年执业过程中存在弄虚作假、恶意串通、营私舞弊等严重不诚信行为，或出具虚假或重大失实的业务报告，或因违反合同约定给委托方造成重大损失的；​</w:t>
      </w:r>
    </w:p>
    <w:p w14:paraId="1AFBC7A5">
      <w:pPr>
        <w:keepNext w:val="0"/>
        <w:keepLines w:val="0"/>
        <w:pageBreakBefore w:val="0"/>
        <w:widowControl w:val="0"/>
        <w:numPr>
          <w:ilvl w:val="0"/>
          <w:numId w:val="4"/>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分别接受利益相对方委托，就同一事项提供有利益冲突的服务的；​</w:t>
      </w:r>
    </w:p>
    <w:p w14:paraId="59BC950A">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（3）近3年内，因重大执业问题受到监管部门不良通报或禁用限制的；​</w:t>
      </w:r>
    </w:p>
    <w:p w14:paraId="4AF18016">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（4）被政府部门取消投标资格或禁止参与政府采购且处于有效期内的；​</w:t>
      </w:r>
    </w:p>
    <w:p w14:paraId="19F45A2A">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（5）被责令停业，暂扣或吊销执照，或吊销资质证书的；​</w:t>
      </w:r>
    </w:p>
    <w:p w14:paraId="5D38376D">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（6）进入清算程序，或被宣告破产，或其他丧失履约能力情形的；​</w:t>
      </w:r>
    </w:p>
    <w:p w14:paraId="592D08E0">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（7）</w:t>
      </w:r>
      <w:r>
        <w:rPr>
          <w:rFonts w:hint="default" w:ascii="Times New Roman" w:hAnsi="Times New Roman" w:eastAsia="仿宋_GB2312" w:cs="Times New Roman"/>
          <w:w w:val="97"/>
          <w:kern w:val="2"/>
          <w:sz w:val="32"/>
          <w:szCs w:val="32"/>
          <w:lang w:val="en-US" w:eastAsia="zh-CN" w:bidi="ar-SA"/>
        </w:rPr>
        <w:t>在国家企业信用信息公示系统（</w:t>
      </w:r>
      <w:r>
        <w:rPr>
          <w:rFonts w:hint="default" w:ascii="Times New Roman" w:hAnsi="Times New Roman" w:eastAsia="仿宋_GB2312" w:cs="Times New Roman"/>
          <w:w w:val="97"/>
          <w:kern w:val="2"/>
          <w:sz w:val="32"/>
          <w:szCs w:val="32"/>
          <w:lang w:val="en-US" w:eastAsia="zh-CN" w:bidi="ar-SA"/>
        </w:rPr>
        <w:fldChar w:fldCharType="begin"/>
      </w:r>
      <w:r>
        <w:rPr>
          <w:rFonts w:hint="default" w:ascii="Times New Roman" w:hAnsi="Times New Roman" w:eastAsia="仿宋_GB2312" w:cs="Times New Roman"/>
          <w:w w:val="97"/>
          <w:kern w:val="2"/>
          <w:sz w:val="32"/>
          <w:szCs w:val="32"/>
          <w:lang w:val="en-US" w:eastAsia="zh-CN" w:bidi="ar-SA"/>
        </w:rPr>
        <w:instrText xml:space="preserve"> HYPERLINK "http://www.gsxt.gov.cn/" \t "https://www.doubao.com/chat/_blank" </w:instrText>
      </w:r>
      <w:r>
        <w:rPr>
          <w:rFonts w:hint="default" w:ascii="Times New Roman" w:hAnsi="Times New Roman" w:eastAsia="仿宋_GB2312" w:cs="Times New Roman"/>
          <w:w w:val="97"/>
          <w:kern w:val="2"/>
          <w:sz w:val="32"/>
          <w:szCs w:val="32"/>
          <w:lang w:val="en-US" w:eastAsia="zh-CN" w:bidi="ar-SA"/>
        </w:rPr>
        <w:fldChar w:fldCharType="separate"/>
      </w:r>
      <w:r>
        <w:rPr>
          <w:rFonts w:hint="default" w:ascii="Times New Roman" w:hAnsi="Times New Roman" w:eastAsia="仿宋_GB2312" w:cs="Times New Roman"/>
          <w:w w:val="97"/>
          <w:kern w:val="2"/>
          <w:sz w:val="32"/>
          <w:szCs w:val="32"/>
          <w:lang w:val="en-US" w:eastAsia="zh-CN" w:bidi="ar-SA"/>
        </w:rPr>
        <w:t>http://www.gsxt.gov.cn/</w:t>
      </w:r>
      <w:r>
        <w:rPr>
          <w:rFonts w:hint="default" w:ascii="Times New Roman" w:hAnsi="Times New Roman" w:eastAsia="仿宋_GB2312" w:cs="Times New Roman"/>
          <w:w w:val="97"/>
          <w:kern w:val="2"/>
          <w:sz w:val="32"/>
          <w:szCs w:val="32"/>
          <w:lang w:val="en-US" w:eastAsia="zh-CN" w:bidi="ar-SA"/>
        </w:rPr>
        <w:fldChar w:fldCharType="end"/>
      </w:r>
      <w:r>
        <w:rPr>
          <w:rFonts w:hint="default" w:ascii="Times New Roman" w:hAnsi="Times New Roman" w:eastAsia="仿宋_GB2312" w:cs="Times New Roman"/>
          <w:w w:val="97"/>
          <w:kern w:val="2"/>
          <w:sz w:val="32"/>
          <w:szCs w:val="32"/>
          <w:lang w:val="en-US" w:eastAsia="zh-CN" w:bidi="ar-SA"/>
        </w:rPr>
        <w:t>）</w:t>
      </w:r>
      <w:r>
        <w:rPr>
          <w:rFonts w:hint="default" w:ascii="Times New Roman" w:hAnsi="Times New Roman" w:eastAsia="仿宋_GB2312" w:cs="Times New Roman"/>
          <w:kern w:val="2"/>
          <w:sz w:val="32"/>
          <w:szCs w:val="32"/>
          <w:lang w:val="en-US" w:eastAsia="zh-CN" w:bidi="ar-SA"/>
        </w:rPr>
        <w:t>中被列入严重违法失信企业名单的；​</w:t>
      </w:r>
    </w:p>
    <w:p w14:paraId="5FA9FF3E">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（8）在“信用中国” 网站（</w:t>
      </w:r>
      <w:r>
        <w:rPr>
          <w:rFonts w:hint="default" w:ascii="Times New Roman" w:hAnsi="Times New Roman" w:eastAsia="仿宋_GB2312" w:cs="Times New Roman"/>
          <w:kern w:val="2"/>
          <w:sz w:val="32"/>
          <w:szCs w:val="32"/>
          <w:lang w:val="en-US" w:eastAsia="zh-CN" w:bidi="ar-SA"/>
        </w:rPr>
        <w:fldChar w:fldCharType="begin"/>
      </w:r>
      <w:r>
        <w:rPr>
          <w:rFonts w:hint="default" w:ascii="Times New Roman" w:hAnsi="Times New Roman" w:eastAsia="仿宋_GB2312" w:cs="Times New Roman"/>
          <w:kern w:val="2"/>
          <w:sz w:val="32"/>
          <w:szCs w:val="32"/>
          <w:lang w:val="en-US" w:eastAsia="zh-CN" w:bidi="ar-SA"/>
        </w:rPr>
        <w:instrText xml:space="preserve"> HYPERLINK "http://www.creditchina.gov.cn/" \t "https://www.doubao.com/chat/_blank" </w:instrText>
      </w:r>
      <w:r>
        <w:rPr>
          <w:rFonts w:hint="default" w:ascii="Times New Roman" w:hAnsi="Times New Roman" w:eastAsia="仿宋_GB2312" w:cs="Times New Roman"/>
          <w:kern w:val="2"/>
          <w:sz w:val="32"/>
          <w:szCs w:val="32"/>
          <w:lang w:val="en-US" w:eastAsia="zh-CN" w:bidi="ar-SA"/>
        </w:rPr>
        <w:fldChar w:fldCharType="separate"/>
      </w:r>
      <w:r>
        <w:rPr>
          <w:rFonts w:hint="default" w:ascii="Times New Roman" w:hAnsi="Times New Roman" w:eastAsia="仿宋_GB2312" w:cs="Times New Roman"/>
          <w:kern w:val="2"/>
          <w:sz w:val="32"/>
          <w:szCs w:val="32"/>
          <w:lang w:val="en-US" w:eastAsia="zh-CN" w:bidi="ar-SA"/>
        </w:rPr>
        <w:t>http://www.creditchina.gov.cn/</w:t>
      </w:r>
      <w:r>
        <w:rPr>
          <w:rFonts w:hint="default" w:ascii="Times New Roman" w:hAnsi="Times New Roman" w:eastAsia="仿宋_GB2312" w:cs="Times New Roman"/>
          <w:kern w:val="2"/>
          <w:sz w:val="32"/>
          <w:szCs w:val="32"/>
          <w:lang w:val="en-US" w:eastAsia="zh-CN" w:bidi="ar-SA"/>
        </w:rPr>
        <w:fldChar w:fldCharType="end"/>
      </w:r>
      <w:r>
        <w:rPr>
          <w:rFonts w:hint="default" w:ascii="Times New Roman" w:hAnsi="Times New Roman" w:eastAsia="仿宋_GB2312" w:cs="Times New Roman"/>
          <w:kern w:val="2"/>
          <w:sz w:val="32"/>
          <w:szCs w:val="32"/>
          <w:lang w:val="en-US" w:eastAsia="zh-CN" w:bidi="ar-SA"/>
        </w:rPr>
        <w:t>）中被列入失信被执行人名单的；​</w:t>
      </w:r>
    </w:p>
    <w:p w14:paraId="3969985C">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（9）法律法规及相关规定的其他情形；​</w:t>
      </w:r>
    </w:p>
    <w:p w14:paraId="6537331A">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不得存在以下限制征集的情形：​</w:t>
      </w:r>
    </w:p>
    <w:p w14:paraId="11FA34A7">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（1）被责令停业的；​</w:t>
      </w:r>
    </w:p>
    <w:p w14:paraId="6A7C01BA">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 xml:space="preserve">（2）被暂停或取消投标资格、禁止参与政府采购的；​  </w:t>
      </w:r>
    </w:p>
    <w:p w14:paraId="442CA670">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（3）财产被接管或冻结的；​</w:t>
      </w:r>
    </w:p>
    <w:p w14:paraId="7705554C">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（4）最近3年内有骗取中标（成交）或严重违约的；​</w:t>
      </w:r>
    </w:p>
    <w:p w14:paraId="02913BB9">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（5）近半年内在招标、采购活动中或合同履行过程中被监督部门行政处罚的；​</w:t>
      </w:r>
    </w:p>
    <w:p w14:paraId="26E2CCD3">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（6）近3年内在招标、采购活动中或合同履行过程中有腐败行为并被司法机关认定为犯罪的。</w:t>
      </w:r>
    </w:p>
    <w:sectPr>
      <w:footerReference r:id="rId3" w:type="default"/>
      <w:pgSz w:w="11906" w:h="16838"/>
      <w:pgMar w:top="2154" w:right="1361" w:bottom="2041" w:left="1474"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6DACA71-38B1-4F57-8DCA-D1CC4524F9E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embedRegular r:id="rId2" w:fontKey="{19C0BBD7-D1CE-4CBC-8CFA-D26A49DE732D}"/>
  </w:font>
  <w:font w:name="方正仿宋_GB2312">
    <w:panose1 w:val="02000000000000000000"/>
    <w:charset w:val="86"/>
    <w:family w:val="auto"/>
    <w:pitch w:val="default"/>
    <w:sig w:usb0="A00002BF" w:usb1="184F6CFA" w:usb2="00000012" w:usb3="00000000" w:csb0="00040001" w:csb1="00000000"/>
    <w:embedRegular r:id="rId3" w:fontKey="{BD4327D7-5498-444D-AEA6-2E23C8731E22}"/>
  </w:font>
  <w:font w:name="仿宋_GB2312">
    <w:panose1 w:val="02010609030101010101"/>
    <w:charset w:val="86"/>
    <w:family w:val="auto"/>
    <w:pitch w:val="default"/>
    <w:sig w:usb0="00000001" w:usb1="080E0000" w:usb2="00000000" w:usb3="00000000" w:csb0="00040000" w:csb1="00000000"/>
    <w:embedRegular r:id="rId4" w:fontKey="{CDE10421-F3B9-4304-BA41-251B2E1975BC}"/>
  </w:font>
  <w:font w:name="Segoe UI">
    <w:panose1 w:val="020B0502040204020203"/>
    <w:charset w:val="00"/>
    <w:family w:val="auto"/>
    <w:pitch w:val="default"/>
    <w:sig w:usb0="E4002EFF" w:usb1="C000E47F" w:usb2="00000009" w:usb3="00000000" w:csb0="200001FF" w:csb1="00000000"/>
    <w:embedRegular r:id="rId5" w:fontKey="{D0FEDBFB-6E6D-43CD-AD21-614BB89F11A2}"/>
  </w:font>
  <w:font w:name="WPSEMBED5">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80EC0">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BA370C">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BA370C">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A3849F"/>
    <w:multiLevelType w:val="singleLevel"/>
    <w:tmpl w:val="8FA3849F"/>
    <w:lvl w:ilvl="0" w:tentative="0">
      <w:start w:val="1"/>
      <w:numFmt w:val="decimal"/>
      <w:suff w:val="nothing"/>
      <w:lvlText w:val="（%1）"/>
      <w:lvlJc w:val="left"/>
    </w:lvl>
  </w:abstractNum>
  <w:abstractNum w:abstractNumId="1">
    <w:nsid w:val="02CF29CB"/>
    <w:multiLevelType w:val="singleLevel"/>
    <w:tmpl w:val="02CF29CB"/>
    <w:lvl w:ilvl="0" w:tentative="0">
      <w:start w:val="1"/>
      <w:numFmt w:val="decimal"/>
      <w:suff w:val="nothing"/>
      <w:lvlText w:val="%1．"/>
      <w:lvlJc w:val="left"/>
      <w:pPr>
        <w:ind w:left="0" w:firstLine="400"/>
      </w:pPr>
      <w:rPr>
        <w:rFonts w:hint="default"/>
      </w:rPr>
    </w:lvl>
  </w:abstractNum>
  <w:abstractNum w:abstractNumId="2">
    <w:nsid w:val="28B9FB7B"/>
    <w:multiLevelType w:val="singleLevel"/>
    <w:tmpl w:val="28B9FB7B"/>
    <w:lvl w:ilvl="0" w:tentative="0">
      <w:start w:val="1"/>
      <w:numFmt w:val="chineseCounting"/>
      <w:suff w:val="nothing"/>
      <w:lvlText w:val="%1、"/>
      <w:lvlJc w:val="left"/>
      <w:rPr>
        <w:rFonts w:hint="eastAsia"/>
      </w:rPr>
    </w:lvl>
  </w:abstractNum>
  <w:abstractNum w:abstractNumId="3">
    <w:nsid w:val="510BFFB1"/>
    <w:multiLevelType w:val="singleLevel"/>
    <w:tmpl w:val="510BFFB1"/>
    <w:lvl w:ilvl="0" w:tentative="0">
      <w:start w:val="1"/>
      <w:numFmt w:val="decimal"/>
      <w:suff w:val="nothing"/>
      <w:lvlText w:val="%1、"/>
      <w:lvlJc w:val="left"/>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361177"/>
    <w:rsid w:val="003C28DE"/>
    <w:rsid w:val="02643130"/>
    <w:rsid w:val="04754611"/>
    <w:rsid w:val="06155F49"/>
    <w:rsid w:val="06B83BFB"/>
    <w:rsid w:val="089B4514"/>
    <w:rsid w:val="092C1016"/>
    <w:rsid w:val="0B7D1FFD"/>
    <w:rsid w:val="0B995089"/>
    <w:rsid w:val="0D6D057B"/>
    <w:rsid w:val="10CF5A74"/>
    <w:rsid w:val="13BF3F3D"/>
    <w:rsid w:val="175F6473"/>
    <w:rsid w:val="199F6B7D"/>
    <w:rsid w:val="1C160113"/>
    <w:rsid w:val="1C2C394E"/>
    <w:rsid w:val="1C913B5A"/>
    <w:rsid w:val="1E3E5983"/>
    <w:rsid w:val="1FD26278"/>
    <w:rsid w:val="20052895"/>
    <w:rsid w:val="24A00DDE"/>
    <w:rsid w:val="2631651F"/>
    <w:rsid w:val="280B2A12"/>
    <w:rsid w:val="283A0DE1"/>
    <w:rsid w:val="2A361177"/>
    <w:rsid w:val="2B430715"/>
    <w:rsid w:val="2BB138D1"/>
    <w:rsid w:val="2E057F04"/>
    <w:rsid w:val="2ECA1E35"/>
    <w:rsid w:val="30E16F14"/>
    <w:rsid w:val="316A07AA"/>
    <w:rsid w:val="33505518"/>
    <w:rsid w:val="35260E8C"/>
    <w:rsid w:val="35ED7BFB"/>
    <w:rsid w:val="36174C78"/>
    <w:rsid w:val="370B18C5"/>
    <w:rsid w:val="3C776471"/>
    <w:rsid w:val="3F226C0E"/>
    <w:rsid w:val="42FF3E34"/>
    <w:rsid w:val="445F3A72"/>
    <w:rsid w:val="47DE7578"/>
    <w:rsid w:val="48855CF1"/>
    <w:rsid w:val="490438A5"/>
    <w:rsid w:val="4D0553D3"/>
    <w:rsid w:val="50533E75"/>
    <w:rsid w:val="51963298"/>
    <w:rsid w:val="528F6754"/>
    <w:rsid w:val="53000B16"/>
    <w:rsid w:val="534529CD"/>
    <w:rsid w:val="54144CC4"/>
    <w:rsid w:val="54EA03CE"/>
    <w:rsid w:val="559723FB"/>
    <w:rsid w:val="568A2DC4"/>
    <w:rsid w:val="56FE103E"/>
    <w:rsid w:val="572C6F76"/>
    <w:rsid w:val="58515970"/>
    <w:rsid w:val="5AA46058"/>
    <w:rsid w:val="5C763BF7"/>
    <w:rsid w:val="5E987E55"/>
    <w:rsid w:val="620A6B7E"/>
    <w:rsid w:val="640502EF"/>
    <w:rsid w:val="64322AF9"/>
    <w:rsid w:val="69831701"/>
    <w:rsid w:val="6A6B466F"/>
    <w:rsid w:val="6B7721E4"/>
    <w:rsid w:val="6CCF5389"/>
    <w:rsid w:val="6ECF4C37"/>
    <w:rsid w:val="71950224"/>
    <w:rsid w:val="72691F56"/>
    <w:rsid w:val="733D5CBE"/>
    <w:rsid w:val="74E120FE"/>
    <w:rsid w:val="7B986864"/>
    <w:rsid w:val="7BA23C69"/>
    <w:rsid w:val="7C1D466C"/>
    <w:rsid w:val="7D180687"/>
    <w:rsid w:val="7FA2692E"/>
    <w:rsid w:val="7FDB3B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Body Text"/>
    <w:basedOn w:val="1"/>
    <w:next w:val="1"/>
    <w:qFormat/>
    <w:uiPriority w:val="1"/>
    <w:pPr>
      <w:spacing w:after="12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Hyperlink"/>
    <w:basedOn w:val="8"/>
    <w:qFormat/>
    <w:uiPriority w:val="0"/>
    <w:rPr>
      <w:color w:val="0000FF"/>
      <w:u w:val="single"/>
    </w:rPr>
  </w:style>
  <w:style w:type="paragraph" w:customStyle="1" w:styleId="1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1">
    <w:name w:val="null3"/>
    <w:hidden/>
    <w:qFormat/>
    <w:uiPriority w:val="0"/>
    <w:rPr>
      <w:rFonts w:hint="eastAsia" w:asciiTheme="minorHAnsi" w:hAnsiTheme="minorHAnsi" w:eastAsiaTheme="minorEastAsia" w:cstheme="minorBidi"/>
      <w:lang w:val="en-US" w:eastAsia="zh-Hans" w:bidi="ar-SA"/>
    </w:rPr>
  </w:style>
  <w:style w:type="character" w:customStyle="1" w:styleId="12">
    <w:name w:val="font41"/>
    <w:basedOn w:val="8"/>
    <w:qFormat/>
    <w:uiPriority w:val="0"/>
    <w:rPr>
      <w:rFonts w:hint="eastAsia" w:ascii="黑体" w:hAnsi="宋体" w:eastAsia="黑体" w:cs="黑体"/>
      <w:color w:val="000000"/>
      <w:sz w:val="20"/>
      <w:szCs w:val="20"/>
      <w:u w:val="none"/>
    </w:rPr>
  </w:style>
  <w:style w:type="character" w:customStyle="1" w:styleId="13">
    <w:name w:val="font81"/>
    <w:basedOn w:val="8"/>
    <w:qFormat/>
    <w:uiPriority w:val="0"/>
    <w:rPr>
      <w:rFonts w:hint="eastAsia" w:ascii="宋体" w:hAnsi="宋体" w:eastAsia="宋体" w:cs="宋体"/>
      <w:color w:val="000000"/>
      <w:sz w:val="20"/>
      <w:szCs w:val="20"/>
      <w:u w:val="none"/>
    </w:rPr>
  </w:style>
  <w:style w:type="character" w:customStyle="1" w:styleId="14">
    <w:name w:val="font21"/>
    <w:basedOn w:val="8"/>
    <w:qFormat/>
    <w:uiPriority w:val="0"/>
    <w:rPr>
      <w:rFonts w:hint="eastAsia" w:ascii="黑体" w:hAnsi="宋体" w:eastAsia="黑体" w:cs="黑体"/>
      <w:color w:val="000000"/>
      <w:sz w:val="20"/>
      <w:szCs w:val="20"/>
      <w:u w:val="none"/>
    </w:rPr>
  </w:style>
  <w:style w:type="character" w:customStyle="1" w:styleId="15">
    <w:name w:val="font91"/>
    <w:basedOn w:val="8"/>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8" Type="http://schemas.openxmlformats.org/officeDocument/2006/relationships/fontTable" Target="fontTable.xml"/><Relationship Id="rId37" Type="http://schemas.openxmlformats.org/officeDocument/2006/relationships/numbering" Target="numbering.xml"/><Relationship Id="rId36" Type="http://schemas.openxmlformats.org/officeDocument/2006/relationships/customXml" Target="../customXml/item1.xml"/><Relationship Id="rId35" Type="http://schemas.openxmlformats.org/officeDocument/2006/relationships/image" Target="media/image31.png"/><Relationship Id="rId34" Type="http://schemas.openxmlformats.org/officeDocument/2006/relationships/image" Target="media/image30.pn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12136</Words>
  <Characters>15046</Characters>
  <Lines>0</Lines>
  <Paragraphs>0</Paragraphs>
  <TotalTime>5</TotalTime>
  <ScaleCrop>false</ScaleCrop>
  <LinksUpToDate>false</LinksUpToDate>
  <CharactersWithSpaces>15312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2025-05-20T05:15:00Z</dcterms:created>
  <dc:creator>熙熙的爸</dc:creator>
  <cp:lastModifiedBy>熙熙的爸</cp:lastModifiedBy>
  <cp:lastPrinted>2025-08-11T02:16:00Z</cp:lastPrinted>
  <dcterms:modified xsi:type="dcterms:W3CDTF">2025-08-28T02:58:45Z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3A40F6702A604BB49F2E2ACE43AA97BA_13</vt:lpwstr>
  </property>
  <property fmtid="{D5CDD505-2E9C-101B-9397-08002B2CF9AE}" pid="4" name="KSOTemplateDocerSaveRecord">
    <vt:lpwstr>eyJoZGlkIjoiNmQyOTliZmUyOWZlMjQ0YmM3MTc3MGM3YjQyNjEwODciLCJ1c2VySWQiOiIxMjMzMDY4MzYyIn0=</vt:lpwstr>
  </property>
</Properties>
</file>