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951F3F">
      <w:pPr>
        <w:pStyle w:val="5"/>
        <w:keepNext w:val="0"/>
        <w:keepLines w:val="0"/>
        <w:pageBreakBefore w:val="0"/>
        <w:widowControl w:val="0"/>
        <w:overflowPunct/>
        <w:bidi w:val="0"/>
        <w:spacing w:line="276" w:lineRule="auto"/>
        <w:ind w:right="638" w:rightChars="304"/>
        <w:rPr>
          <w:color w:val="FF0000"/>
        </w:rPr>
      </w:pPr>
    </w:p>
    <w:p w14:paraId="39643487">
      <w:pPr>
        <w:pStyle w:val="5"/>
        <w:keepNext w:val="0"/>
        <w:keepLines w:val="0"/>
        <w:pageBreakBefore w:val="0"/>
        <w:widowControl w:val="0"/>
        <w:overflowPunct/>
        <w:bidi w:val="0"/>
        <w:spacing w:line="276" w:lineRule="auto"/>
        <w:rPr>
          <w:color w:val="FF0000"/>
        </w:rPr>
      </w:pPr>
    </w:p>
    <w:p w14:paraId="6B88A275">
      <w:pPr>
        <w:pStyle w:val="5"/>
        <w:keepNext w:val="0"/>
        <w:keepLines w:val="0"/>
        <w:pageBreakBefore w:val="0"/>
        <w:widowControl w:val="0"/>
        <w:overflowPunct/>
        <w:bidi w:val="0"/>
        <w:spacing w:line="277" w:lineRule="auto"/>
        <w:rPr>
          <w:color w:val="FF0000"/>
        </w:rPr>
      </w:pPr>
    </w:p>
    <w:p w14:paraId="04DD70F0">
      <w:pPr>
        <w:pStyle w:val="5"/>
        <w:keepNext w:val="0"/>
        <w:keepLines w:val="0"/>
        <w:pageBreakBefore w:val="0"/>
        <w:widowControl w:val="0"/>
        <w:overflowPunct/>
        <w:bidi w:val="0"/>
        <w:spacing w:line="277" w:lineRule="auto"/>
        <w:rPr>
          <w:color w:val="FF0000"/>
        </w:rPr>
      </w:pPr>
    </w:p>
    <w:p w14:paraId="6E5111A6">
      <w:pPr>
        <w:pStyle w:val="5"/>
        <w:keepNext w:val="0"/>
        <w:keepLines w:val="0"/>
        <w:pageBreakBefore w:val="0"/>
        <w:widowControl w:val="0"/>
        <w:overflowPunct/>
        <w:bidi w:val="0"/>
        <w:spacing w:line="277" w:lineRule="auto"/>
        <w:rPr>
          <w:color w:val="FF0000"/>
        </w:rPr>
      </w:pPr>
    </w:p>
    <w:p w14:paraId="2B35EAAD">
      <w:pPr>
        <w:keepNext w:val="0"/>
        <w:keepLines w:val="0"/>
        <w:pageBreakBefore w:val="0"/>
        <w:widowControl w:val="0"/>
        <w:kinsoku/>
        <w:wordWrap w:val="0"/>
        <w:overflowPunct/>
        <w:topLinePunct/>
        <w:autoSpaceDE w:val="0"/>
        <w:autoSpaceDN w:val="0"/>
        <w:bidi w:val="0"/>
        <w:adjustRightInd w:val="0"/>
        <w:snapToGrid w:val="0"/>
        <w:spacing w:before="108" w:line="224" w:lineRule="auto"/>
        <w:ind w:left="15" w:leftChars="0" w:right="1058" w:rightChars="504" w:hanging="15" w:hangingChars="5"/>
        <w:jc w:val="center"/>
        <w:textAlignment w:val="baseline"/>
        <w:outlineLvl w:val="0"/>
        <w:rPr>
          <w:rFonts w:hint="eastAsia" w:ascii="仿宋" w:hAnsi="仿宋" w:eastAsia="仿宋" w:cs="仿宋"/>
          <w:b/>
          <w:bCs/>
          <w:color w:val="auto"/>
          <w:spacing w:val="-8"/>
          <w:sz w:val="32"/>
          <w:szCs w:val="32"/>
          <w:u w:val="single" w:color="auto"/>
          <w:lang w:val="en-US" w:eastAsia="zh-CN"/>
        </w:rPr>
      </w:pPr>
      <w:bookmarkStart w:id="0" w:name="_Toc32051"/>
      <w:r>
        <w:rPr>
          <w:rFonts w:hint="eastAsia" w:ascii="仿宋" w:hAnsi="仿宋" w:eastAsia="仿宋" w:cs="仿宋"/>
          <w:b/>
          <w:bCs/>
          <w:color w:val="auto"/>
          <w:spacing w:val="-8"/>
          <w:sz w:val="32"/>
          <w:szCs w:val="32"/>
          <w:u w:val="single" w:color="auto"/>
          <w:lang w:val="en-US" w:eastAsia="zh-CN"/>
        </w:rPr>
        <w:t>金沙江下游白鹤滩翻坝转运设施（白鹤滩码头）建设项目</w:t>
      </w:r>
    </w:p>
    <w:p w14:paraId="6CDE6A0F">
      <w:pPr>
        <w:keepNext w:val="0"/>
        <w:keepLines w:val="0"/>
        <w:pageBreakBefore w:val="0"/>
        <w:widowControl w:val="0"/>
        <w:tabs>
          <w:tab w:val="left" w:pos="9030"/>
        </w:tabs>
        <w:kinsoku/>
        <w:wordWrap w:val="0"/>
        <w:overflowPunct/>
        <w:topLinePunct/>
        <w:autoSpaceDE w:val="0"/>
        <w:autoSpaceDN w:val="0"/>
        <w:bidi w:val="0"/>
        <w:adjustRightInd w:val="0"/>
        <w:snapToGrid w:val="0"/>
        <w:spacing w:before="108" w:line="224" w:lineRule="auto"/>
        <w:ind w:right="1178" w:rightChars="561"/>
        <w:jc w:val="center"/>
        <w:textAlignment w:val="baseline"/>
        <w:outlineLvl w:val="0"/>
        <w:rPr>
          <w:rFonts w:ascii="仿宋" w:hAnsi="仿宋" w:eastAsia="仿宋" w:cs="仿宋"/>
          <w:color w:val="auto"/>
          <w:sz w:val="32"/>
          <w:szCs w:val="32"/>
        </w:rPr>
      </w:pPr>
      <w:r>
        <w:rPr>
          <w:rFonts w:hint="eastAsia" w:ascii="仿宋" w:hAnsi="仿宋" w:eastAsia="仿宋" w:cs="仿宋"/>
          <w:b/>
          <w:bCs/>
          <w:color w:val="auto"/>
          <w:spacing w:val="-8"/>
          <w:sz w:val="32"/>
          <w:szCs w:val="32"/>
          <w:lang w:val="en-US" w:eastAsia="zh-CN"/>
        </w:rPr>
        <w:t>xxxxx</w:t>
      </w:r>
      <w:r>
        <w:rPr>
          <w:rFonts w:ascii="仿宋" w:hAnsi="仿宋" w:eastAsia="仿宋" w:cs="仿宋"/>
          <w:b/>
          <w:bCs/>
          <w:color w:val="auto"/>
          <w:spacing w:val="-8"/>
          <w:sz w:val="32"/>
          <w:szCs w:val="32"/>
        </w:rPr>
        <w:t>劳务分包合同</w:t>
      </w:r>
      <w:bookmarkEnd w:id="0"/>
    </w:p>
    <w:p w14:paraId="1F2138D0">
      <w:pPr>
        <w:pStyle w:val="5"/>
        <w:keepNext w:val="0"/>
        <w:keepLines w:val="0"/>
        <w:pageBreakBefore w:val="0"/>
        <w:widowControl w:val="0"/>
        <w:overflowPunct/>
        <w:bidi w:val="0"/>
        <w:spacing w:line="259" w:lineRule="auto"/>
        <w:rPr>
          <w:color w:val="auto"/>
        </w:rPr>
      </w:pPr>
    </w:p>
    <w:p w14:paraId="65EB1BEB">
      <w:pPr>
        <w:pStyle w:val="5"/>
        <w:keepNext w:val="0"/>
        <w:keepLines w:val="0"/>
        <w:pageBreakBefore w:val="0"/>
        <w:widowControl w:val="0"/>
        <w:overflowPunct/>
        <w:bidi w:val="0"/>
        <w:spacing w:line="259" w:lineRule="auto"/>
        <w:rPr>
          <w:color w:val="auto"/>
        </w:rPr>
      </w:pPr>
    </w:p>
    <w:p w14:paraId="0066047C">
      <w:pPr>
        <w:pStyle w:val="5"/>
        <w:keepNext w:val="0"/>
        <w:keepLines w:val="0"/>
        <w:pageBreakBefore w:val="0"/>
        <w:widowControl w:val="0"/>
        <w:overflowPunct/>
        <w:bidi w:val="0"/>
        <w:spacing w:line="260" w:lineRule="auto"/>
        <w:rPr>
          <w:color w:val="auto"/>
        </w:rPr>
      </w:pPr>
    </w:p>
    <w:p w14:paraId="66489CA4">
      <w:pPr>
        <w:keepNext w:val="0"/>
        <w:keepLines w:val="0"/>
        <w:pageBreakBefore w:val="0"/>
        <w:widowControl w:val="0"/>
        <w:overflowPunct/>
        <w:bidi w:val="0"/>
        <w:spacing w:before="94" w:line="224" w:lineRule="auto"/>
        <w:ind w:firstLine="1884" w:firstLineChars="600"/>
        <w:jc w:val="left"/>
        <w:rPr>
          <w:rFonts w:hint="eastAsia" w:ascii="仿宋" w:hAnsi="仿宋" w:eastAsia="仿宋" w:cs="仿宋"/>
          <w:color w:val="auto"/>
          <w:sz w:val="32"/>
          <w:szCs w:val="32"/>
        </w:rPr>
      </w:pPr>
      <w:r>
        <w:rPr>
          <w:rFonts w:hint="eastAsia" w:ascii="仿宋" w:hAnsi="仿宋" w:eastAsia="仿宋" w:cs="仿宋"/>
          <w:color w:val="auto"/>
          <w:spacing w:val="-3"/>
          <w:sz w:val="32"/>
          <w:szCs w:val="32"/>
        </w:rPr>
        <w:t>(合同编号：</w:t>
      </w:r>
      <w:r>
        <w:rPr>
          <w:rFonts w:hint="eastAsia" w:ascii="仿宋" w:hAnsi="仿宋" w:eastAsia="仿宋" w:cs="仿宋"/>
          <w:color w:val="auto"/>
          <w:spacing w:val="-3"/>
          <w:sz w:val="32"/>
          <w:szCs w:val="32"/>
          <w:u w:val="single"/>
          <w:lang w:val="en-US" w:eastAsia="zh-CN"/>
        </w:rPr>
        <w:t>xxxxx</w:t>
      </w:r>
      <w:r>
        <w:rPr>
          <w:rFonts w:hint="eastAsia" w:ascii="仿宋" w:hAnsi="仿宋" w:eastAsia="仿宋" w:cs="仿宋"/>
          <w:color w:val="auto"/>
          <w:spacing w:val="-3"/>
          <w:sz w:val="32"/>
          <w:szCs w:val="32"/>
        </w:rPr>
        <w:t>)</w:t>
      </w:r>
    </w:p>
    <w:p w14:paraId="7A7C60B2">
      <w:pPr>
        <w:pStyle w:val="5"/>
        <w:keepNext w:val="0"/>
        <w:keepLines w:val="0"/>
        <w:pageBreakBefore w:val="0"/>
        <w:widowControl w:val="0"/>
        <w:overflowPunct/>
        <w:bidi w:val="0"/>
        <w:spacing w:line="245" w:lineRule="auto"/>
        <w:rPr>
          <w:color w:val="FF0000"/>
        </w:rPr>
      </w:pPr>
    </w:p>
    <w:p w14:paraId="526E55F0">
      <w:pPr>
        <w:pStyle w:val="5"/>
        <w:keepNext w:val="0"/>
        <w:keepLines w:val="0"/>
        <w:pageBreakBefore w:val="0"/>
        <w:widowControl w:val="0"/>
        <w:overflowPunct/>
        <w:bidi w:val="0"/>
        <w:spacing w:line="245" w:lineRule="auto"/>
        <w:rPr>
          <w:color w:val="FF0000"/>
        </w:rPr>
      </w:pPr>
    </w:p>
    <w:p w14:paraId="422ABBC0">
      <w:pPr>
        <w:pStyle w:val="5"/>
        <w:keepNext w:val="0"/>
        <w:keepLines w:val="0"/>
        <w:pageBreakBefore w:val="0"/>
        <w:widowControl w:val="0"/>
        <w:overflowPunct/>
        <w:bidi w:val="0"/>
        <w:spacing w:line="245" w:lineRule="auto"/>
        <w:rPr>
          <w:color w:val="FF0000"/>
        </w:rPr>
      </w:pPr>
    </w:p>
    <w:p w14:paraId="5C13B68A">
      <w:pPr>
        <w:pStyle w:val="5"/>
        <w:keepNext w:val="0"/>
        <w:keepLines w:val="0"/>
        <w:pageBreakBefore w:val="0"/>
        <w:widowControl w:val="0"/>
        <w:overflowPunct/>
        <w:bidi w:val="0"/>
        <w:spacing w:line="245" w:lineRule="auto"/>
        <w:rPr>
          <w:color w:val="FF0000"/>
        </w:rPr>
      </w:pPr>
    </w:p>
    <w:p w14:paraId="2C3F6F6C">
      <w:pPr>
        <w:pStyle w:val="5"/>
        <w:keepNext w:val="0"/>
        <w:keepLines w:val="0"/>
        <w:pageBreakBefore w:val="0"/>
        <w:widowControl w:val="0"/>
        <w:overflowPunct/>
        <w:bidi w:val="0"/>
        <w:spacing w:line="245" w:lineRule="auto"/>
        <w:rPr>
          <w:color w:val="FF0000"/>
        </w:rPr>
      </w:pPr>
    </w:p>
    <w:p w14:paraId="5664769A">
      <w:pPr>
        <w:pStyle w:val="5"/>
        <w:keepNext w:val="0"/>
        <w:keepLines w:val="0"/>
        <w:pageBreakBefore w:val="0"/>
        <w:widowControl w:val="0"/>
        <w:overflowPunct/>
        <w:bidi w:val="0"/>
        <w:spacing w:line="245" w:lineRule="auto"/>
        <w:ind w:right="1399" w:rightChars="666"/>
        <w:rPr>
          <w:color w:val="FF0000"/>
        </w:rPr>
      </w:pPr>
    </w:p>
    <w:p w14:paraId="0DD3F3AB">
      <w:pPr>
        <w:pStyle w:val="5"/>
        <w:keepNext w:val="0"/>
        <w:keepLines w:val="0"/>
        <w:pageBreakBefore w:val="0"/>
        <w:widowControl w:val="0"/>
        <w:overflowPunct/>
        <w:bidi w:val="0"/>
        <w:spacing w:line="245" w:lineRule="auto"/>
        <w:rPr>
          <w:color w:val="FF0000"/>
        </w:rPr>
      </w:pPr>
    </w:p>
    <w:p w14:paraId="6CCA4018">
      <w:pPr>
        <w:pStyle w:val="5"/>
        <w:keepNext w:val="0"/>
        <w:keepLines w:val="0"/>
        <w:pageBreakBefore w:val="0"/>
        <w:widowControl w:val="0"/>
        <w:overflowPunct/>
        <w:bidi w:val="0"/>
        <w:spacing w:line="245" w:lineRule="auto"/>
        <w:rPr>
          <w:color w:val="FF0000"/>
        </w:rPr>
      </w:pPr>
    </w:p>
    <w:p w14:paraId="691FE311">
      <w:pPr>
        <w:pStyle w:val="5"/>
        <w:keepNext w:val="0"/>
        <w:keepLines w:val="0"/>
        <w:pageBreakBefore w:val="0"/>
        <w:widowControl w:val="0"/>
        <w:overflowPunct/>
        <w:bidi w:val="0"/>
        <w:spacing w:line="245" w:lineRule="auto"/>
        <w:rPr>
          <w:color w:val="FF0000"/>
        </w:rPr>
      </w:pPr>
    </w:p>
    <w:p w14:paraId="31E736A1">
      <w:pPr>
        <w:pStyle w:val="5"/>
        <w:keepNext w:val="0"/>
        <w:keepLines w:val="0"/>
        <w:pageBreakBefore w:val="0"/>
        <w:widowControl w:val="0"/>
        <w:overflowPunct/>
        <w:bidi w:val="0"/>
        <w:spacing w:line="246" w:lineRule="auto"/>
        <w:rPr>
          <w:color w:val="FF0000"/>
        </w:rPr>
      </w:pPr>
    </w:p>
    <w:p w14:paraId="304CE11D">
      <w:pPr>
        <w:pStyle w:val="5"/>
        <w:keepNext w:val="0"/>
        <w:keepLines w:val="0"/>
        <w:pageBreakBefore w:val="0"/>
        <w:widowControl w:val="0"/>
        <w:overflowPunct/>
        <w:bidi w:val="0"/>
        <w:spacing w:line="246" w:lineRule="auto"/>
        <w:rPr>
          <w:color w:val="FF0000"/>
        </w:rPr>
      </w:pPr>
    </w:p>
    <w:p w14:paraId="1C592F07">
      <w:pPr>
        <w:pStyle w:val="5"/>
        <w:keepNext w:val="0"/>
        <w:keepLines w:val="0"/>
        <w:pageBreakBefore w:val="0"/>
        <w:widowControl w:val="0"/>
        <w:overflowPunct/>
        <w:bidi w:val="0"/>
        <w:spacing w:line="246" w:lineRule="auto"/>
        <w:rPr>
          <w:color w:val="FF0000"/>
        </w:rPr>
      </w:pPr>
    </w:p>
    <w:p w14:paraId="2351B687">
      <w:pPr>
        <w:pStyle w:val="5"/>
        <w:keepNext w:val="0"/>
        <w:keepLines w:val="0"/>
        <w:pageBreakBefore w:val="0"/>
        <w:widowControl w:val="0"/>
        <w:overflowPunct/>
        <w:bidi w:val="0"/>
        <w:spacing w:line="246" w:lineRule="auto"/>
        <w:rPr>
          <w:color w:val="FF0000"/>
        </w:rPr>
      </w:pPr>
    </w:p>
    <w:p w14:paraId="64A4192A">
      <w:pPr>
        <w:pStyle w:val="5"/>
        <w:keepNext w:val="0"/>
        <w:keepLines w:val="0"/>
        <w:pageBreakBefore w:val="0"/>
        <w:widowControl w:val="0"/>
        <w:overflowPunct/>
        <w:bidi w:val="0"/>
        <w:spacing w:line="246" w:lineRule="auto"/>
        <w:rPr>
          <w:color w:val="FF0000"/>
        </w:rPr>
      </w:pPr>
    </w:p>
    <w:p w14:paraId="7D2EBD21">
      <w:pPr>
        <w:pStyle w:val="5"/>
        <w:keepNext w:val="0"/>
        <w:keepLines w:val="0"/>
        <w:pageBreakBefore w:val="0"/>
        <w:widowControl w:val="0"/>
        <w:overflowPunct/>
        <w:bidi w:val="0"/>
        <w:spacing w:line="246" w:lineRule="auto"/>
        <w:rPr>
          <w:color w:val="FF0000"/>
        </w:rPr>
      </w:pPr>
    </w:p>
    <w:p w14:paraId="465C83DA">
      <w:pPr>
        <w:pStyle w:val="5"/>
        <w:keepNext w:val="0"/>
        <w:keepLines w:val="0"/>
        <w:pageBreakBefore w:val="0"/>
        <w:widowControl w:val="0"/>
        <w:overflowPunct/>
        <w:bidi w:val="0"/>
        <w:spacing w:line="246" w:lineRule="auto"/>
        <w:rPr>
          <w:color w:val="FF0000"/>
        </w:rPr>
      </w:pPr>
    </w:p>
    <w:p w14:paraId="69573BD5">
      <w:pPr>
        <w:pStyle w:val="5"/>
        <w:keepNext w:val="0"/>
        <w:keepLines w:val="0"/>
        <w:pageBreakBefore w:val="0"/>
        <w:widowControl w:val="0"/>
        <w:overflowPunct/>
        <w:bidi w:val="0"/>
        <w:spacing w:line="246" w:lineRule="auto"/>
        <w:rPr>
          <w:color w:val="FF0000"/>
        </w:rPr>
      </w:pPr>
    </w:p>
    <w:p w14:paraId="22CDF399">
      <w:pPr>
        <w:pStyle w:val="5"/>
        <w:keepNext w:val="0"/>
        <w:keepLines w:val="0"/>
        <w:pageBreakBefore w:val="0"/>
        <w:widowControl w:val="0"/>
        <w:overflowPunct/>
        <w:bidi w:val="0"/>
        <w:spacing w:line="246" w:lineRule="auto"/>
        <w:rPr>
          <w:color w:val="FF0000"/>
        </w:rPr>
      </w:pPr>
    </w:p>
    <w:p w14:paraId="3DEA6C1F">
      <w:pPr>
        <w:pStyle w:val="5"/>
        <w:keepNext w:val="0"/>
        <w:keepLines w:val="0"/>
        <w:pageBreakBefore w:val="0"/>
        <w:widowControl w:val="0"/>
        <w:overflowPunct/>
        <w:bidi w:val="0"/>
        <w:spacing w:line="246" w:lineRule="auto"/>
        <w:rPr>
          <w:color w:val="FF0000"/>
        </w:rPr>
      </w:pPr>
    </w:p>
    <w:p w14:paraId="0AA00FD5">
      <w:pPr>
        <w:pStyle w:val="5"/>
        <w:keepNext w:val="0"/>
        <w:keepLines w:val="0"/>
        <w:pageBreakBefore w:val="0"/>
        <w:widowControl w:val="0"/>
        <w:overflowPunct/>
        <w:bidi w:val="0"/>
        <w:spacing w:line="246" w:lineRule="auto"/>
        <w:rPr>
          <w:color w:val="FF0000"/>
        </w:rPr>
      </w:pPr>
    </w:p>
    <w:p w14:paraId="534ADC35">
      <w:pPr>
        <w:pStyle w:val="5"/>
        <w:keepNext w:val="0"/>
        <w:keepLines w:val="0"/>
        <w:pageBreakBefore w:val="0"/>
        <w:widowControl w:val="0"/>
        <w:overflowPunct/>
        <w:bidi w:val="0"/>
        <w:spacing w:line="246" w:lineRule="auto"/>
        <w:rPr>
          <w:color w:val="FF0000"/>
        </w:rPr>
      </w:pPr>
    </w:p>
    <w:p w14:paraId="4424D937">
      <w:pPr>
        <w:pStyle w:val="5"/>
        <w:keepNext w:val="0"/>
        <w:keepLines w:val="0"/>
        <w:pageBreakBefore w:val="0"/>
        <w:widowControl w:val="0"/>
        <w:overflowPunct/>
        <w:bidi w:val="0"/>
        <w:spacing w:line="246" w:lineRule="auto"/>
        <w:rPr>
          <w:color w:val="FF0000"/>
        </w:rPr>
      </w:pPr>
    </w:p>
    <w:p w14:paraId="57A1EF85">
      <w:pPr>
        <w:pStyle w:val="5"/>
        <w:keepNext w:val="0"/>
        <w:keepLines w:val="0"/>
        <w:pageBreakBefore w:val="0"/>
        <w:widowControl w:val="0"/>
        <w:overflowPunct/>
        <w:bidi w:val="0"/>
        <w:spacing w:line="246" w:lineRule="auto"/>
        <w:rPr>
          <w:color w:val="FF0000"/>
        </w:rPr>
      </w:pPr>
    </w:p>
    <w:p w14:paraId="22CDDF70">
      <w:pPr>
        <w:pStyle w:val="5"/>
        <w:keepNext w:val="0"/>
        <w:keepLines w:val="0"/>
        <w:pageBreakBefore w:val="0"/>
        <w:widowControl w:val="0"/>
        <w:overflowPunct/>
        <w:bidi w:val="0"/>
        <w:spacing w:line="246" w:lineRule="auto"/>
        <w:rPr>
          <w:color w:val="FF0000"/>
        </w:rPr>
      </w:pPr>
    </w:p>
    <w:p w14:paraId="45243529">
      <w:pPr>
        <w:pStyle w:val="5"/>
        <w:keepNext w:val="0"/>
        <w:keepLines w:val="0"/>
        <w:pageBreakBefore w:val="0"/>
        <w:widowControl w:val="0"/>
        <w:overflowPunct/>
        <w:bidi w:val="0"/>
        <w:spacing w:line="246" w:lineRule="auto"/>
        <w:rPr>
          <w:color w:val="FF0000"/>
        </w:rPr>
      </w:pPr>
    </w:p>
    <w:p w14:paraId="0A27DDF2">
      <w:pPr>
        <w:pStyle w:val="5"/>
        <w:keepNext w:val="0"/>
        <w:keepLines w:val="0"/>
        <w:pageBreakBefore w:val="0"/>
        <w:widowControl w:val="0"/>
        <w:overflowPunct/>
        <w:bidi w:val="0"/>
        <w:spacing w:line="246" w:lineRule="auto"/>
        <w:rPr>
          <w:color w:val="auto"/>
        </w:rPr>
      </w:pPr>
    </w:p>
    <w:p w14:paraId="598A3400">
      <w:pPr>
        <w:keepNext w:val="0"/>
        <w:keepLines w:val="0"/>
        <w:pageBreakBefore w:val="0"/>
        <w:widowControl w:val="0"/>
        <w:overflowPunct/>
        <w:bidi w:val="0"/>
        <w:spacing w:before="107" w:line="222" w:lineRule="auto"/>
        <w:ind w:left="1823"/>
        <w:rPr>
          <w:rFonts w:ascii="仿宋" w:hAnsi="仿宋" w:eastAsia="仿宋" w:cs="仿宋"/>
          <w:color w:val="auto"/>
          <w:sz w:val="32"/>
          <w:szCs w:val="32"/>
        </w:rPr>
      </w:pPr>
      <w:r>
        <w:rPr>
          <w:rFonts w:ascii="仿宋" w:hAnsi="仿宋" w:eastAsia="仿宋" w:cs="仿宋"/>
          <w:b/>
          <w:bCs/>
          <w:color w:val="auto"/>
          <w:spacing w:val="-12"/>
          <w:sz w:val="32"/>
          <w:szCs w:val="32"/>
        </w:rPr>
        <w:t>甲方：</w:t>
      </w:r>
      <w:r>
        <w:rPr>
          <w:rFonts w:hint="eastAsia" w:ascii="仿宋" w:hAnsi="仿宋" w:eastAsia="仿宋" w:cs="仿宋"/>
          <w:b/>
          <w:bCs/>
          <w:color w:val="auto"/>
          <w:spacing w:val="-12"/>
          <w:sz w:val="32"/>
          <w:szCs w:val="32"/>
          <w:u w:val="none"/>
          <w:lang w:val="en-US" w:eastAsia="zh-CN"/>
        </w:rPr>
        <w:t>四川振西建设</w:t>
      </w:r>
      <w:r>
        <w:rPr>
          <w:rFonts w:hint="eastAsia" w:ascii="仿宋" w:hAnsi="仿宋" w:eastAsia="仿宋" w:cs="仿宋"/>
          <w:b/>
          <w:bCs/>
          <w:color w:val="auto"/>
          <w:spacing w:val="-12"/>
          <w:sz w:val="32"/>
          <w:szCs w:val="32"/>
          <w:u w:val="none"/>
        </w:rPr>
        <w:t>有限公司</w:t>
      </w:r>
    </w:p>
    <w:p w14:paraId="74150846">
      <w:pPr>
        <w:keepNext w:val="0"/>
        <w:keepLines w:val="0"/>
        <w:pageBreakBefore w:val="0"/>
        <w:widowControl w:val="0"/>
        <w:overflowPunct/>
        <w:bidi w:val="0"/>
        <w:spacing w:before="253" w:line="222" w:lineRule="auto"/>
        <w:ind w:left="1843"/>
        <w:rPr>
          <w:rFonts w:hint="eastAsia" w:ascii="仿宋" w:hAnsi="仿宋" w:eastAsia="仿宋" w:cs="仿宋"/>
          <w:color w:val="auto"/>
          <w:sz w:val="32"/>
          <w:szCs w:val="32"/>
          <w:lang w:val="en-US" w:eastAsia="zh-CN"/>
        </w:rPr>
      </w:pPr>
      <w:r>
        <w:rPr>
          <w:rFonts w:ascii="仿宋" w:hAnsi="仿宋" w:eastAsia="仿宋" w:cs="仿宋"/>
          <w:b/>
          <w:bCs/>
          <w:color w:val="auto"/>
          <w:spacing w:val="-14"/>
          <w:sz w:val="32"/>
          <w:szCs w:val="32"/>
        </w:rPr>
        <w:t>乙方：</w:t>
      </w:r>
      <w:r>
        <w:rPr>
          <w:rFonts w:hint="eastAsia" w:ascii="仿宋" w:hAnsi="仿宋" w:eastAsia="仿宋" w:cs="仿宋"/>
          <w:b/>
          <w:bCs/>
          <w:color w:val="auto"/>
          <w:spacing w:val="-14"/>
          <w:sz w:val="32"/>
          <w:szCs w:val="32"/>
          <w:lang w:val="en-US" w:eastAsia="zh-CN"/>
        </w:rPr>
        <w:t xml:space="preserve">xxxx </w:t>
      </w:r>
    </w:p>
    <w:p w14:paraId="26F269D3">
      <w:pPr>
        <w:pStyle w:val="5"/>
        <w:keepNext w:val="0"/>
        <w:keepLines w:val="0"/>
        <w:pageBreakBefore w:val="0"/>
        <w:widowControl w:val="0"/>
        <w:overflowPunct/>
        <w:bidi w:val="0"/>
        <w:spacing w:line="286" w:lineRule="auto"/>
        <w:rPr>
          <w:color w:val="auto"/>
        </w:rPr>
      </w:pPr>
    </w:p>
    <w:p w14:paraId="7DD4D3EC">
      <w:pPr>
        <w:pStyle w:val="5"/>
        <w:keepNext w:val="0"/>
        <w:keepLines w:val="0"/>
        <w:pageBreakBefore w:val="0"/>
        <w:widowControl w:val="0"/>
        <w:overflowPunct/>
        <w:bidi w:val="0"/>
        <w:spacing w:line="286" w:lineRule="auto"/>
        <w:rPr>
          <w:color w:val="auto"/>
        </w:rPr>
      </w:pPr>
    </w:p>
    <w:p w14:paraId="31F5420D">
      <w:pPr>
        <w:pStyle w:val="5"/>
        <w:keepNext w:val="0"/>
        <w:keepLines w:val="0"/>
        <w:pageBreakBefore w:val="0"/>
        <w:widowControl w:val="0"/>
        <w:overflowPunct/>
        <w:bidi w:val="0"/>
        <w:spacing w:line="286" w:lineRule="auto"/>
        <w:rPr>
          <w:color w:val="auto"/>
        </w:rPr>
      </w:pPr>
    </w:p>
    <w:p w14:paraId="36211172">
      <w:pPr>
        <w:pStyle w:val="5"/>
        <w:keepNext w:val="0"/>
        <w:keepLines w:val="0"/>
        <w:pageBreakBefore w:val="0"/>
        <w:widowControl w:val="0"/>
        <w:overflowPunct/>
        <w:bidi w:val="0"/>
        <w:spacing w:line="287" w:lineRule="auto"/>
        <w:rPr>
          <w:color w:val="auto"/>
        </w:rPr>
      </w:pPr>
    </w:p>
    <w:p w14:paraId="5366E385">
      <w:pPr>
        <w:pStyle w:val="5"/>
        <w:keepNext w:val="0"/>
        <w:keepLines w:val="0"/>
        <w:pageBreakBefore w:val="0"/>
        <w:widowControl w:val="0"/>
        <w:overflowPunct/>
        <w:bidi w:val="0"/>
        <w:spacing w:line="287" w:lineRule="auto"/>
        <w:rPr>
          <w:color w:val="auto"/>
        </w:rPr>
      </w:pPr>
    </w:p>
    <w:p w14:paraId="77E7A9AF">
      <w:pPr>
        <w:widowControl w:val="0"/>
        <w:kinsoku/>
        <w:autoSpaceDE/>
        <w:autoSpaceDN/>
        <w:adjustRightInd w:val="0"/>
        <w:snapToGrid w:val="0"/>
        <w:spacing w:afterLines="0" w:line="360" w:lineRule="auto"/>
        <w:ind w:leftChars="600" w:right="218" w:rightChars="104" w:firstLine="1920" w:firstLineChars="600"/>
        <w:jc w:val="both"/>
        <w:textAlignment w:val="auto"/>
        <w:rPr>
          <w:rFonts w:hint="eastAsia" w:ascii="仿宋" w:hAnsi="仿宋" w:eastAsia="仿宋" w:cs="仿宋_GB2312"/>
          <w:snapToGrid/>
          <w:color w:val="auto"/>
          <w:kern w:val="2"/>
          <w:sz w:val="32"/>
          <w:szCs w:val="28"/>
          <w:highlight w:val="none"/>
          <w:lang w:val="en-US" w:eastAsia="zh-CN"/>
        </w:rPr>
      </w:pPr>
      <w:bookmarkStart w:id="1" w:name="_Toc31068"/>
      <w:r>
        <w:rPr>
          <w:rFonts w:hint="eastAsia" w:ascii="仿宋" w:hAnsi="仿宋" w:eastAsia="仿宋" w:cs="仿宋_GB2312"/>
          <w:snapToGrid/>
          <w:color w:val="auto"/>
          <w:kern w:val="2"/>
          <w:sz w:val="32"/>
          <w:szCs w:val="28"/>
          <w:highlight w:val="none"/>
          <w:lang w:val="en-US" w:eastAsia="zh-CN"/>
        </w:rPr>
        <w:t>2026年x月 x 日</w:t>
      </w:r>
      <w:bookmarkEnd w:id="1"/>
    </w:p>
    <w:p w14:paraId="35752776">
      <w:pPr>
        <w:keepNext w:val="0"/>
        <w:keepLines w:val="0"/>
        <w:pageBreakBefore w:val="0"/>
        <w:widowControl w:val="0"/>
        <w:overflowPunct/>
        <w:bidi w:val="0"/>
        <w:spacing w:line="222" w:lineRule="auto"/>
        <w:rPr>
          <w:rFonts w:ascii="仿宋" w:hAnsi="仿宋" w:eastAsia="仿宋" w:cs="仿宋"/>
          <w:color w:val="FF0000"/>
          <w:sz w:val="26"/>
          <w:szCs w:val="26"/>
        </w:rPr>
        <w:sectPr>
          <w:pgSz w:w="12210" w:h="17040"/>
          <w:pgMar w:top="1446" w:right="919" w:bottom="0" w:left="1831" w:header="0" w:footer="0" w:gutter="0"/>
          <w:cols w:space="0" w:num="1"/>
          <w:rtlGutter w:val="0"/>
          <w:docGrid w:linePitch="0" w:charSpace="0"/>
        </w:sectPr>
      </w:pPr>
    </w:p>
    <w:sdt>
      <w:sdtPr>
        <w:rPr>
          <w:rFonts w:ascii="宋体" w:hAnsi="宋体" w:eastAsia="宋体" w:cs="Arial"/>
          <w:snapToGrid w:val="0"/>
          <w:color w:val="000000"/>
          <w:kern w:val="0"/>
          <w:sz w:val="32"/>
          <w:szCs w:val="32"/>
          <w:lang w:val="en-US" w:eastAsia="en-US" w:bidi="ar-SA"/>
        </w:rPr>
        <w:id w:val="147452719"/>
        <w15:color w:val="DBDBDB"/>
        <w:docPartObj>
          <w:docPartGallery w:val="Table of Contents"/>
          <w:docPartUnique/>
        </w:docPartObj>
      </w:sdtPr>
      <w:sdtEndPr>
        <w:rPr>
          <w:rFonts w:ascii="Arial" w:hAnsi="Arial" w:eastAsia="黑体" w:cs="Arial"/>
          <w:b/>
          <w:bCs/>
          <w:snapToGrid w:val="0"/>
          <w:color w:val="000000"/>
          <w:kern w:val="0"/>
          <w:sz w:val="28"/>
          <w:szCs w:val="28"/>
          <w:lang w:val="en-US" w:eastAsia="en-US" w:bidi="ar-SA"/>
        </w:rPr>
      </w:sdtEndPr>
      <w:sdtContent>
        <w:p w14:paraId="5CEAFF70">
          <w:pPr>
            <w:keepNext w:val="0"/>
            <w:keepLines w:val="0"/>
            <w:pageBreakBefore w:val="0"/>
            <w:widowControl w:val="0"/>
            <w:overflowPunct/>
            <w:bidi w:val="0"/>
            <w:spacing w:before="0" w:beforeLines="0" w:after="0" w:afterLines="0" w:line="240" w:lineRule="auto"/>
            <w:ind w:left="0" w:leftChars="0" w:right="0" w:rightChars="0" w:firstLine="0" w:firstLineChars="0"/>
            <w:jc w:val="center"/>
            <w:rPr>
              <w:sz w:val="32"/>
              <w:szCs w:val="32"/>
            </w:rPr>
          </w:pPr>
          <w:r>
            <w:rPr>
              <w:rFonts w:ascii="宋体" w:hAnsi="宋体" w:eastAsia="宋体"/>
              <w:sz w:val="32"/>
              <w:szCs w:val="32"/>
            </w:rPr>
            <w:t>目录</w:t>
          </w:r>
        </w:p>
        <w:p w14:paraId="73A95127">
          <w:pPr>
            <w:pStyle w:val="19"/>
            <w:keepNext w:val="0"/>
            <w:keepLines w:val="0"/>
            <w:pageBreakBefore w:val="0"/>
            <w:widowControl w:val="0"/>
            <w:tabs>
              <w:tab w:val="right" w:leader="dot" w:pos="8391"/>
            </w:tabs>
            <w:overflowPunct/>
            <w:bidi w:val="0"/>
          </w:pPr>
          <w:r>
            <w:fldChar w:fldCharType="begin"/>
          </w:r>
          <w:r>
            <w:instrText xml:space="preserve">TOC \o "1-1" \h \u </w:instrText>
          </w:r>
          <w:r>
            <w:fldChar w:fldCharType="separate"/>
          </w:r>
        </w:p>
        <w:p w14:paraId="17469FB5">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_Toc16608 </w:instrText>
          </w:r>
          <w:r>
            <w:rPr>
              <w:sz w:val="24"/>
              <w:szCs w:val="24"/>
            </w:rPr>
            <w:fldChar w:fldCharType="separate"/>
          </w:r>
          <w:r>
            <w:rPr>
              <w:rFonts w:ascii="仿宋" w:hAnsi="仿宋" w:eastAsia="仿宋" w:cs="仿宋"/>
              <w:bCs/>
              <w:spacing w:val="-10"/>
              <w:sz w:val="24"/>
              <w:szCs w:val="24"/>
            </w:rPr>
            <w:t>一、项目概况</w:t>
          </w:r>
          <w:r>
            <w:rPr>
              <w:sz w:val="24"/>
              <w:szCs w:val="24"/>
            </w:rPr>
            <w:tab/>
          </w:r>
          <w:r>
            <w:rPr>
              <w:sz w:val="24"/>
              <w:szCs w:val="24"/>
            </w:rPr>
            <w:fldChar w:fldCharType="begin"/>
          </w:r>
          <w:r>
            <w:rPr>
              <w:sz w:val="24"/>
              <w:szCs w:val="24"/>
            </w:rPr>
            <w:instrText xml:space="preserve"> PAGEREF _Toc16608 \h </w:instrText>
          </w:r>
          <w:r>
            <w:rPr>
              <w:sz w:val="24"/>
              <w:szCs w:val="24"/>
            </w:rPr>
            <w:fldChar w:fldCharType="separate"/>
          </w:r>
          <w:r>
            <w:rPr>
              <w:sz w:val="24"/>
              <w:szCs w:val="24"/>
            </w:rPr>
            <w:t>2</w:t>
          </w:r>
          <w:r>
            <w:rPr>
              <w:sz w:val="24"/>
              <w:szCs w:val="24"/>
            </w:rPr>
            <w:fldChar w:fldCharType="end"/>
          </w:r>
          <w:r>
            <w:rPr>
              <w:sz w:val="24"/>
              <w:szCs w:val="24"/>
            </w:rPr>
            <w:fldChar w:fldCharType="end"/>
          </w:r>
        </w:p>
        <w:p w14:paraId="34AC94FD">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_Toc9362 </w:instrText>
          </w:r>
          <w:r>
            <w:rPr>
              <w:sz w:val="24"/>
              <w:szCs w:val="24"/>
            </w:rPr>
            <w:fldChar w:fldCharType="separate"/>
          </w:r>
          <w:r>
            <w:rPr>
              <w:rFonts w:ascii="仿宋" w:hAnsi="仿宋" w:eastAsia="仿宋" w:cs="仿宋"/>
              <w:bCs/>
              <w:spacing w:val="-12"/>
              <w:sz w:val="24"/>
              <w:szCs w:val="24"/>
            </w:rPr>
            <w:t>二、合同范围</w:t>
          </w:r>
          <w:r>
            <w:rPr>
              <w:sz w:val="24"/>
              <w:szCs w:val="24"/>
            </w:rPr>
            <w:tab/>
          </w:r>
          <w:r>
            <w:rPr>
              <w:sz w:val="24"/>
              <w:szCs w:val="24"/>
            </w:rPr>
            <w:fldChar w:fldCharType="begin"/>
          </w:r>
          <w:r>
            <w:rPr>
              <w:sz w:val="24"/>
              <w:szCs w:val="24"/>
            </w:rPr>
            <w:instrText xml:space="preserve"> PAGEREF _Toc9362 \h </w:instrText>
          </w:r>
          <w:r>
            <w:rPr>
              <w:sz w:val="24"/>
              <w:szCs w:val="24"/>
            </w:rPr>
            <w:fldChar w:fldCharType="separate"/>
          </w:r>
          <w:r>
            <w:rPr>
              <w:sz w:val="24"/>
              <w:szCs w:val="24"/>
            </w:rPr>
            <w:t>2</w:t>
          </w:r>
          <w:r>
            <w:rPr>
              <w:sz w:val="24"/>
              <w:szCs w:val="24"/>
            </w:rPr>
            <w:fldChar w:fldCharType="end"/>
          </w:r>
          <w:r>
            <w:rPr>
              <w:sz w:val="24"/>
              <w:szCs w:val="24"/>
            </w:rPr>
            <w:fldChar w:fldCharType="end"/>
          </w:r>
        </w:p>
        <w:p w14:paraId="69DF05A7">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_Toc22615 </w:instrText>
          </w:r>
          <w:r>
            <w:rPr>
              <w:sz w:val="24"/>
              <w:szCs w:val="24"/>
            </w:rPr>
            <w:fldChar w:fldCharType="separate"/>
          </w:r>
          <w:r>
            <w:rPr>
              <w:rFonts w:ascii="仿宋" w:hAnsi="仿宋" w:eastAsia="仿宋" w:cs="仿宋"/>
              <w:bCs/>
              <w:spacing w:val="-13"/>
              <w:sz w:val="24"/>
              <w:szCs w:val="24"/>
            </w:rPr>
            <w:t>三、合同价款</w:t>
          </w:r>
          <w:r>
            <w:rPr>
              <w:sz w:val="24"/>
              <w:szCs w:val="24"/>
            </w:rPr>
            <w:tab/>
          </w:r>
          <w:r>
            <w:rPr>
              <w:sz w:val="24"/>
              <w:szCs w:val="24"/>
            </w:rPr>
            <w:fldChar w:fldCharType="begin"/>
          </w:r>
          <w:r>
            <w:rPr>
              <w:sz w:val="24"/>
              <w:szCs w:val="24"/>
            </w:rPr>
            <w:instrText xml:space="preserve"> PAGEREF _Toc22615 \h </w:instrText>
          </w:r>
          <w:r>
            <w:rPr>
              <w:sz w:val="24"/>
              <w:szCs w:val="24"/>
            </w:rPr>
            <w:fldChar w:fldCharType="separate"/>
          </w:r>
          <w:r>
            <w:rPr>
              <w:sz w:val="24"/>
              <w:szCs w:val="24"/>
            </w:rPr>
            <w:t>6</w:t>
          </w:r>
          <w:r>
            <w:rPr>
              <w:sz w:val="24"/>
              <w:szCs w:val="24"/>
            </w:rPr>
            <w:fldChar w:fldCharType="end"/>
          </w:r>
          <w:r>
            <w:rPr>
              <w:sz w:val="24"/>
              <w:szCs w:val="24"/>
            </w:rPr>
            <w:fldChar w:fldCharType="end"/>
          </w:r>
        </w:p>
        <w:p w14:paraId="1E02F6C7">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_Toc6186 </w:instrText>
          </w:r>
          <w:r>
            <w:rPr>
              <w:sz w:val="24"/>
              <w:szCs w:val="24"/>
            </w:rPr>
            <w:fldChar w:fldCharType="separate"/>
          </w:r>
          <w:r>
            <w:rPr>
              <w:rFonts w:ascii="仿宋" w:hAnsi="仿宋" w:eastAsia="仿宋" w:cs="仿宋"/>
              <w:bCs/>
              <w:spacing w:val="-12"/>
              <w:sz w:val="24"/>
              <w:szCs w:val="24"/>
            </w:rPr>
            <w:t>四、双方权利与义务</w:t>
          </w:r>
          <w:r>
            <w:rPr>
              <w:sz w:val="24"/>
              <w:szCs w:val="24"/>
            </w:rPr>
            <w:tab/>
          </w:r>
          <w:r>
            <w:rPr>
              <w:sz w:val="24"/>
              <w:szCs w:val="24"/>
            </w:rPr>
            <w:fldChar w:fldCharType="begin"/>
          </w:r>
          <w:r>
            <w:rPr>
              <w:sz w:val="24"/>
              <w:szCs w:val="24"/>
            </w:rPr>
            <w:instrText xml:space="preserve"> PAGEREF _Toc6186 \h </w:instrText>
          </w:r>
          <w:r>
            <w:rPr>
              <w:sz w:val="24"/>
              <w:szCs w:val="24"/>
            </w:rPr>
            <w:fldChar w:fldCharType="separate"/>
          </w:r>
          <w:r>
            <w:rPr>
              <w:sz w:val="24"/>
              <w:szCs w:val="24"/>
            </w:rPr>
            <w:t>8</w:t>
          </w:r>
          <w:r>
            <w:rPr>
              <w:sz w:val="24"/>
              <w:szCs w:val="24"/>
            </w:rPr>
            <w:fldChar w:fldCharType="end"/>
          </w:r>
          <w:r>
            <w:rPr>
              <w:sz w:val="24"/>
              <w:szCs w:val="24"/>
            </w:rPr>
            <w:fldChar w:fldCharType="end"/>
          </w:r>
        </w:p>
        <w:p w14:paraId="19EADE26">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_Toc8254 </w:instrText>
          </w:r>
          <w:r>
            <w:rPr>
              <w:sz w:val="24"/>
              <w:szCs w:val="24"/>
            </w:rPr>
            <w:fldChar w:fldCharType="separate"/>
          </w:r>
          <w:r>
            <w:rPr>
              <w:rFonts w:ascii="仿宋" w:hAnsi="仿宋" w:eastAsia="仿宋" w:cs="仿宋"/>
              <w:bCs/>
              <w:spacing w:val="-9"/>
              <w:sz w:val="24"/>
              <w:szCs w:val="24"/>
            </w:rPr>
            <w:t>五、施工辅助设施</w:t>
          </w:r>
          <w:r>
            <w:rPr>
              <w:sz w:val="24"/>
              <w:szCs w:val="24"/>
            </w:rPr>
            <w:tab/>
          </w:r>
          <w:r>
            <w:rPr>
              <w:sz w:val="24"/>
              <w:szCs w:val="24"/>
            </w:rPr>
            <w:fldChar w:fldCharType="begin"/>
          </w:r>
          <w:r>
            <w:rPr>
              <w:sz w:val="24"/>
              <w:szCs w:val="24"/>
            </w:rPr>
            <w:instrText xml:space="preserve"> PAGEREF _Toc8254 \h </w:instrText>
          </w:r>
          <w:r>
            <w:rPr>
              <w:sz w:val="24"/>
              <w:szCs w:val="24"/>
            </w:rPr>
            <w:fldChar w:fldCharType="separate"/>
          </w:r>
          <w:r>
            <w:rPr>
              <w:sz w:val="24"/>
              <w:szCs w:val="24"/>
            </w:rPr>
            <w:t>12</w:t>
          </w:r>
          <w:r>
            <w:rPr>
              <w:sz w:val="24"/>
              <w:szCs w:val="24"/>
            </w:rPr>
            <w:fldChar w:fldCharType="end"/>
          </w:r>
          <w:r>
            <w:rPr>
              <w:sz w:val="24"/>
              <w:szCs w:val="24"/>
            </w:rPr>
            <w:fldChar w:fldCharType="end"/>
          </w:r>
        </w:p>
        <w:p w14:paraId="10ADFFF1">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_Toc26255 </w:instrText>
          </w:r>
          <w:r>
            <w:rPr>
              <w:sz w:val="24"/>
              <w:szCs w:val="24"/>
            </w:rPr>
            <w:fldChar w:fldCharType="separate"/>
          </w:r>
          <w:r>
            <w:rPr>
              <w:rFonts w:ascii="仿宋" w:hAnsi="仿宋" w:eastAsia="仿宋" w:cs="仿宋"/>
              <w:bCs/>
              <w:spacing w:val="-23"/>
              <w:sz w:val="24"/>
              <w:szCs w:val="24"/>
            </w:rPr>
            <w:t>六</w:t>
          </w:r>
          <w:r>
            <w:rPr>
              <w:rFonts w:ascii="仿宋" w:hAnsi="仿宋" w:eastAsia="仿宋" w:cs="仿宋"/>
              <w:spacing w:val="-59"/>
              <w:sz w:val="24"/>
              <w:szCs w:val="24"/>
            </w:rPr>
            <w:t xml:space="preserve"> </w:t>
          </w:r>
          <w:r>
            <w:rPr>
              <w:rFonts w:ascii="仿宋" w:hAnsi="仿宋" w:eastAsia="仿宋" w:cs="仿宋"/>
              <w:bCs/>
              <w:spacing w:val="-23"/>
              <w:sz w:val="24"/>
              <w:szCs w:val="24"/>
            </w:rPr>
            <w:t>、材料供应</w:t>
          </w:r>
          <w:r>
            <w:rPr>
              <w:sz w:val="24"/>
              <w:szCs w:val="24"/>
            </w:rPr>
            <w:tab/>
          </w:r>
          <w:r>
            <w:rPr>
              <w:sz w:val="24"/>
              <w:szCs w:val="24"/>
            </w:rPr>
            <w:fldChar w:fldCharType="begin"/>
          </w:r>
          <w:r>
            <w:rPr>
              <w:sz w:val="24"/>
              <w:szCs w:val="24"/>
            </w:rPr>
            <w:instrText xml:space="preserve"> PAGEREF _Toc26255 \h </w:instrText>
          </w:r>
          <w:r>
            <w:rPr>
              <w:sz w:val="24"/>
              <w:szCs w:val="24"/>
            </w:rPr>
            <w:fldChar w:fldCharType="separate"/>
          </w:r>
          <w:r>
            <w:rPr>
              <w:sz w:val="24"/>
              <w:szCs w:val="24"/>
            </w:rPr>
            <w:t>12</w:t>
          </w:r>
          <w:r>
            <w:rPr>
              <w:sz w:val="24"/>
              <w:szCs w:val="24"/>
            </w:rPr>
            <w:fldChar w:fldCharType="end"/>
          </w:r>
          <w:r>
            <w:rPr>
              <w:sz w:val="24"/>
              <w:szCs w:val="24"/>
            </w:rPr>
            <w:fldChar w:fldCharType="end"/>
          </w:r>
        </w:p>
        <w:p w14:paraId="51F067BF">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_Toc6244 </w:instrText>
          </w:r>
          <w:r>
            <w:rPr>
              <w:sz w:val="24"/>
              <w:szCs w:val="24"/>
            </w:rPr>
            <w:fldChar w:fldCharType="separate"/>
          </w:r>
          <w:r>
            <w:rPr>
              <w:rFonts w:ascii="仿宋" w:hAnsi="仿宋" w:eastAsia="仿宋" w:cs="仿宋"/>
              <w:bCs/>
              <w:spacing w:val="-6"/>
              <w:sz w:val="24"/>
              <w:szCs w:val="24"/>
            </w:rPr>
            <w:t>七、施工设备</w:t>
          </w:r>
          <w:r>
            <w:rPr>
              <w:sz w:val="24"/>
              <w:szCs w:val="24"/>
            </w:rPr>
            <w:tab/>
          </w:r>
          <w:r>
            <w:rPr>
              <w:sz w:val="24"/>
              <w:szCs w:val="24"/>
            </w:rPr>
            <w:fldChar w:fldCharType="begin"/>
          </w:r>
          <w:r>
            <w:rPr>
              <w:sz w:val="24"/>
              <w:szCs w:val="24"/>
            </w:rPr>
            <w:instrText xml:space="preserve"> PAGEREF _Toc6244 \h </w:instrText>
          </w:r>
          <w:r>
            <w:rPr>
              <w:sz w:val="24"/>
              <w:szCs w:val="24"/>
            </w:rPr>
            <w:fldChar w:fldCharType="separate"/>
          </w:r>
          <w:r>
            <w:rPr>
              <w:sz w:val="24"/>
              <w:szCs w:val="24"/>
            </w:rPr>
            <w:t>13</w:t>
          </w:r>
          <w:r>
            <w:rPr>
              <w:sz w:val="24"/>
              <w:szCs w:val="24"/>
            </w:rPr>
            <w:fldChar w:fldCharType="end"/>
          </w:r>
          <w:r>
            <w:rPr>
              <w:sz w:val="24"/>
              <w:szCs w:val="24"/>
            </w:rPr>
            <w:fldChar w:fldCharType="end"/>
          </w:r>
        </w:p>
        <w:p w14:paraId="20050DD5">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_Toc21308 </w:instrText>
          </w:r>
          <w:r>
            <w:rPr>
              <w:sz w:val="24"/>
              <w:szCs w:val="24"/>
            </w:rPr>
            <w:fldChar w:fldCharType="separate"/>
          </w:r>
          <w:r>
            <w:rPr>
              <w:rFonts w:ascii="仿宋" w:hAnsi="仿宋" w:eastAsia="仿宋" w:cs="仿宋"/>
              <w:bCs/>
              <w:spacing w:val="-8"/>
              <w:sz w:val="24"/>
              <w:szCs w:val="24"/>
            </w:rPr>
            <w:t>八、质量要求</w:t>
          </w:r>
          <w:r>
            <w:rPr>
              <w:sz w:val="24"/>
              <w:szCs w:val="24"/>
            </w:rPr>
            <w:tab/>
          </w:r>
          <w:r>
            <w:rPr>
              <w:sz w:val="24"/>
              <w:szCs w:val="24"/>
            </w:rPr>
            <w:fldChar w:fldCharType="begin"/>
          </w:r>
          <w:r>
            <w:rPr>
              <w:sz w:val="24"/>
              <w:szCs w:val="24"/>
            </w:rPr>
            <w:instrText xml:space="preserve"> PAGEREF _Toc21308 \h </w:instrText>
          </w:r>
          <w:r>
            <w:rPr>
              <w:sz w:val="24"/>
              <w:szCs w:val="24"/>
            </w:rPr>
            <w:fldChar w:fldCharType="separate"/>
          </w:r>
          <w:r>
            <w:rPr>
              <w:sz w:val="24"/>
              <w:szCs w:val="24"/>
            </w:rPr>
            <w:t>14</w:t>
          </w:r>
          <w:r>
            <w:rPr>
              <w:sz w:val="24"/>
              <w:szCs w:val="24"/>
            </w:rPr>
            <w:fldChar w:fldCharType="end"/>
          </w:r>
          <w:r>
            <w:rPr>
              <w:sz w:val="24"/>
              <w:szCs w:val="24"/>
            </w:rPr>
            <w:fldChar w:fldCharType="end"/>
          </w:r>
        </w:p>
        <w:p w14:paraId="44445ED6">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_Toc21915 </w:instrText>
          </w:r>
          <w:r>
            <w:rPr>
              <w:sz w:val="24"/>
              <w:szCs w:val="24"/>
            </w:rPr>
            <w:fldChar w:fldCharType="separate"/>
          </w:r>
          <w:r>
            <w:rPr>
              <w:rFonts w:ascii="仿宋" w:hAnsi="仿宋" w:eastAsia="仿宋" w:cs="仿宋"/>
              <w:bCs/>
              <w:spacing w:val="-10"/>
              <w:sz w:val="24"/>
              <w:szCs w:val="24"/>
            </w:rPr>
            <w:t>九、安全生产与文明施工</w:t>
          </w:r>
          <w:r>
            <w:rPr>
              <w:sz w:val="24"/>
              <w:szCs w:val="24"/>
            </w:rPr>
            <w:tab/>
          </w:r>
          <w:r>
            <w:rPr>
              <w:sz w:val="24"/>
              <w:szCs w:val="24"/>
            </w:rPr>
            <w:fldChar w:fldCharType="begin"/>
          </w:r>
          <w:r>
            <w:rPr>
              <w:sz w:val="24"/>
              <w:szCs w:val="24"/>
            </w:rPr>
            <w:instrText xml:space="preserve"> PAGEREF _Toc21915 \h </w:instrText>
          </w:r>
          <w:r>
            <w:rPr>
              <w:sz w:val="24"/>
              <w:szCs w:val="24"/>
            </w:rPr>
            <w:fldChar w:fldCharType="separate"/>
          </w:r>
          <w:r>
            <w:rPr>
              <w:sz w:val="24"/>
              <w:szCs w:val="24"/>
            </w:rPr>
            <w:t>16</w:t>
          </w:r>
          <w:r>
            <w:rPr>
              <w:sz w:val="24"/>
              <w:szCs w:val="24"/>
            </w:rPr>
            <w:fldChar w:fldCharType="end"/>
          </w:r>
          <w:r>
            <w:rPr>
              <w:sz w:val="24"/>
              <w:szCs w:val="24"/>
            </w:rPr>
            <w:fldChar w:fldCharType="end"/>
          </w:r>
        </w:p>
        <w:p w14:paraId="036ED9E0">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_Toc2552 </w:instrText>
          </w:r>
          <w:r>
            <w:rPr>
              <w:sz w:val="24"/>
              <w:szCs w:val="24"/>
            </w:rPr>
            <w:fldChar w:fldCharType="separate"/>
          </w:r>
          <w:r>
            <w:rPr>
              <w:rFonts w:ascii="仿宋" w:hAnsi="仿宋" w:eastAsia="仿宋" w:cs="仿宋"/>
              <w:bCs/>
              <w:spacing w:val="-7"/>
              <w:sz w:val="24"/>
              <w:szCs w:val="24"/>
            </w:rPr>
            <w:t>十、职业健康与环境保护</w:t>
          </w:r>
          <w:r>
            <w:rPr>
              <w:sz w:val="24"/>
              <w:szCs w:val="24"/>
            </w:rPr>
            <w:tab/>
          </w:r>
          <w:r>
            <w:rPr>
              <w:sz w:val="24"/>
              <w:szCs w:val="24"/>
            </w:rPr>
            <w:fldChar w:fldCharType="begin"/>
          </w:r>
          <w:r>
            <w:rPr>
              <w:sz w:val="24"/>
              <w:szCs w:val="24"/>
            </w:rPr>
            <w:instrText xml:space="preserve"> PAGEREF _Toc2552 \h </w:instrText>
          </w:r>
          <w:r>
            <w:rPr>
              <w:sz w:val="24"/>
              <w:szCs w:val="24"/>
            </w:rPr>
            <w:fldChar w:fldCharType="separate"/>
          </w:r>
          <w:r>
            <w:rPr>
              <w:sz w:val="24"/>
              <w:szCs w:val="24"/>
            </w:rPr>
            <w:t>18</w:t>
          </w:r>
          <w:r>
            <w:rPr>
              <w:sz w:val="24"/>
              <w:szCs w:val="24"/>
            </w:rPr>
            <w:fldChar w:fldCharType="end"/>
          </w:r>
          <w:r>
            <w:rPr>
              <w:sz w:val="24"/>
              <w:szCs w:val="24"/>
            </w:rPr>
            <w:fldChar w:fldCharType="end"/>
          </w:r>
        </w:p>
        <w:p w14:paraId="031D0422">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_Toc32227 </w:instrText>
          </w:r>
          <w:r>
            <w:rPr>
              <w:sz w:val="24"/>
              <w:szCs w:val="24"/>
            </w:rPr>
            <w:fldChar w:fldCharType="separate"/>
          </w:r>
          <w:r>
            <w:rPr>
              <w:rFonts w:ascii="仿宋" w:hAnsi="仿宋" w:eastAsia="仿宋" w:cs="仿宋"/>
              <w:bCs/>
              <w:spacing w:val="-12"/>
              <w:sz w:val="24"/>
              <w:szCs w:val="24"/>
            </w:rPr>
            <w:t>十一、技术条款</w:t>
          </w:r>
          <w:r>
            <w:rPr>
              <w:sz w:val="24"/>
              <w:szCs w:val="24"/>
            </w:rPr>
            <w:tab/>
          </w:r>
          <w:r>
            <w:rPr>
              <w:sz w:val="24"/>
              <w:szCs w:val="24"/>
            </w:rPr>
            <w:fldChar w:fldCharType="begin"/>
          </w:r>
          <w:r>
            <w:rPr>
              <w:sz w:val="24"/>
              <w:szCs w:val="24"/>
            </w:rPr>
            <w:instrText xml:space="preserve"> PAGEREF _Toc32227 \h </w:instrText>
          </w:r>
          <w:r>
            <w:rPr>
              <w:sz w:val="24"/>
              <w:szCs w:val="24"/>
            </w:rPr>
            <w:fldChar w:fldCharType="separate"/>
          </w:r>
          <w:r>
            <w:rPr>
              <w:sz w:val="24"/>
              <w:szCs w:val="24"/>
            </w:rPr>
            <w:t>19</w:t>
          </w:r>
          <w:r>
            <w:rPr>
              <w:sz w:val="24"/>
              <w:szCs w:val="24"/>
            </w:rPr>
            <w:fldChar w:fldCharType="end"/>
          </w:r>
          <w:r>
            <w:rPr>
              <w:sz w:val="24"/>
              <w:szCs w:val="24"/>
            </w:rPr>
            <w:fldChar w:fldCharType="end"/>
          </w:r>
        </w:p>
        <w:p w14:paraId="631A6237">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_Toc25806 </w:instrText>
          </w:r>
          <w:r>
            <w:rPr>
              <w:sz w:val="24"/>
              <w:szCs w:val="24"/>
            </w:rPr>
            <w:fldChar w:fldCharType="separate"/>
          </w:r>
          <w:r>
            <w:rPr>
              <w:rFonts w:ascii="仿宋" w:hAnsi="仿宋" w:eastAsia="仿宋" w:cs="仿宋"/>
              <w:bCs/>
              <w:spacing w:val="-12"/>
              <w:sz w:val="24"/>
              <w:szCs w:val="24"/>
            </w:rPr>
            <w:t>十二、乙方人员工资保障措施</w:t>
          </w:r>
          <w:r>
            <w:rPr>
              <w:sz w:val="24"/>
              <w:szCs w:val="24"/>
            </w:rPr>
            <w:tab/>
          </w:r>
          <w:r>
            <w:rPr>
              <w:sz w:val="24"/>
              <w:szCs w:val="24"/>
            </w:rPr>
            <w:fldChar w:fldCharType="begin"/>
          </w:r>
          <w:r>
            <w:rPr>
              <w:sz w:val="24"/>
              <w:szCs w:val="24"/>
            </w:rPr>
            <w:instrText xml:space="preserve"> PAGEREF _Toc25806 \h </w:instrText>
          </w:r>
          <w:r>
            <w:rPr>
              <w:sz w:val="24"/>
              <w:szCs w:val="24"/>
            </w:rPr>
            <w:fldChar w:fldCharType="separate"/>
          </w:r>
          <w:r>
            <w:rPr>
              <w:sz w:val="24"/>
              <w:szCs w:val="24"/>
            </w:rPr>
            <w:t>19</w:t>
          </w:r>
          <w:r>
            <w:rPr>
              <w:sz w:val="24"/>
              <w:szCs w:val="24"/>
            </w:rPr>
            <w:fldChar w:fldCharType="end"/>
          </w:r>
          <w:r>
            <w:rPr>
              <w:sz w:val="24"/>
              <w:szCs w:val="24"/>
            </w:rPr>
            <w:fldChar w:fldCharType="end"/>
          </w:r>
        </w:p>
        <w:p w14:paraId="160ECE9B">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_Toc18170 </w:instrText>
          </w:r>
          <w:r>
            <w:rPr>
              <w:sz w:val="24"/>
              <w:szCs w:val="24"/>
            </w:rPr>
            <w:fldChar w:fldCharType="separate"/>
          </w:r>
          <w:r>
            <w:rPr>
              <w:rFonts w:ascii="仿宋" w:hAnsi="仿宋" w:eastAsia="仿宋" w:cs="仿宋"/>
              <w:bCs/>
              <w:spacing w:val="-10"/>
              <w:sz w:val="24"/>
              <w:szCs w:val="24"/>
            </w:rPr>
            <w:t>十三、资源配置</w:t>
          </w:r>
          <w:r>
            <w:rPr>
              <w:sz w:val="24"/>
              <w:szCs w:val="24"/>
            </w:rPr>
            <w:tab/>
          </w:r>
          <w:r>
            <w:rPr>
              <w:sz w:val="24"/>
              <w:szCs w:val="24"/>
            </w:rPr>
            <w:fldChar w:fldCharType="begin"/>
          </w:r>
          <w:r>
            <w:rPr>
              <w:sz w:val="24"/>
              <w:szCs w:val="24"/>
            </w:rPr>
            <w:instrText xml:space="preserve"> PAGEREF _Toc18170 \h </w:instrText>
          </w:r>
          <w:r>
            <w:rPr>
              <w:sz w:val="24"/>
              <w:szCs w:val="24"/>
            </w:rPr>
            <w:fldChar w:fldCharType="separate"/>
          </w:r>
          <w:r>
            <w:rPr>
              <w:sz w:val="24"/>
              <w:szCs w:val="24"/>
            </w:rPr>
            <w:t>20</w:t>
          </w:r>
          <w:r>
            <w:rPr>
              <w:sz w:val="24"/>
              <w:szCs w:val="24"/>
            </w:rPr>
            <w:fldChar w:fldCharType="end"/>
          </w:r>
          <w:r>
            <w:rPr>
              <w:sz w:val="24"/>
              <w:szCs w:val="24"/>
            </w:rPr>
            <w:fldChar w:fldCharType="end"/>
          </w:r>
        </w:p>
        <w:p w14:paraId="232B3EA7">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_Toc32475 </w:instrText>
          </w:r>
          <w:r>
            <w:rPr>
              <w:sz w:val="24"/>
              <w:szCs w:val="24"/>
            </w:rPr>
            <w:fldChar w:fldCharType="separate"/>
          </w:r>
          <w:r>
            <w:rPr>
              <w:rFonts w:ascii="仿宋" w:hAnsi="仿宋" w:eastAsia="仿宋" w:cs="仿宋"/>
              <w:bCs/>
              <w:spacing w:val="-11"/>
              <w:sz w:val="24"/>
              <w:szCs w:val="24"/>
            </w:rPr>
            <w:t>十四、施工协作</w:t>
          </w:r>
          <w:r>
            <w:rPr>
              <w:sz w:val="24"/>
              <w:szCs w:val="24"/>
            </w:rPr>
            <w:tab/>
          </w:r>
          <w:r>
            <w:rPr>
              <w:sz w:val="24"/>
              <w:szCs w:val="24"/>
            </w:rPr>
            <w:fldChar w:fldCharType="begin"/>
          </w:r>
          <w:r>
            <w:rPr>
              <w:sz w:val="24"/>
              <w:szCs w:val="24"/>
            </w:rPr>
            <w:instrText xml:space="preserve"> PAGEREF _Toc32475 \h </w:instrText>
          </w:r>
          <w:r>
            <w:rPr>
              <w:sz w:val="24"/>
              <w:szCs w:val="24"/>
            </w:rPr>
            <w:fldChar w:fldCharType="separate"/>
          </w:r>
          <w:r>
            <w:rPr>
              <w:sz w:val="24"/>
              <w:szCs w:val="24"/>
            </w:rPr>
            <w:t>21</w:t>
          </w:r>
          <w:r>
            <w:rPr>
              <w:sz w:val="24"/>
              <w:szCs w:val="24"/>
            </w:rPr>
            <w:fldChar w:fldCharType="end"/>
          </w:r>
          <w:r>
            <w:rPr>
              <w:sz w:val="24"/>
              <w:szCs w:val="24"/>
            </w:rPr>
            <w:fldChar w:fldCharType="end"/>
          </w:r>
        </w:p>
        <w:p w14:paraId="28645B4B">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_Toc4734 </w:instrText>
          </w:r>
          <w:r>
            <w:rPr>
              <w:sz w:val="24"/>
              <w:szCs w:val="24"/>
            </w:rPr>
            <w:fldChar w:fldCharType="separate"/>
          </w:r>
          <w:r>
            <w:rPr>
              <w:rFonts w:ascii="仿宋" w:hAnsi="仿宋" w:eastAsia="仿宋" w:cs="仿宋"/>
              <w:bCs/>
              <w:spacing w:val="-11"/>
              <w:sz w:val="24"/>
              <w:szCs w:val="24"/>
            </w:rPr>
            <w:t>十五、计量、结算与支付</w:t>
          </w:r>
          <w:r>
            <w:rPr>
              <w:sz w:val="24"/>
              <w:szCs w:val="24"/>
            </w:rPr>
            <w:tab/>
          </w:r>
          <w:r>
            <w:rPr>
              <w:sz w:val="24"/>
              <w:szCs w:val="24"/>
            </w:rPr>
            <w:fldChar w:fldCharType="begin"/>
          </w:r>
          <w:r>
            <w:rPr>
              <w:sz w:val="24"/>
              <w:szCs w:val="24"/>
            </w:rPr>
            <w:instrText xml:space="preserve"> PAGEREF _Toc4734 \h </w:instrText>
          </w:r>
          <w:r>
            <w:rPr>
              <w:sz w:val="24"/>
              <w:szCs w:val="24"/>
            </w:rPr>
            <w:fldChar w:fldCharType="separate"/>
          </w:r>
          <w:r>
            <w:rPr>
              <w:sz w:val="24"/>
              <w:szCs w:val="24"/>
            </w:rPr>
            <w:t>21</w:t>
          </w:r>
          <w:r>
            <w:rPr>
              <w:sz w:val="24"/>
              <w:szCs w:val="24"/>
            </w:rPr>
            <w:fldChar w:fldCharType="end"/>
          </w:r>
          <w:r>
            <w:rPr>
              <w:sz w:val="24"/>
              <w:szCs w:val="24"/>
            </w:rPr>
            <w:fldChar w:fldCharType="end"/>
          </w:r>
        </w:p>
        <w:p w14:paraId="465DFEF6">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_Toc25199 </w:instrText>
          </w:r>
          <w:r>
            <w:rPr>
              <w:sz w:val="24"/>
              <w:szCs w:val="24"/>
            </w:rPr>
            <w:fldChar w:fldCharType="separate"/>
          </w:r>
          <w:r>
            <w:rPr>
              <w:rFonts w:ascii="仿宋" w:hAnsi="仿宋" w:eastAsia="仿宋" w:cs="仿宋"/>
              <w:bCs/>
              <w:spacing w:val="-30"/>
              <w:sz w:val="24"/>
              <w:szCs w:val="24"/>
            </w:rPr>
            <w:t>十六、变</w:t>
          </w:r>
          <w:r>
            <w:rPr>
              <w:rFonts w:ascii="仿宋" w:hAnsi="仿宋" w:eastAsia="仿宋" w:cs="仿宋"/>
              <w:spacing w:val="-18"/>
              <w:sz w:val="24"/>
              <w:szCs w:val="24"/>
            </w:rPr>
            <w:t xml:space="preserve"> </w:t>
          </w:r>
          <w:r>
            <w:rPr>
              <w:rFonts w:ascii="仿宋" w:hAnsi="仿宋" w:eastAsia="仿宋" w:cs="仿宋"/>
              <w:bCs/>
              <w:spacing w:val="-30"/>
              <w:sz w:val="24"/>
              <w:szCs w:val="24"/>
            </w:rPr>
            <w:t>更</w:t>
          </w:r>
          <w:r>
            <w:rPr>
              <w:sz w:val="24"/>
              <w:szCs w:val="24"/>
            </w:rPr>
            <w:tab/>
          </w:r>
          <w:r>
            <w:rPr>
              <w:sz w:val="24"/>
              <w:szCs w:val="24"/>
            </w:rPr>
            <w:fldChar w:fldCharType="begin"/>
          </w:r>
          <w:r>
            <w:rPr>
              <w:sz w:val="24"/>
              <w:szCs w:val="24"/>
            </w:rPr>
            <w:instrText xml:space="preserve"> PAGEREF _Toc25199 \h </w:instrText>
          </w:r>
          <w:r>
            <w:rPr>
              <w:sz w:val="24"/>
              <w:szCs w:val="24"/>
            </w:rPr>
            <w:fldChar w:fldCharType="separate"/>
          </w:r>
          <w:r>
            <w:rPr>
              <w:sz w:val="24"/>
              <w:szCs w:val="24"/>
            </w:rPr>
            <w:t>22</w:t>
          </w:r>
          <w:r>
            <w:rPr>
              <w:sz w:val="24"/>
              <w:szCs w:val="24"/>
            </w:rPr>
            <w:fldChar w:fldCharType="end"/>
          </w:r>
          <w:r>
            <w:rPr>
              <w:sz w:val="24"/>
              <w:szCs w:val="24"/>
            </w:rPr>
            <w:fldChar w:fldCharType="end"/>
          </w:r>
        </w:p>
        <w:p w14:paraId="76E113B4">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_Toc23552 </w:instrText>
          </w:r>
          <w:r>
            <w:rPr>
              <w:sz w:val="24"/>
              <w:szCs w:val="24"/>
            </w:rPr>
            <w:fldChar w:fldCharType="separate"/>
          </w:r>
          <w:r>
            <w:rPr>
              <w:rFonts w:ascii="仿宋" w:hAnsi="仿宋" w:eastAsia="仿宋" w:cs="仿宋"/>
              <w:bCs/>
              <w:spacing w:val="-11"/>
              <w:sz w:val="24"/>
              <w:szCs w:val="24"/>
            </w:rPr>
            <w:t>十七、竣工验收与完工结算</w:t>
          </w:r>
          <w:r>
            <w:rPr>
              <w:sz w:val="24"/>
              <w:szCs w:val="24"/>
            </w:rPr>
            <w:tab/>
          </w:r>
          <w:r>
            <w:rPr>
              <w:sz w:val="24"/>
              <w:szCs w:val="24"/>
            </w:rPr>
            <w:fldChar w:fldCharType="begin"/>
          </w:r>
          <w:r>
            <w:rPr>
              <w:sz w:val="24"/>
              <w:szCs w:val="24"/>
            </w:rPr>
            <w:instrText xml:space="preserve"> PAGEREF _Toc23552 \h </w:instrText>
          </w:r>
          <w:r>
            <w:rPr>
              <w:sz w:val="24"/>
              <w:szCs w:val="24"/>
            </w:rPr>
            <w:fldChar w:fldCharType="separate"/>
          </w:r>
          <w:r>
            <w:rPr>
              <w:sz w:val="24"/>
              <w:szCs w:val="24"/>
            </w:rPr>
            <w:t>23</w:t>
          </w:r>
          <w:r>
            <w:rPr>
              <w:sz w:val="24"/>
              <w:szCs w:val="24"/>
            </w:rPr>
            <w:fldChar w:fldCharType="end"/>
          </w:r>
          <w:r>
            <w:rPr>
              <w:sz w:val="24"/>
              <w:szCs w:val="24"/>
            </w:rPr>
            <w:fldChar w:fldCharType="end"/>
          </w:r>
        </w:p>
        <w:p w14:paraId="6ECBD01F">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_Toc21844 </w:instrText>
          </w:r>
          <w:r>
            <w:rPr>
              <w:sz w:val="24"/>
              <w:szCs w:val="24"/>
            </w:rPr>
            <w:fldChar w:fldCharType="separate"/>
          </w:r>
          <w:r>
            <w:rPr>
              <w:rFonts w:ascii="仿宋" w:hAnsi="仿宋" w:eastAsia="仿宋" w:cs="仿宋"/>
              <w:bCs/>
              <w:spacing w:val="-8"/>
              <w:sz w:val="24"/>
              <w:szCs w:val="24"/>
            </w:rPr>
            <w:t>十八、</w:t>
          </w:r>
          <w:r>
            <w:rPr>
              <w:rFonts w:hint="eastAsia" w:ascii="仿宋" w:hAnsi="仿宋" w:eastAsia="仿宋" w:cs="仿宋"/>
              <w:bCs/>
              <w:spacing w:val="-8"/>
              <w:sz w:val="24"/>
              <w:szCs w:val="24"/>
              <w:lang w:val="en-US" w:eastAsia="zh-CN"/>
            </w:rPr>
            <w:t>质保</w:t>
          </w:r>
          <w:r>
            <w:rPr>
              <w:rFonts w:ascii="仿宋" w:hAnsi="仿宋" w:eastAsia="仿宋" w:cs="仿宋"/>
              <w:bCs/>
              <w:spacing w:val="-8"/>
              <w:sz w:val="24"/>
              <w:szCs w:val="24"/>
            </w:rPr>
            <w:t>期</w:t>
          </w:r>
          <w:r>
            <w:rPr>
              <w:rFonts w:hint="eastAsia" w:ascii="仿宋" w:hAnsi="仿宋" w:eastAsia="仿宋" w:cs="仿宋"/>
              <w:bCs/>
              <w:spacing w:val="-8"/>
              <w:sz w:val="24"/>
              <w:szCs w:val="24"/>
              <w:lang w:val="en-US" w:eastAsia="zh-CN"/>
            </w:rPr>
            <w:t>及缺陷责任期</w:t>
          </w:r>
          <w:r>
            <w:rPr>
              <w:sz w:val="24"/>
              <w:szCs w:val="24"/>
            </w:rPr>
            <w:tab/>
          </w:r>
          <w:r>
            <w:rPr>
              <w:sz w:val="24"/>
              <w:szCs w:val="24"/>
            </w:rPr>
            <w:fldChar w:fldCharType="begin"/>
          </w:r>
          <w:r>
            <w:rPr>
              <w:sz w:val="24"/>
              <w:szCs w:val="24"/>
            </w:rPr>
            <w:instrText xml:space="preserve"> PAGEREF _Toc21844 \h </w:instrText>
          </w:r>
          <w:r>
            <w:rPr>
              <w:sz w:val="24"/>
              <w:szCs w:val="24"/>
            </w:rPr>
            <w:fldChar w:fldCharType="separate"/>
          </w:r>
          <w:r>
            <w:rPr>
              <w:sz w:val="24"/>
              <w:szCs w:val="24"/>
            </w:rPr>
            <w:t>23</w:t>
          </w:r>
          <w:r>
            <w:rPr>
              <w:sz w:val="24"/>
              <w:szCs w:val="24"/>
            </w:rPr>
            <w:fldChar w:fldCharType="end"/>
          </w:r>
          <w:r>
            <w:rPr>
              <w:sz w:val="24"/>
              <w:szCs w:val="24"/>
            </w:rPr>
            <w:fldChar w:fldCharType="end"/>
          </w:r>
        </w:p>
        <w:p w14:paraId="6FBC6C0A">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_Toc4274 </w:instrText>
          </w:r>
          <w:r>
            <w:rPr>
              <w:sz w:val="24"/>
              <w:szCs w:val="24"/>
            </w:rPr>
            <w:fldChar w:fldCharType="separate"/>
          </w:r>
          <w:r>
            <w:rPr>
              <w:rFonts w:ascii="仿宋" w:hAnsi="仿宋" w:eastAsia="仿宋" w:cs="仿宋"/>
              <w:bCs/>
              <w:spacing w:val="-9"/>
              <w:sz w:val="24"/>
              <w:szCs w:val="24"/>
            </w:rPr>
            <w:t>十九、保险及损失</w:t>
          </w:r>
          <w:r>
            <w:rPr>
              <w:sz w:val="24"/>
              <w:szCs w:val="24"/>
            </w:rPr>
            <w:tab/>
          </w:r>
          <w:r>
            <w:rPr>
              <w:sz w:val="24"/>
              <w:szCs w:val="24"/>
            </w:rPr>
            <w:fldChar w:fldCharType="begin"/>
          </w:r>
          <w:r>
            <w:rPr>
              <w:sz w:val="24"/>
              <w:szCs w:val="24"/>
            </w:rPr>
            <w:instrText xml:space="preserve"> PAGEREF _Toc4274 \h </w:instrText>
          </w:r>
          <w:r>
            <w:rPr>
              <w:sz w:val="24"/>
              <w:szCs w:val="24"/>
            </w:rPr>
            <w:fldChar w:fldCharType="separate"/>
          </w:r>
          <w:r>
            <w:rPr>
              <w:sz w:val="24"/>
              <w:szCs w:val="24"/>
            </w:rPr>
            <w:t>24</w:t>
          </w:r>
          <w:r>
            <w:rPr>
              <w:sz w:val="24"/>
              <w:szCs w:val="24"/>
            </w:rPr>
            <w:fldChar w:fldCharType="end"/>
          </w:r>
          <w:r>
            <w:rPr>
              <w:sz w:val="24"/>
              <w:szCs w:val="24"/>
            </w:rPr>
            <w:fldChar w:fldCharType="end"/>
          </w:r>
        </w:p>
        <w:p w14:paraId="5E4C403B">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_Toc7229 </w:instrText>
          </w:r>
          <w:r>
            <w:rPr>
              <w:sz w:val="24"/>
              <w:szCs w:val="24"/>
            </w:rPr>
            <w:fldChar w:fldCharType="separate"/>
          </w:r>
          <w:r>
            <w:rPr>
              <w:rFonts w:ascii="仿宋" w:hAnsi="仿宋" w:eastAsia="仿宋" w:cs="仿宋"/>
              <w:bCs/>
              <w:spacing w:val="-11"/>
              <w:sz w:val="24"/>
              <w:szCs w:val="24"/>
            </w:rPr>
            <w:t>二十、违约责任</w:t>
          </w:r>
          <w:r>
            <w:rPr>
              <w:sz w:val="24"/>
              <w:szCs w:val="24"/>
            </w:rPr>
            <w:tab/>
          </w:r>
          <w:r>
            <w:rPr>
              <w:sz w:val="24"/>
              <w:szCs w:val="24"/>
            </w:rPr>
            <w:fldChar w:fldCharType="begin"/>
          </w:r>
          <w:r>
            <w:rPr>
              <w:sz w:val="24"/>
              <w:szCs w:val="24"/>
            </w:rPr>
            <w:instrText xml:space="preserve"> PAGEREF _Toc7229 \h </w:instrText>
          </w:r>
          <w:r>
            <w:rPr>
              <w:sz w:val="24"/>
              <w:szCs w:val="24"/>
            </w:rPr>
            <w:fldChar w:fldCharType="separate"/>
          </w:r>
          <w:r>
            <w:rPr>
              <w:sz w:val="24"/>
              <w:szCs w:val="24"/>
            </w:rPr>
            <w:t>24</w:t>
          </w:r>
          <w:r>
            <w:rPr>
              <w:sz w:val="24"/>
              <w:szCs w:val="24"/>
            </w:rPr>
            <w:fldChar w:fldCharType="end"/>
          </w:r>
          <w:r>
            <w:rPr>
              <w:sz w:val="24"/>
              <w:szCs w:val="24"/>
            </w:rPr>
            <w:fldChar w:fldCharType="end"/>
          </w:r>
        </w:p>
        <w:p w14:paraId="6F1FFD85">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_Toc26014 </w:instrText>
          </w:r>
          <w:r>
            <w:rPr>
              <w:sz w:val="24"/>
              <w:szCs w:val="24"/>
            </w:rPr>
            <w:fldChar w:fldCharType="separate"/>
          </w:r>
          <w:r>
            <w:rPr>
              <w:rFonts w:ascii="仿宋" w:hAnsi="仿宋" w:eastAsia="仿宋" w:cs="仿宋"/>
              <w:bCs/>
              <w:spacing w:val="-11"/>
              <w:sz w:val="24"/>
              <w:szCs w:val="24"/>
            </w:rPr>
            <w:t>二十一、争议解决</w:t>
          </w:r>
          <w:r>
            <w:rPr>
              <w:sz w:val="24"/>
              <w:szCs w:val="24"/>
            </w:rPr>
            <w:tab/>
          </w:r>
          <w:r>
            <w:rPr>
              <w:sz w:val="24"/>
              <w:szCs w:val="24"/>
            </w:rPr>
            <w:fldChar w:fldCharType="begin"/>
          </w:r>
          <w:r>
            <w:rPr>
              <w:sz w:val="24"/>
              <w:szCs w:val="24"/>
            </w:rPr>
            <w:instrText xml:space="preserve"> PAGEREF _Toc26014 \h </w:instrText>
          </w:r>
          <w:r>
            <w:rPr>
              <w:sz w:val="24"/>
              <w:szCs w:val="24"/>
            </w:rPr>
            <w:fldChar w:fldCharType="separate"/>
          </w:r>
          <w:r>
            <w:rPr>
              <w:sz w:val="24"/>
              <w:szCs w:val="24"/>
            </w:rPr>
            <w:t>26</w:t>
          </w:r>
          <w:r>
            <w:rPr>
              <w:sz w:val="24"/>
              <w:szCs w:val="24"/>
            </w:rPr>
            <w:fldChar w:fldCharType="end"/>
          </w:r>
          <w:r>
            <w:rPr>
              <w:sz w:val="24"/>
              <w:szCs w:val="24"/>
            </w:rPr>
            <w:fldChar w:fldCharType="end"/>
          </w:r>
        </w:p>
        <w:p w14:paraId="350F6221">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_Toc5795 </w:instrText>
          </w:r>
          <w:r>
            <w:rPr>
              <w:sz w:val="24"/>
              <w:szCs w:val="24"/>
            </w:rPr>
            <w:fldChar w:fldCharType="separate"/>
          </w:r>
          <w:r>
            <w:rPr>
              <w:rFonts w:ascii="仿宋" w:hAnsi="仿宋" w:eastAsia="仿宋" w:cs="仿宋"/>
              <w:bCs/>
              <w:spacing w:val="-8"/>
              <w:sz w:val="24"/>
              <w:szCs w:val="24"/>
            </w:rPr>
            <w:t>二十二、特别约定</w:t>
          </w:r>
          <w:r>
            <w:rPr>
              <w:sz w:val="24"/>
              <w:szCs w:val="24"/>
            </w:rPr>
            <w:tab/>
          </w:r>
          <w:r>
            <w:rPr>
              <w:sz w:val="24"/>
              <w:szCs w:val="24"/>
            </w:rPr>
            <w:fldChar w:fldCharType="begin"/>
          </w:r>
          <w:r>
            <w:rPr>
              <w:sz w:val="24"/>
              <w:szCs w:val="24"/>
            </w:rPr>
            <w:instrText xml:space="preserve"> PAGEREF _Toc5795 \h </w:instrText>
          </w:r>
          <w:r>
            <w:rPr>
              <w:sz w:val="24"/>
              <w:szCs w:val="24"/>
            </w:rPr>
            <w:fldChar w:fldCharType="separate"/>
          </w:r>
          <w:r>
            <w:rPr>
              <w:sz w:val="24"/>
              <w:szCs w:val="24"/>
            </w:rPr>
            <w:t>26</w:t>
          </w:r>
          <w:r>
            <w:rPr>
              <w:sz w:val="24"/>
              <w:szCs w:val="24"/>
            </w:rPr>
            <w:fldChar w:fldCharType="end"/>
          </w:r>
          <w:r>
            <w:rPr>
              <w:sz w:val="24"/>
              <w:szCs w:val="24"/>
            </w:rPr>
            <w:fldChar w:fldCharType="end"/>
          </w:r>
        </w:p>
        <w:p w14:paraId="734CEC82">
          <w:pPr>
            <w:pStyle w:val="19"/>
            <w:keepNext w:val="0"/>
            <w:keepLines w:val="0"/>
            <w:pageBreakBefore w:val="0"/>
            <w:widowControl w:val="0"/>
            <w:tabs>
              <w:tab w:val="right" w:leader="dot" w:pos="8391"/>
            </w:tabs>
            <w:overflowPunct/>
            <w:bidi w:val="0"/>
            <w:spacing w:line="360" w:lineRule="auto"/>
            <w:rPr>
              <w:sz w:val="24"/>
              <w:szCs w:val="24"/>
            </w:rPr>
          </w:pPr>
          <w:r>
            <w:rPr>
              <w:sz w:val="24"/>
              <w:szCs w:val="24"/>
            </w:rPr>
            <w:fldChar w:fldCharType="begin"/>
          </w:r>
          <w:r>
            <w:rPr>
              <w:sz w:val="24"/>
              <w:szCs w:val="24"/>
            </w:rPr>
            <w:instrText xml:space="preserve"> HYPERLINK \l _Toc10378 </w:instrText>
          </w:r>
          <w:r>
            <w:rPr>
              <w:sz w:val="24"/>
              <w:szCs w:val="24"/>
            </w:rPr>
            <w:fldChar w:fldCharType="separate"/>
          </w:r>
          <w:r>
            <w:rPr>
              <w:rFonts w:ascii="仿宋" w:hAnsi="仿宋" w:eastAsia="仿宋" w:cs="仿宋"/>
              <w:bCs/>
              <w:spacing w:val="-12"/>
              <w:sz w:val="24"/>
              <w:szCs w:val="24"/>
            </w:rPr>
            <w:t>二十三、附则</w:t>
          </w:r>
          <w:r>
            <w:rPr>
              <w:sz w:val="24"/>
              <w:szCs w:val="24"/>
            </w:rPr>
            <w:tab/>
          </w:r>
          <w:r>
            <w:rPr>
              <w:sz w:val="24"/>
              <w:szCs w:val="24"/>
            </w:rPr>
            <w:fldChar w:fldCharType="begin"/>
          </w:r>
          <w:r>
            <w:rPr>
              <w:sz w:val="24"/>
              <w:szCs w:val="24"/>
            </w:rPr>
            <w:instrText xml:space="preserve"> PAGEREF _Toc10378 \h </w:instrText>
          </w:r>
          <w:r>
            <w:rPr>
              <w:sz w:val="24"/>
              <w:szCs w:val="24"/>
            </w:rPr>
            <w:fldChar w:fldCharType="separate"/>
          </w:r>
          <w:r>
            <w:rPr>
              <w:sz w:val="24"/>
              <w:szCs w:val="24"/>
            </w:rPr>
            <w:t>26</w:t>
          </w:r>
          <w:r>
            <w:rPr>
              <w:sz w:val="24"/>
              <w:szCs w:val="24"/>
            </w:rPr>
            <w:fldChar w:fldCharType="end"/>
          </w:r>
          <w:r>
            <w:rPr>
              <w:sz w:val="24"/>
              <w:szCs w:val="24"/>
            </w:rPr>
            <w:fldChar w:fldCharType="end"/>
          </w:r>
        </w:p>
        <w:p w14:paraId="7B53C50E">
          <w:pPr>
            <w:pStyle w:val="19"/>
            <w:keepNext w:val="0"/>
            <w:keepLines w:val="0"/>
            <w:pageBreakBefore w:val="0"/>
            <w:widowControl w:val="0"/>
            <w:tabs>
              <w:tab w:val="right" w:leader="dot" w:pos="8391"/>
            </w:tabs>
            <w:overflowPunct/>
            <w:bidi w:val="0"/>
            <w:spacing w:line="360" w:lineRule="auto"/>
          </w:pPr>
          <w:r>
            <w:rPr>
              <w:sz w:val="24"/>
              <w:szCs w:val="24"/>
            </w:rPr>
            <w:fldChar w:fldCharType="begin"/>
          </w:r>
          <w:r>
            <w:rPr>
              <w:sz w:val="24"/>
              <w:szCs w:val="24"/>
            </w:rPr>
            <w:instrText xml:space="preserve"> HYPERLINK \l _Toc24223 </w:instrText>
          </w:r>
          <w:r>
            <w:rPr>
              <w:sz w:val="24"/>
              <w:szCs w:val="24"/>
            </w:rPr>
            <w:fldChar w:fldCharType="separate"/>
          </w:r>
          <w:r>
            <w:rPr>
              <w:rFonts w:ascii="仿宋" w:hAnsi="仿宋" w:eastAsia="仿宋" w:cs="仿宋"/>
              <w:bCs/>
              <w:spacing w:val="-13"/>
              <w:sz w:val="24"/>
              <w:szCs w:val="24"/>
            </w:rPr>
            <w:t>合同附件</w:t>
          </w:r>
          <w:r>
            <w:rPr>
              <w:sz w:val="24"/>
              <w:szCs w:val="24"/>
            </w:rPr>
            <w:tab/>
          </w:r>
          <w:r>
            <w:rPr>
              <w:sz w:val="24"/>
              <w:szCs w:val="24"/>
            </w:rPr>
            <w:fldChar w:fldCharType="begin"/>
          </w:r>
          <w:r>
            <w:rPr>
              <w:sz w:val="24"/>
              <w:szCs w:val="24"/>
            </w:rPr>
            <w:instrText xml:space="preserve"> PAGEREF _Toc24223 \h </w:instrText>
          </w:r>
          <w:r>
            <w:rPr>
              <w:sz w:val="24"/>
              <w:szCs w:val="24"/>
            </w:rPr>
            <w:fldChar w:fldCharType="separate"/>
          </w:r>
          <w:r>
            <w:rPr>
              <w:sz w:val="24"/>
              <w:szCs w:val="24"/>
            </w:rPr>
            <w:t>27</w:t>
          </w:r>
          <w:r>
            <w:rPr>
              <w:sz w:val="24"/>
              <w:szCs w:val="24"/>
            </w:rPr>
            <w:fldChar w:fldCharType="end"/>
          </w:r>
          <w:r>
            <w:rPr>
              <w:sz w:val="24"/>
              <w:szCs w:val="24"/>
            </w:rPr>
            <w:fldChar w:fldCharType="end"/>
          </w:r>
        </w:p>
        <w:p w14:paraId="75AF50AD">
          <w:pPr>
            <w:pStyle w:val="3"/>
            <w:keepNext w:val="0"/>
            <w:keepLines w:val="0"/>
            <w:pageBreakBefore w:val="0"/>
            <w:widowControl w:val="0"/>
            <w:numPr>
              <w:ilvl w:val="3"/>
              <w:numId w:val="0"/>
            </w:numPr>
            <w:overflowPunct/>
            <w:bidi w:val="0"/>
            <w:ind w:leftChars="0"/>
            <w:sectPr>
              <w:footerReference r:id="rId5" w:type="default"/>
              <w:pgSz w:w="11900" w:h="16830"/>
              <w:pgMar w:top="1430" w:right="1724" w:bottom="1350" w:left="1785" w:header="0" w:footer="397" w:gutter="0"/>
              <w:pgNumType w:fmt="decimal" w:start="1"/>
              <w:cols w:space="720" w:num="1"/>
            </w:sectPr>
          </w:pPr>
          <w:r>
            <w:fldChar w:fldCharType="end"/>
          </w:r>
        </w:p>
      </w:sdtContent>
    </w:sdt>
    <w:p w14:paraId="095A7C8B">
      <w:pPr>
        <w:keepNext w:val="0"/>
        <w:keepLines w:val="0"/>
        <w:pageBreakBefore w:val="0"/>
        <w:widowControl w:val="0"/>
        <w:overflowPunct/>
        <w:bidi w:val="0"/>
        <w:spacing w:before="136" w:line="219" w:lineRule="auto"/>
        <w:ind w:left="1298"/>
        <w:rPr>
          <w:rFonts w:hint="eastAsia" w:ascii="宋体" w:hAnsi="宋体" w:eastAsia="宋体" w:cs="宋体"/>
          <w:b/>
          <w:bCs/>
          <w:color w:val="FF0000"/>
          <w:spacing w:val="30"/>
          <w:sz w:val="25"/>
          <w:szCs w:val="25"/>
          <w:u w:val="single"/>
          <w:lang w:val="en-US" w:eastAsia="zh-CN"/>
        </w:rPr>
      </w:pPr>
      <w:bookmarkStart w:id="2" w:name="bookmark25"/>
      <w:bookmarkEnd w:id="2"/>
    </w:p>
    <w:p w14:paraId="6613558E">
      <w:pPr>
        <w:pStyle w:val="5"/>
        <w:keepNext w:val="0"/>
        <w:keepLines w:val="0"/>
        <w:pageBreakBefore w:val="0"/>
        <w:widowControl w:val="0"/>
        <w:overflowPunct/>
        <w:bidi w:val="0"/>
        <w:spacing w:line="279" w:lineRule="auto"/>
        <w:ind w:firstLine="622" w:firstLineChars="200"/>
        <w:rPr>
          <w:rFonts w:hint="eastAsia" w:ascii="仿宋" w:hAnsi="仿宋" w:eastAsia="仿宋" w:cs="仿宋"/>
          <w:b/>
          <w:bCs/>
          <w:color w:val="auto"/>
          <w:spacing w:val="30"/>
          <w:sz w:val="25"/>
          <w:szCs w:val="25"/>
          <w:u w:val="single"/>
          <w:lang w:val="en-US" w:eastAsia="zh-CN"/>
        </w:rPr>
      </w:pPr>
      <w:r>
        <w:rPr>
          <w:rFonts w:hint="eastAsia" w:ascii="仿宋" w:hAnsi="仿宋" w:eastAsia="仿宋" w:cs="仿宋"/>
          <w:b/>
          <w:bCs/>
          <w:color w:val="auto"/>
          <w:spacing w:val="30"/>
          <w:sz w:val="25"/>
          <w:szCs w:val="25"/>
          <w:u w:val="single"/>
          <w:lang w:val="en-US" w:eastAsia="zh-CN"/>
        </w:rPr>
        <w:t>金沙江下游白鹤滩翻坝转运设施（白鹤滩码头）建设项目</w:t>
      </w:r>
    </w:p>
    <w:p w14:paraId="6D7208D6">
      <w:pPr>
        <w:pStyle w:val="5"/>
        <w:keepNext w:val="0"/>
        <w:keepLines w:val="0"/>
        <w:pageBreakBefore w:val="0"/>
        <w:widowControl w:val="0"/>
        <w:overflowPunct/>
        <w:bidi w:val="0"/>
        <w:spacing w:line="279" w:lineRule="auto"/>
        <w:jc w:val="center"/>
        <w:rPr>
          <w:rFonts w:hint="eastAsia" w:ascii="仿宋" w:hAnsi="仿宋" w:eastAsia="仿宋" w:cs="仿宋"/>
          <w:color w:val="auto"/>
          <w:u w:val="none"/>
        </w:rPr>
      </w:pPr>
      <w:r>
        <w:rPr>
          <w:rFonts w:hint="eastAsia" w:ascii="仿宋" w:hAnsi="仿宋" w:eastAsia="仿宋" w:cs="仿宋"/>
          <w:b/>
          <w:bCs/>
          <w:color w:val="auto"/>
          <w:spacing w:val="30"/>
          <w:sz w:val="25"/>
          <w:szCs w:val="25"/>
          <w:u w:val="none"/>
          <w:lang w:val="en-US" w:eastAsia="zh-CN"/>
        </w:rPr>
        <w:t>xxxx劳务分包合同</w:t>
      </w:r>
    </w:p>
    <w:p w14:paraId="7B3966BD">
      <w:pPr>
        <w:keepNext w:val="0"/>
        <w:keepLines w:val="0"/>
        <w:pageBreakBefore w:val="0"/>
        <w:widowControl w:val="0"/>
        <w:overflowPunct/>
        <w:bidi w:val="0"/>
        <w:spacing w:before="81" w:line="212" w:lineRule="auto"/>
        <w:ind w:firstLine="2060" w:firstLineChars="1000"/>
        <w:jc w:val="both"/>
        <w:outlineLvl w:val="0"/>
        <w:rPr>
          <w:rFonts w:hint="eastAsia" w:ascii="仿宋" w:hAnsi="仿宋" w:eastAsia="仿宋" w:cs="仿宋"/>
          <w:color w:val="auto"/>
          <w:sz w:val="25"/>
          <w:szCs w:val="25"/>
        </w:rPr>
      </w:pPr>
      <w:bookmarkStart w:id="3" w:name="_Toc2855"/>
      <w:r>
        <w:rPr>
          <w:rFonts w:hint="eastAsia" w:ascii="仿宋" w:hAnsi="仿宋" w:eastAsia="仿宋" w:cs="仿宋"/>
          <w:b/>
          <w:bCs/>
          <w:color w:val="auto"/>
          <w:spacing w:val="-20"/>
          <w:w w:val="98"/>
          <w:sz w:val="25"/>
          <w:szCs w:val="25"/>
        </w:rPr>
        <w:t>(合同编号：</w:t>
      </w:r>
      <w:r>
        <w:rPr>
          <w:rFonts w:hint="eastAsia" w:ascii="仿宋" w:hAnsi="仿宋" w:eastAsia="仿宋" w:cs="仿宋"/>
          <w:color w:val="auto"/>
          <w:spacing w:val="-3"/>
          <w:sz w:val="29"/>
          <w:szCs w:val="29"/>
          <w:u w:val="single" w:color="auto"/>
          <w:lang w:val="en-US" w:eastAsia="zh-CN"/>
        </w:rPr>
        <w:t>xxxx</w:t>
      </w:r>
      <w:r>
        <w:rPr>
          <w:rFonts w:hint="eastAsia" w:ascii="仿宋" w:hAnsi="仿宋" w:eastAsia="仿宋" w:cs="仿宋"/>
          <w:b/>
          <w:bCs/>
          <w:color w:val="auto"/>
          <w:spacing w:val="-20"/>
          <w:w w:val="98"/>
          <w:sz w:val="25"/>
          <w:szCs w:val="25"/>
        </w:rPr>
        <w:t>)</w:t>
      </w:r>
      <w:bookmarkEnd w:id="3"/>
    </w:p>
    <w:p w14:paraId="2CF49098">
      <w:pPr>
        <w:pStyle w:val="5"/>
        <w:keepNext w:val="0"/>
        <w:keepLines w:val="0"/>
        <w:pageBreakBefore w:val="0"/>
        <w:widowControl w:val="0"/>
        <w:overflowPunct/>
        <w:bidi w:val="0"/>
        <w:spacing w:line="293" w:lineRule="auto"/>
        <w:rPr>
          <w:color w:val="auto"/>
        </w:rPr>
      </w:pPr>
    </w:p>
    <w:p w14:paraId="660EA738">
      <w:pPr>
        <w:pStyle w:val="5"/>
        <w:keepNext w:val="0"/>
        <w:keepLines w:val="0"/>
        <w:pageBreakBefore w:val="0"/>
        <w:widowControl w:val="0"/>
        <w:overflowPunct/>
        <w:bidi w:val="0"/>
        <w:spacing w:line="294" w:lineRule="auto"/>
        <w:rPr>
          <w:color w:val="auto"/>
        </w:rPr>
      </w:pPr>
    </w:p>
    <w:p w14:paraId="6BD227B2">
      <w:pPr>
        <w:keepNext w:val="0"/>
        <w:keepLines w:val="0"/>
        <w:pageBreakBefore w:val="0"/>
        <w:widowControl w:val="0"/>
        <w:overflowPunct/>
        <w:bidi w:val="0"/>
        <w:spacing w:before="81" w:line="222" w:lineRule="auto"/>
        <w:ind w:left="78"/>
        <w:rPr>
          <w:rFonts w:hint="default" w:ascii="仿宋" w:hAnsi="仿宋" w:eastAsia="仿宋" w:cs="仿宋"/>
          <w:color w:val="auto"/>
          <w:sz w:val="25"/>
          <w:szCs w:val="25"/>
          <w:u w:val="single"/>
          <w:lang w:val="en-US" w:eastAsia="zh-CN"/>
        </w:rPr>
      </w:pPr>
      <w:r>
        <w:rPr>
          <w:rFonts w:ascii="仿宋" w:hAnsi="仿宋" w:eastAsia="仿宋" w:cs="仿宋"/>
          <w:b/>
          <w:bCs/>
          <w:color w:val="auto"/>
          <w:spacing w:val="-12"/>
          <w:sz w:val="25"/>
          <w:szCs w:val="25"/>
        </w:rPr>
        <w:t>甲方：</w:t>
      </w:r>
      <w:r>
        <w:rPr>
          <w:rFonts w:hint="eastAsia" w:ascii="仿宋" w:hAnsi="仿宋" w:eastAsia="仿宋" w:cs="仿宋"/>
          <w:b/>
          <w:bCs/>
          <w:color w:val="auto"/>
          <w:spacing w:val="-12"/>
          <w:sz w:val="25"/>
          <w:szCs w:val="25"/>
          <w:u w:val="single"/>
          <w:lang w:val="en-US" w:eastAsia="zh-CN"/>
        </w:rPr>
        <w:t>四川振西建设有限公司</w:t>
      </w:r>
    </w:p>
    <w:p w14:paraId="500ED655">
      <w:pPr>
        <w:pStyle w:val="5"/>
        <w:keepNext w:val="0"/>
        <w:keepLines w:val="0"/>
        <w:pageBreakBefore w:val="0"/>
        <w:widowControl w:val="0"/>
        <w:overflowPunct/>
        <w:bidi w:val="0"/>
        <w:spacing w:before="191" w:line="329" w:lineRule="auto"/>
        <w:ind w:left="307" w:leftChars="35" w:right="1971" w:hanging="234" w:hangingChars="100"/>
        <w:jc w:val="both"/>
        <w:rPr>
          <w:rFonts w:hint="eastAsia" w:ascii="Times New Roman" w:hAnsi="Times New Roman" w:eastAsia="宋体" w:cs="Times New Roman"/>
          <w:b/>
          <w:bCs/>
          <w:color w:val="auto"/>
          <w:spacing w:val="-8"/>
          <w:sz w:val="25"/>
          <w:szCs w:val="25"/>
          <w:u w:val="single" w:color="auto"/>
          <w:lang w:val="en-US" w:eastAsia="zh-CN"/>
        </w:rPr>
      </w:pPr>
      <w:r>
        <w:rPr>
          <w:rFonts w:ascii="仿宋" w:hAnsi="仿宋" w:eastAsia="仿宋" w:cs="仿宋"/>
          <w:color w:val="auto"/>
          <w:spacing w:val="-8"/>
          <w:sz w:val="25"/>
          <w:szCs w:val="25"/>
        </w:rPr>
        <w:t>纳税人识别号(统一社会信用代码)</w:t>
      </w:r>
      <w:r>
        <w:rPr>
          <w:rFonts w:ascii="仿宋" w:hAnsi="仿宋" w:eastAsia="仿宋" w:cs="仿宋"/>
          <w:color w:val="auto"/>
          <w:spacing w:val="-8"/>
          <w:sz w:val="25"/>
          <w:szCs w:val="25"/>
          <w:u w:val="none" w:color="auto"/>
        </w:rPr>
        <w:t>:</w:t>
      </w:r>
      <w:r>
        <w:rPr>
          <w:rFonts w:hint="eastAsia" w:ascii="仿宋" w:hAnsi="仿宋" w:eastAsia="仿宋" w:cs="仿宋"/>
          <w:b/>
          <w:bCs/>
          <w:snapToGrid w:val="0"/>
          <w:color w:val="auto"/>
          <w:spacing w:val="0"/>
          <w:kern w:val="0"/>
          <w:sz w:val="25"/>
          <w:szCs w:val="25"/>
          <w:u w:val="single"/>
          <w:lang w:val="en-US" w:eastAsia="zh-CN" w:bidi="ar-SA"/>
        </w:rPr>
        <w:t>91510000711897694M</w:t>
      </w:r>
    </w:p>
    <w:p w14:paraId="7352FB96">
      <w:pPr>
        <w:pStyle w:val="5"/>
        <w:keepNext w:val="0"/>
        <w:keepLines w:val="0"/>
        <w:pageBreakBefore w:val="0"/>
        <w:widowControl w:val="0"/>
        <w:overflowPunct/>
        <w:bidi w:val="0"/>
        <w:spacing w:before="191" w:line="329" w:lineRule="auto"/>
        <w:ind w:left="301" w:leftChars="35" w:right="1971" w:hanging="228" w:hangingChars="100"/>
        <w:jc w:val="both"/>
        <w:rPr>
          <w:rFonts w:hint="eastAsia" w:ascii="仿宋" w:hAnsi="仿宋" w:eastAsia="仿宋" w:cs="仿宋"/>
          <w:b/>
          <w:bCs/>
          <w:color w:val="auto"/>
          <w:spacing w:val="-11"/>
          <w:sz w:val="25"/>
          <w:szCs w:val="25"/>
          <w:u w:val="single" w:color="auto"/>
          <w:lang w:val="en-US" w:eastAsia="zh-CN"/>
        </w:rPr>
      </w:pPr>
      <w:r>
        <w:rPr>
          <w:rFonts w:ascii="仿宋" w:hAnsi="仿宋" w:eastAsia="仿宋" w:cs="仿宋"/>
          <w:color w:val="auto"/>
          <w:spacing w:val="-11"/>
          <w:sz w:val="25"/>
          <w:szCs w:val="25"/>
        </w:rPr>
        <w:t>开户银行名称：</w:t>
      </w:r>
      <w:r>
        <w:rPr>
          <w:rFonts w:hint="eastAsia" w:ascii="仿宋" w:hAnsi="仿宋" w:eastAsia="仿宋" w:cs="仿宋"/>
          <w:b/>
          <w:bCs/>
          <w:color w:val="auto"/>
          <w:spacing w:val="-11"/>
          <w:sz w:val="25"/>
          <w:szCs w:val="25"/>
          <w:u w:val="single" w:color="auto"/>
          <w:lang w:val="en-US" w:eastAsia="zh-CN"/>
        </w:rPr>
        <w:t>四川银行股份有限公司凉山分行营业部</w:t>
      </w:r>
    </w:p>
    <w:p w14:paraId="6F96D8A2">
      <w:pPr>
        <w:pStyle w:val="5"/>
        <w:keepNext w:val="0"/>
        <w:keepLines w:val="0"/>
        <w:pageBreakBefore w:val="0"/>
        <w:widowControl w:val="0"/>
        <w:overflowPunct/>
        <w:bidi w:val="0"/>
        <w:spacing w:before="191" w:line="329" w:lineRule="auto"/>
        <w:ind w:left="315" w:leftChars="35" w:right="1971" w:hanging="242" w:hangingChars="100"/>
        <w:jc w:val="both"/>
        <w:rPr>
          <w:rFonts w:hint="default" w:eastAsia="宋体"/>
          <w:color w:val="auto"/>
          <w:sz w:val="25"/>
          <w:szCs w:val="25"/>
          <w:lang w:val="en-US" w:eastAsia="zh-CN"/>
        </w:rPr>
      </w:pPr>
      <w:r>
        <w:rPr>
          <w:rFonts w:ascii="仿宋" w:hAnsi="仿宋" w:eastAsia="仿宋" w:cs="仿宋"/>
          <w:color w:val="auto"/>
          <w:spacing w:val="-4"/>
          <w:sz w:val="25"/>
          <w:szCs w:val="25"/>
        </w:rPr>
        <w:t>开户银行账号：</w:t>
      </w:r>
      <w:r>
        <w:rPr>
          <w:rFonts w:hint="eastAsia" w:ascii="仿宋" w:hAnsi="仿宋" w:eastAsia="仿宋" w:cs="仿宋"/>
          <w:b/>
          <w:bCs/>
          <w:color w:val="auto"/>
          <w:spacing w:val="-11"/>
          <w:sz w:val="25"/>
          <w:szCs w:val="25"/>
          <w:u w:val="single" w:color="auto"/>
          <w:lang w:val="en-US" w:eastAsia="zh-CN"/>
        </w:rPr>
        <w:t>06010303000007276</w:t>
      </w:r>
    </w:p>
    <w:p w14:paraId="2A40FD5F">
      <w:pPr>
        <w:keepNext w:val="0"/>
        <w:keepLines w:val="0"/>
        <w:pageBreakBefore w:val="0"/>
        <w:widowControl w:val="0"/>
        <w:overflowPunct/>
        <w:bidi w:val="0"/>
        <w:spacing w:before="52" w:line="326" w:lineRule="auto"/>
        <w:ind w:left="74" w:right="1359"/>
        <w:rPr>
          <w:rFonts w:hint="eastAsia" w:ascii="仿宋" w:hAnsi="仿宋" w:eastAsia="仿宋" w:cs="仿宋"/>
          <w:b/>
          <w:bCs/>
          <w:color w:val="auto"/>
          <w:spacing w:val="3"/>
          <w:sz w:val="25"/>
          <w:szCs w:val="25"/>
          <w:u w:val="single" w:color="auto"/>
          <w:lang w:val="en-US" w:eastAsia="zh-CN"/>
        </w:rPr>
      </w:pPr>
      <w:r>
        <w:rPr>
          <w:rFonts w:ascii="仿宋" w:hAnsi="仿宋" w:eastAsia="仿宋" w:cs="仿宋"/>
          <w:color w:val="auto"/>
          <w:spacing w:val="3"/>
          <w:sz w:val="25"/>
          <w:szCs w:val="25"/>
        </w:rPr>
        <w:t>注册地址：</w:t>
      </w:r>
      <w:r>
        <w:rPr>
          <w:rFonts w:hint="eastAsia" w:ascii="仿宋" w:hAnsi="仿宋" w:eastAsia="仿宋" w:cs="仿宋"/>
          <w:b/>
          <w:bCs/>
          <w:color w:val="auto"/>
          <w:spacing w:val="3"/>
          <w:sz w:val="25"/>
          <w:szCs w:val="25"/>
          <w:u w:val="single" w:color="auto"/>
          <w:lang w:val="en-US" w:eastAsia="zh-CN"/>
        </w:rPr>
        <w:t>西昌市长安东路53号3幢2楼</w:t>
      </w:r>
    </w:p>
    <w:p w14:paraId="092E090C">
      <w:pPr>
        <w:keepNext w:val="0"/>
        <w:keepLines w:val="0"/>
        <w:pageBreakBefore w:val="0"/>
        <w:widowControl w:val="0"/>
        <w:overflowPunct/>
        <w:bidi w:val="0"/>
        <w:spacing w:before="52" w:line="326" w:lineRule="auto"/>
        <w:ind w:left="74" w:right="1359"/>
        <w:rPr>
          <w:rFonts w:ascii="仿宋" w:hAnsi="仿宋" w:eastAsia="仿宋" w:cs="仿宋"/>
          <w:color w:val="auto"/>
          <w:sz w:val="25"/>
          <w:szCs w:val="25"/>
        </w:rPr>
      </w:pPr>
      <w:r>
        <w:rPr>
          <w:rFonts w:ascii="仿宋" w:hAnsi="仿宋" w:eastAsia="仿宋" w:cs="仿宋"/>
          <w:color w:val="auto"/>
          <w:sz w:val="25"/>
          <w:szCs w:val="25"/>
        </w:rPr>
        <w:t xml:space="preserve"> </w:t>
      </w:r>
      <w:r>
        <w:rPr>
          <w:rFonts w:ascii="仿宋" w:hAnsi="仿宋" w:eastAsia="仿宋" w:cs="仿宋"/>
          <w:color w:val="auto"/>
          <w:spacing w:val="18"/>
          <w:sz w:val="25"/>
          <w:szCs w:val="25"/>
        </w:rPr>
        <w:t>纳税人类型：</w:t>
      </w:r>
      <w:r>
        <w:rPr>
          <w:rFonts w:hint="eastAsia" w:ascii="仿宋" w:hAnsi="仿宋" w:eastAsia="仿宋" w:cs="仿宋"/>
          <w:color w:val="auto"/>
          <w:spacing w:val="18"/>
          <w:sz w:val="25"/>
          <w:szCs w:val="25"/>
          <w:lang w:eastAsia="zh-CN"/>
        </w:rPr>
        <w:t>☑</w:t>
      </w:r>
      <w:r>
        <w:rPr>
          <w:rFonts w:ascii="仿宋" w:hAnsi="仿宋" w:eastAsia="仿宋" w:cs="仿宋"/>
          <w:color w:val="auto"/>
          <w:spacing w:val="18"/>
          <w:sz w:val="25"/>
          <w:szCs w:val="25"/>
        </w:rPr>
        <w:t>一般纳税人</w:t>
      </w:r>
      <w:r>
        <w:rPr>
          <w:rFonts w:hint="eastAsia" w:ascii="仿宋" w:hAnsi="仿宋" w:eastAsia="仿宋" w:cs="仿宋"/>
          <w:color w:val="auto"/>
          <w:spacing w:val="18"/>
          <w:sz w:val="25"/>
          <w:szCs w:val="25"/>
          <w:lang w:eastAsia="zh-CN"/>
        </w:rPr>
        <w:t>□</w:t>
      </w:r>
      <w:r>
        <w:rPr>
          <w:rFonts w:ascii="仿宋" w:hAnsi="仿宋" w:eastAsia="仿宋" w:cs="仿宋"/>
          <w:color w:val="auto"/>
          <w:spacing w:val="18"/>
          <w:sz w:val="25"/>
          <w:szCs w:val="25"/>
        </w:rPr>
        <w:t>小规模纳税人□其他</w:t>
      </w:r>
    </w:p>
    <w:p w14:paraId="25D2E643">
      <w:pPr>
        <w:keepNext w:val="0"/>
        <w:keepLines w:val="0"/>
        <w:pageBreakBefore w:val="0"/>
        <w:widowControl w:val="0"/>
        <w:overflowPunct/>
        <w:bidi w:val="0"/>
        <w:spacing w:before="56" w:line="222" w:lineRule="auto"/>
        <w:ind w:left="78"/>
        <w:rPr>
          <w:rFonts w:hint="default" w:ascii="仿宋" w:hAnsi="仿宋" w:eastAsia="仿宋" w:cs="仿宋"/>
          <w:color w:val="auto"/>
          <w:sz w:val="25"/>
          <w:szCs w:val="25"/>
          <w:lang w:val="en-US" w:eastAsia="zh-CN"/>
        </w:rPr>
      </w:pPr>
      <w:r>
        <w:rPr>
          <w:rFonts w:ascii="仿宋" w:hAnsi="仿宋" w:eastAsia="仿宋" w:cs="仿宋"/>
          <w:b/>
          <w:bCs/>
          <w:color w:val="auto"/>
          <w:spacing w:val="-11"/>
          <w:sz w:val="25"/>
          <w:szCs w:val="25"/>
        </w:rPr>
        <w:t>乙方：</w:t>
      </w:r>
      <w:r>
        <w:rPr>
          <w:rFonts w:hint="eastAsia" w:ascii="仿宋" w:hAnsi="仿宋" w:eastAsia="仿宋" w:cs="仿宋"/>
          <w:b/>
          <w:bCs/>
          <w:color w:val="auto"/>
          <w:spacing w:val="-11"/>
          <w:sz w:val="25"/>
          <w:szCs w:val="25"/>
          <w:u w:val="single"/>
          <w:lang w:val="en-US" w:eastAsia="zh-CN"/>
        </w:rPr>
        <w:t>xxxx</w:t>
      </w:r>
    </w:p>
    <w:p w14:paraId="3E415246">
      <w:pPr>
        <w:keepNext w:val="0"/>
        <w:keepLines w:val="0"/>
        <w:pageBreakBefore w:val="0"/>
        <w:widowControl w:val="0"/>
        <w:overflowPunct/>
        <w:bidi w:val="0"/>
        <w:spacing w:before="159"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1"/>
          <w:sz w:val="25"/>
          <w:szCs w:val="25"/>
        </w:rPr>
        <w:t>法定代表人：</w:t>
      </w:r>
      <w:r>
        <w:rPr>
          <w:rFonts w:ascii="仿宋" w:hAnsi="仿宋" w:eastAsia="仿宋" w:cs="仿宋"/>
          <w:color w:val="auto"/>
          <w:spacing w:val="-45"/>
          <w:sz w:val="25"/>
          <w:szCs w:val="25"/>
        </w:rPr>
        <w:t xml:space="preserve"> </w:t>
      </w:r>
      <w:r>
        <w:rPr>
          <w:rFonts w:hint="eastAsia" w:ascii="仿宋" w:hAnsi="仿宋" w:eastAsia="仿宋" w:cs="仿宋"/>
          <w:b/>
          <w:bCs/>
          <w:color w:val="auto"/>
          <w:spacing w:val="-1"/>
          <w:sz w:val="25"/>
          <w:szCs w:val="25"/>
          <w:u w:val="single" w:color="auto"/>
          <w:lang w:val="en-US" w:eastAsia="zh-CN"/>
        </w:rPr>
        <w:t>xxxx</w:t>
      </w:r>
    </w:p>
    <w:p w14:paraId="16E66A08">
      <w:pPr>
        <w:keepNext w:val="0"/>
        <w:keepLines w:val="0"/>
        <w:pageBreakBefore w:val="0"/>
        <w:widowControl w:val="0"/>
        <w:overflowPunct/>
        <w:bidi w:val="0"/>
        <w:spacing w:before="184" w:line="223" w:lineRule="auto"/>
        <w:ind w:left="74"/>
        <w:rPr>
          <w:rFonts w:ascii="宋体" w:hAnsi="宋体" w:eastAsia="宋体" w:cs="宋体"/>
          <w:color w:val="auto"/>
          <w:sz w:val="25"/>
          <w:szCs w:val="25"/>
        </w:rPr>
      </w:pPr>
      <w:r>
        <w:rPr>
          <w:rFonts w:ascii="仿宋" w:hAnsi="仿宋" w:eastAsia="仿宋" w:cs="仿宋"/>
          <w:color w:val="auto"/>
          <w:spacing w:val="-31"/>
          <w:sz w:val="25"/>
          <w:szCs w:val="25"/>
        </w:rPr>
        <w:t>委托代表人：</w:t>
      </w:r>
      <w:r>
        <w:rPr>
          <w:rFonts w:hint="eastAsia" w:ascii="仿宋" w:hAnsi="仿宋" w:eastAsia="仿宋" w:cs="仿宋"/>
          <w:color w:val="auto"/>
          <w:spacing w:val="-31"/>
          <w:sz w:val="25"/>
          <w:szCs w:val="25"/>
          <w:u w:val="single"/>
          <w:lang w:val="en-US" w:eastAsia="zh-CN"/>
        </w:rPr>
        <w:t xml:space="preserve"> </w:t>
      </w:r>
      <w:r>
        <w:rPr>
          <w:rFonts w:hint="eastAsia" w:ascii="宋体" w:hAnsi="宋体" w:eastAsia="宋体" w:cs="宋体"/>
          <w:color w:val="auto"/>
          <w:spacing w:val="-31"/>
          <w:sz w:val="25"/>
          <w:szCs w:val="25"/>
          <w:u w:val="single"/>
          <w:lang w:val="en-US" w:eastAsia="zh-CN"/>
        </w:rPr>
        <w:t xml:space="preserve">/ </w:t>
      </w:r>
      <w:r>
        <w:rPr>
          <w:rFonts w:ascii="宋体" w:hAnsi="宋体" w:eastAsia="宋体" w:cs="宋体"/>
          <w:color w:val="auto"/>
          <w:spacing w:val="28"/>
          <w:sz w:val="25"/>
          <w:szCs w:val="25"/>
        </w:rPr>
        <w:t xml:space="preserve"> </w:t>
      </w:r>
      <w:r>
        <w:rPr>
          <w:rFonts w:ascii="仿宋" w:hAnsi="仿宋" w:eastAsia="仿宋" w:cs="仿宋"/>
          <w:color w:val="auto"/>
          <w:spacing w:val="-31"/>
          <w:sz w:val="25"/>
          <w:szCs w:val="25"/>
        </w:rPr>
        <w:t>( 电 话</w:t>
      </w:r>
      <w:r>
        <w:rPr>
          <w:rFonts w:ascii="仿宋" w:hAnsi="仿宋" w:eastAsia="仿宋" w:cs="仿宋"/>
          <w:color w:val="auto"/>
          <w:spacing w:val="-38"/>
          <w:sz w:val="25"/>
          <w:szCs w:val="25"/>
        </w:rPr>
        <w:t xml:space="preserve"> </w:t>
      </w:r>
      <w:r>
        <w:rPr>
          <w:rFonts w:ascii="仿宋" w:hAnsi="仿宋" w:eastAsia="仿宋" w:cs="仿宋"/>
          <w:color w:val="auto"/>
          <w:spacing w:val="-31"/>
          <w:sz w:val="25"/>
          <w:szCs w:val="25"/>
        </w:rPr>
        <w:t>：</w:t>
      </w:r>
      <w:r>
        <w:rPr>
          <w:rFonts w:hint="eastAsia" w:ascii="仿宋" w:hAnsi="仿宋" w:eastAsia="仿宋" w:cs="仿宋"/>
          <w:color w:val="auto"/>
          <w:spacing w:val="-31"/>
          <w:sz w:val="25"/>
          <w:szCs w:val="25"/>
          <w:u w:val="single"/>
          <w:lang w:val="en-US" w:eastAsia="zh-CN"/>
        </w:rPr>
        <w:t xml:space="preserve"> </w:t>
      </w:r>
      <w:r>
        <w:rPr>
          <w:rFonts w:hint="eastAsia" w:ascii="宋体" w:hAnsi="宋体" w:eastAsia="宋体" w:cs="宋体"/>
          <w:color w:val="auto"/>
          <w:spacing w:val="-31"/>
          <w:sz w:val="25"/>
          <w:szCs w:val="25"/>
          <w:u w:val="single"/>
          <w:lang w:val="en-US" w:eastAsia="zh-CN"/>
        </w:rPr>
        <w:t xml:space="preserve">/ </w:t>
      </w:r>
      <w:r>
        <w:rPr>
          <w:rFonts w:ascii="宋体" w:hAnsi="宋体" w:eastAsia="宋体" w:cs="宋体"/>
          <w:color w:val="auto"/>
          <w:spacing w:val="-31"/>
          <w:sz w:val="25"/>
          <w:szCs w:val="25"/>
        </w:rPr>
        <w:t>)</w:t>
      </w:r>
    </w:p>
    <w:p w14:paraId="3135B6AD">
      <w:pPr>
        <w:keepNext w:val="0"/>
        <w:keepLines w:val="0"/>
        <w:pageBreakBefore w:val="0"/>
        <w:widowControl w:val="0"/>
        <w:overflowPunct/>
        <w:bidi w:val="0"/>
        <w:spacing w:before="164"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1"/>
          <w:sz w:val="25"/>
          <w:szCs w:val="25"/>
        </w:rPr>
        <w:t>注册地址：</w:t>
      </w:r>
      <w:r>
        <w:rPr>
          <w:rFonts w:ascii="仿宋" w:hAnsi="仿宋" w:eastAsia="仿宋" w:cs="仿宋"/>
          <w:color w:val="auto"/>
          <w:spacing w:val="-56"/>
          <w:sz w:val="25"/>
          <w:szCs w:val="25"/>
        </w:rPr>
        <w:t xml:space="preserve"> </w:t>
      </w:r>
      <w:r>
        <w:rPr>
          <w:rFonts w:hint="eastAsia" w:ascii="仿宋" w:hAnsi="仿宋" w:eastAsia="仿宋" w:cs="仿宋"/>
          <w:b/>
          <w:bCs/>
          <w:color w:val="auto"/>
          <w:spacing w:val="-1"/>
          <w:sz w:val="25"/>
          <w:szCs w:val="25"/>
          <w:u w:val="single" w:color="auto"/>
          <w:lang w:val="en-US" w:eastAsia="zh-CN"/>
        </w:rPr>
        <w:t>xx</w:t>
      </w:r>
    </w:p>
    <w:p w14:paraId="13EB9835">
      <w:pPr>
        <w:keepNext w:val="0"/>
        <w:keepLines w:val="0"/>
        <w:pageBreakBefore w:val="0"/>
        <w:widowControl w:val="0"/>
        <w:overflowPunct/>
        <w:bidi w:val="0"/>
        <w:spacing w:before="180" w:line="223"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2"/>
          <w:sz w:val="25"/>
          <w:szCs w:val="25"/>
        </w:rPr>
        <w:t>资质专业及等级：</w:t>
      </w:r>
      <w:r>
        <w:rPr>
          <w:rFonts w:hint="eastAsia" w:ascii="仿宋" w:hAnsi="仿宋" w:eastAsia="仿宋" w:cs="仿宋"/>
          <w:b/>
          <w:bCs/>
          <w:color w:val="auto"/>
          <w:spacing w:val="-2"/>
          <w:sz w:val="25"/>
          <w:szCs w:val="25"/>
          <w:u w:val="single" w:color="auto"/>
          <w:lang w:val="en-US" w:eastAsia="zh-CN"/>
        </w:rPr>
        <w:t>施工劳务不分等级</w:t>
      </w:r>
    </w:p>
    <w:p w14:paraId="49701B87">
      <w:pPr>
        <w:keepNext w:val="0"/>
        <w:keepLines w:val="0"/>
        <w:pageBreakBefore w:val="0"/>
        <w:widowControl w:val="0"/>
        <w:overflowPunct/>
        <w:bidi w:val="0"/>
        <w:spacing w:before="177" w:line="222" w:lineRule="auto"/>
        <w:ind w:left="74"/>
        <w:rPr>
          <w:rFonts w:hint="default" w:ascii="仿宋" w:hAnsi="仿宋" w:eastAsia="仿宋" w:cs="仿宋"/>
          <w:color w:val="auto"/>
          <w:sz w:val="25"/>
          <w:szCs w:val="25"/>
          <w:lang w:val="en-US" w:eastAsia="zh-CN"/>
        </w:rPr>
      </w:pPr>
      <w:r>
        <w:rPr>
          <w:rFonts w:ascii="仿宋" w:hAnsi="仿宋" w:eastAsia="仿宋" w:cs="仿宋"/>
          <w:color w:val="auto"/>
          <w:spacing w:val="-2"/>
          <w:sz w:val="25"/>
          <w:szCs w:val="25"/>
        </w:rPr>
        <w:t>安全生产许可证号码：</w:t>
      </w:r>
      <w:r>
        <w:rPr>
          <w:rFonts w:hint="eastAsia" w:ascii="仿宋" w:hAnsi="仿宋" w:eastAsia="仿宋" w:cs="仿宋"/>
          <w:b/>
          <w:bCs/>
          <w:color w:val="auto"/>
          <w:spacing w:val="-2"/>
          <w:sz w:val="25"/>
          <w:szCs w:val="25"/>
          <w:u w:val="single" w:color="auto"/>
          <w:lang w:val="en-US" w:eastAsia="zh-CN"/>
        </w:rPr>
        <w:t>xxxxx</w:t>
      </w:r>
    </w:p>
    <w:p w14:paraId="47346885">
      <w:pPr>
        <w:keepNext w:val="0"/>
        <w:keepLines w:val="0"/>
        <w:pageBreakBefore w:val="0"/>
        <w:widowControl w:val="0"/>
        <w:overflowPunct/>
        <w:bidi w:val="0"/>
        <w:spacing w:before="161" w:line="222" w:lineRule="auto"/>
        <w:ind w:left="74"/>
        <w:rPr>
          <w:rFonts w:hint="default" w:ascii="仿宋" w:hAnsi="仿宋" w:eastAsia="仿宋" w:cs="仿宋"/>
          <w:b/>
          <w:bCs/>
          <w:color w:val="auto"/>
          <w:spacing w:val="-10"/>
          <w:sz w:val="25"/>
          <w:szCs w:val="25"/>
          <w:u w:val="single" w:color="auto"/>
          <w:lang w:val="en-US" w:eastAsia="zh-CN"/>
        </w:rPr>
      </w:pPr>
      <w:r>
        <w:rPr>
          <w:rFonts w:ascii="仿宋" w:hAnsi="仿宋" w:eastAsia="仿宋" w:cs="仿宋"/>
          <w:color w:val="auto"/>
          <w:spacing w:val="-9"/>
          <w:sz w:val="25"/>
          <w:szCs w:val="25"/>
        </w:rPr>
        <w:t>纳税人识别号(统一社会信用代码</w:t>
      </w:r>
      <w:r>
        <w:rPr>
          <w:rFonts w:hint="eastAsia" w:ascii="仿宋" w:hAnsi="仿宋" w:eastAsia="仿宋" w:cs="仿宋"/>
          <w:color w:val="auto"/>
          <w:spacing w:val="-9"/>
          <w:sz w:val="25"/>
          <w:szCs w:val="25"/>
          <w:lang w:val="en-US" w:eastAsia="zh-CN"/>
        </w:rPr>
        <w:t>):</w:t>
      </w:r>
      <w:r>
        <w:rPr>
          <w:rFonts w:hint="eastAsia" w:ascii="仿宋" w:hAnsi="仿宋" w:eastAsia="仿宋" w:cs="仿宋"/>
          <w:b/>
          <w:bCs/>
          <w:color w:val="auto"/>
          <w:spacing w:val="-10"/>
          <w:sz w:val="25"/>
          <w:szCs w:val="25"/>
          <w:u w:val="single" w:color="auto"/>
          <w:lang w:val="en-US" w:eastAsia="zh-CN"/>
        </w:rPr>
        <w:t>xxxxxx</w:t>
      </w:r>
    </w:p>
    <w:p w14:paraId="45481D46">
      <w:pPr>
        <w:keepNext w:val="0"/>
        <w:keepLines w:val="0"/>
        <w:pageBreakBefore w:val="0"/>
        <w:widowControl w:val="0"/>
        <w:overflowPunct/>
        <w:bidi w:val="0"/>
        <w:spacing w:before="167" w:line="221" w:lineRule="auto"/>
        <w:ind w:left="74"/>
        <w:rPr>
          <w:rFonts w:hint="default" w:ascii="仿宋" w:hAnsi="仿宋" w:eastAsia="仿宋" w:cs="仿宋"/>
          <w:b/>
          <w:bCs/>
          <w:color w:val="auto"/>
          <w:spacing w:val="-10"/>
          <w:sz w:val="25"/>
          <w:szCs w:val="25"/>
          <w:u w:val="single" w:color="auto"/>
          <w:lang w:val="en-US" w:eastAsia="zh-CN"/>
        </w:rPr>
      </w:pPr>
      <w:r>
        <w:rPr>
          <w:rFonts w:ascii="仿宋" w:hAnsi="仿宋" w:eastAsia="仿宋" w:cs="仿宋"/>
          <w:color w:val="auto"/>
          <w:spacing w:val="-6"/>
          <w:sz w:val="25"/>
          <w:szCs w:val="25"/>
        </w:rPr>
        <w:t>开户银行名称</w:t>
      </w:r>
      <w:r>
        <w:rPr>
          <w:rFonts w:hint="eastAsia" w:ascii="仿宋" w:hAnsi="仿宋" w:eastAsia="仿宋" w:cs="仿宋"/>
          <w:color w:val="auto"/>
          <w:spacing w:val="-6"/>
          <w:sz w:val="25"/>
          <w:szCs w:val="25"/>
          <w:lang w:val="en-US" w:eastAsia="zh-CN"/>
        </w:rPr>
        <w:t>：</w:t>
      </w:r>
      <w:r>
        <w:rPr>
          <w:rFonts w:hint="eastAsia" w:ascii="仿宋" w:hAnsi="仿宋" w:eastAsia="仿宋" w:cs="仿宋"/>
          <w:b/>
          <w:bCs/>
          <w:color w:val="auto"/>
          <w:spacing w:val="-10"/>
          <w:sz w:val="25"/>
          <w:szCs w:val="25"/>
          <w:u w:val="single" w:color="auto"/>
          <w:lang w:val="en-US" w:eastAsia="zh-CN"/>
        </w:rPr>
        <w:t>xxxxxx</w:t>
      </w:r>
    </w:p>
    <w:p w14:paraId="2E1080E5">
      <w:pPr>
        <w:keepNext w:val="0"/>
        <w:keepLines w:val="0"/>
        <w:pageBreakBefore w:val="0"/>
        <w:widowControl w:val="0"/>
        <w:overflowPunct/>
        <w:bidi w:val="0"/>
        <w:spacing w:before="167" w:line="221" w:lineRule="auto"/>
        <w:ind w:left="74"/>
        <w:rPr>
          <w:rFonts w:hint="default" w:ascii="仿宋" w:hAnsi="仿宋" w:eastAsia="仿宋" w:cs="仿宋"/>
          <w:color w:val="auto"/>
          <w:sz w:val="25"/>
          <w:szCs w:val="25"/>
          <w:lang w:val="en-US" w:eastAsia="zh-CN"/>
        </w:rPr>
      </w:pPr>
      <w:r>
        <w:rPr>
          <w:rFonts w:hint="eastAsia" w:ascii="仿宋" w:hAnsi="仿宋" w:eastAsia="仿宋" w:cs="仿宋"/>
          <w:color w:val="auto"/>
          <w:spacing w:val="-6"/>
          <w:sz w:val="25"/>
          <w:szCs w:val="25"/>
          <w:lang w:val="en-US" w:eastAsia="zh-CN"/>
        </w:rPr>
        <w:t>开户银行账号：</w:t>
      </w:r>
      <w:r>
        <w:rPr>
          <w:rFonts w:hint="eastAsia" w:ascii="仿宋" w:hAnsi="仿宋" w:eastAsia="仿宋" w:cs="仿宋"/>
          <w:b/>
          <w:bCs/>
          <w:color w:val="auto"/>
          <w:spacing w:val="-10"/>
          <w:sz w:val="25"/>
          <w:szCs w:val="25"/>
          <w:u w:val="single" w:color="auto"/>
          <w:lang w:val="en-US" w:eastAsia="zh-CN"/>
        </w:rPr>
        <w:t>xxxxxx</w:t>
      </w:r>
    </w:p>
    <w:p w14:paraId="52E3554F">
      <w:pPr>
        <w:keepNext w:val="0"/>
        <w:keepLines w:val="0"/>
        <w:pageBreakBefore w:val="0"/>
        <w:widowControl w:val="0"/>
        <w:overflowPunct/>
        <w:bidi w:val="0"/>
        <w:spacing w:before="154" w:line="220" w:lineRule="auto"/>
        <w:ind w:left="74"/>
        <w:rPr>
          <w:rFonts w:ascii="仿宋" w:hAnsi="仿宋" w:eastAsia="仿宋" w:cs="仿宋"/>
          <w:color w:val="auto"/>
          <w:sz w:val="25"/>
          <w:szCs w:val="25"/>
        </w:rPr>
      </w:pPr>
      <w:r>
        <w:rPr>
          <w:rFonts w:ascii="仿宋" w:hAnsi="仿宋" w:eastAsia="仿宋" w:cs="仿宋"/>
          <w:color w:val="auto"/>
          <w:spacing w:val="12"/>
          <w:sz w:val="25"/>
          <w:szCs w:val="25"/>
        </w:rPr>
        <w:t>纳税人类型：</w:t>
      </w:r>
      <w:r>
        <w:rPr>
          <w:rFonts w:hint="eastAsia" w:ascii="仿宋" w:hAnsi="仿宋" w:eastAsia="仿宋" w:cs="仿宋"/>
          <w:color w:val="auto"/>
          <w:spacing w:val="12"/>
          <w:sz w:val="25"/>
          <w:szCs w:val="25"/>
          <w:lang w:eastAsia="zh-CN"/>
        </w:rPr>
        <w:t>☑</w:t>
      </w:r>
      <w:r>
        <w:rPr>
          <w:rFonts w:ascii="仿宋" w:hAnsi="仿宋" w:eastAsia="仿宋" w:cs="仿宋"/>
          <w:color w:val="auto"/>
          <w:spacing w:val="12"/>
          <w:sz w:val="25"/>
          <w:szCs w:val="25"/>
        </w:rPr>
        <w:t>一般纳税人□小规模纳税人□其他：(请详细说明)</w:t>
      </w:r>
    </w:p>
    <w:p w14:paraId="0A0074E5">
      <w:pPr>
        <w:keepNext w:val="0"/>
        <w:keepLines w:val="0"/>
        <w:pageBreakBefore w:val="0"/>
        <w:widowControl w:val="0"/>
        <w:overflowPunct/>
        <w:bidi w:val="0"/>
        <w:spacing w:before="181" w:line="222" w:lineRule="auto"/>
        <w:ind w:left="74"/>
        <w:rPr>
          <w:rFonts w:ascii="仿宋" w:hAnsi="仿宋" w:eastAsia="仿宋" w:cs="仿宋"/>
          <w:color w:val="auto"/>
          <w:sz w:val="25"/>
          <w:szCs w:val="25"/>
        </w:rPr>
      </w:pPr>
      <w:r>
        <w:rPr>
          <w:rFonts w:ascii="仿宋" w:hAnsi="仿宋" w:eastAsia="仿宋" w:cs="仿宋"/>
          <w:color w:val="auto"/>
          <w:spacing w:val="-5"/>
          <w:sz w:val="25"/>
          <w:szCs w:val="25"/>
        </w:rPr>
        <w:t>增值税发票类型：</w:t>
      </w:r>
      <w:r>
        <w:rPr>
          <w:rFonts w:ascii="MS Gothic" w:hAnsi="MS Gothic" w:eastAsia="MS Gothic" w:cs="MS Gothic"/>
          <w:color w:val="auto"/>
          <w:spacing w:val="-5"/>
          <w:sz w:val="25"/>
          <w:szCs w:val="25"/>
        </w:rPr>
        <w:t>☑</w:t>
      </w:r>
      <w:r>
        <w:rPr>
          <w:rFonts w:ascii="MS Gothic" w:hAnsi="MS Gothic" w:eastAsia="MS Gothic" w:cs="MS Gothic"/>
          <w:color w:val="auto"/>
          <w:spacing w:val="-28"/>
          <w:sz w:val="25"/>
          <w:szCs w:val="25"/>
        </w:rPr>
        <w:t xml:space="preserve"> </w:t>
      </w:r>
      <w:r>
        <w:rPr>
          <w:rFonts w:ascii="仿宋" w:hAnsi="仿宋" w:eastAsia="仿宋" w:cs="仿宋"/>
          <w:b/>
          <w:bCs/>
          <w:color w:val="auto"/>
          <w:spacing w:val="-5"/>
          <w:sz w:val="25"/>
          <w:szCs w:val="25"/>
        </w:rPr>
        <w:t>增值税专用发票</w:t>
      </w:r>
      <w:r>
        <w:rPr>
          <w:rFonts w:hint="eastAsia" w:ascii="仿宋" w:hAnsi="仿宋" w:eastAsia="仿宋" w:cs="仿宋"/>
          <w:b/>
          <w:bCs/>
          <w:color w:val="auto"/>
          <w:spacing w:val="-5"/>
          <w:sz w:val="25"/>
          <w:szCs w:val="25"/>
          <w:lang w:val="en-US" w:eastAsia="zh-CN"/>
        </w:rPr>
        <w:t xml:space="preserve">     </w:t>
      </w:r>
      <w:r>
        <w:rPr>
          <w:rFonts w:ascii="仿宋" w:hAnsi="仿宋" w:eastAsia="仿宋" w:cs="仿宋"/>
          <w:b/>
          <w:bCs/>
          <w:color w:val="auto"/>
          <w:spacing w:val="-5"/>
          <w:sz w:val="25"/>
          <w:szCs w:val="25"/>
        </w:rPr>
        <w:t>□增值税普通发票</w:t>
      </w:r>
    </w:p>
    <w:p w14:paraId="4BD4B395">
      <w:pPr>
        <w:keepNext w:val="0"/>
        <w:keepLines w:val="0"/>
        <w:pageBreakBefore w:val="0"/>
        <w:widowControl w:val="0"/>
        <w:overflowPunct/>
        <w:bidi w:val="0"/>
        <w:spacing w:line="222" w:lineRule="auto"/>
        <w:rPr>
          <w:rFonts w:ascii="仿宋" w:hAnsi="仿宋" w:eastAsia="仿宋" w:cs="仿宋"/>
          <w:color w:val="auto"/>
          <w:sz w:val="25"/>
          <w:szCs w:val="25"/>
        </w:rPr>
        <w:sectPr>
          <w:footerReference r:id="rId6" w:type="default"/>
          <w:pgSz w:w="11900" w:h="16830"/>
          <w:pgMar w:top="1430" w:right="1785" w:bottom="1275" w:left="1785" w:header="0" w:footer="397" w:gutter="0"/>
          <w:pgNumType w:fmt="decimal" w:start="1"/>
          <w:cols w:space="720" w:num="1"/>
        </w:sectPr>
      </w:pPr>
    </w:p>
    <w:p w14:paraId="1491A9D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 w:name="bookmark26"/>
      <w:bookmarkEnd w:id="4"/>
      <w:r>
        <w:rPr>
          <w:rFonts w:hint="eastAsia" w:ascii="仿宋" w:hAnsi="仿宋" w:eastAsia="仿宋" w:cs="仿宋"/>
          <w:snapToGrid/>
          <w:kern w:val="2"/>
          <w:sz w:val="25"/>
          <w:szCs w:val="25"/>
          <w:lang w:eastAsia="zh-CN"/>
        </w:rPr>
        <w:t>依照《中华人民共和国民法典》及其它有关法律、法规的规定，为确保工程优质、按期完工，甲乙双方本着诚实信用原则，经自愿、平等协商就</w:t>
      </w:r>
      <w:r>
        <w:rPr>
          <w:rFonts w:hint="eastAsia" w:ascii="仿宋" w:hAnsi="仿宋" w:eastAsia="仿宋" w:cs="仿宋"/>
          <w:snapToGrid/>
          <w:kern w:val="2"/>
          <w:sz w:val="25"/>
          <w:szCs w:val="25"/>
          <w:u w:val="single"/>
          <w:lang w:eastAsia="zh-CN"/>
        </w:rPr>
        <w:t>金沙江下游白鹤滩翻坝转运设施（白鹤滩码头）建设项目</w:t>
      </w:r>
      <w:r>
        <w:rPr>
          <w:rFonts w:hint="eastAsia" w:ascii="仿宋" w:hAnsi="仿宋" w:eastAsia="仿宋" w:cs="仿宋"/>
          <w:snapToGrid/>
          <w:kern w:val="2"/>
          <w:sz w:val="25"/>
          <w:szCs w:val="25"/>
          <w:lang w:val="en-US" w:eastAsia="zh-CN"/>
        </w:rPr>
        <w:t>xxxxxx</w:t>
      </w:r>
      <w:r>
        <w:rPr>
          <w:rFonts w:hint="eastAsia" w:ascii="仿宋" w:hAnsi="仿宋" w:eastAsia="仿宋" w:cs="仿宋"/>
          <w:snapToGrid/>
          <w:kern w:val="2"/>
          <w:sz w:val="25"/>
          <w:szCs w:val="25"/>
          <w:lang w:eastAsia="zh-CN"/>
        </w:rPr>
        <w:t>劳务分包事项达成一致，且乙方已充分注意、理解本合同各项条款的约定，并自愿履行由此产生的全部义务，特订立本合同，以兹共同遵守。</w:t>
      </w:r>
    </w:p>
    <w:p w14:paraId="1C7B1D89">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5" w:name="_Toc16608"/>
      <w:r>
        <w:rPr>
          <w:rFonts w:hint="eastAsia" w:ascii="仿宋" w:hAnsi="仿宋" w:eastAsia="仿宋" w:cs="仿宋"/>
          <w:b/>
          <w:bCs/>
          <w:snapToGrid/>
          <w:kern w:val="2"/>
          <w:sz w:val="25"/>
          <w:szCs w:val="25"/>
          <w:lang w:eastAsia="zh-CN"/>
        </w:rPr>
        <w:t>一、项目概况</w:t>
      </w:r>
      <w:bookmarkEnd w:id="5"/>
    </w:p>
    <w:p w14:paraId="7ADAB11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1、项目名称：</w:t>
      </w:r>
      <w:r>
        <w:rPr>
          <w:rFonts w:hint="eastAsia" w:ascii="仿宋" w:hAnsi="仿宋" w:eastAsia="仿宋" w:cs="仿宋"/>
          <w:b/>
          <w:bCs/>
          <w:snapToGrid/>
          <w:kern w:val="2"/>
          <w:sz w:val="25"/>
          <w:szCs w:val="25"/>
          <w:u w:val="single"/>
          <w:lang w:eastAsia="zh-CN"/>
        </w:rPr>
        <w:t>金沙江下游白鹤滩翻坝转运设施（白鹤滩码头）建设项目</w:t>
      </w:r>
      <w:r>
        <w:rPr>
          <w:rFonts w:hint="eastAsia" w:ascii="仿宋" w:hAnsi="仿宋" w:eastAsia="仿宋" w:cs="仿宋"/>
          <w:snapToGrid/>
          <w:kern w:val="2"/>
          <w:sz w:val="25"/>
          <w:szCs w:val="25"/>
          <w:lang w:val="en-US" w:eastAsia="zh-CN"/>
        </w:rPr>
        <w:t xml:space="preserve">                                </w:t>
      </w:r>
    </w:p>
    <w:p w14:paraId="0CF5EB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2、项目地点：</w:t>
      </w:r>
      <w:r>
        <w:rPr>
          <w:rFonts w:hint="eastAsia" w:ascii="仿宋" w:hAnsi="仿宋" w:eastAsia="仿宋" w:cs="仿宋"/>
          <w:b/>
          <w:bCs/>
          <w:snapToGrid/>
          <w:kern w:val="2"/>
          <w:sz w:val="25"/>
          <w:szCs w:val="25"/>
          <w:u w:val="single"/>
          <w:lang w:eastAsia="zh-CN"/>
        </w:rPr>
        <w:t>凉山彝族自治州</w:t>
      </w:r>
      <w:r>
        <w:rPr>
          <w:rFonts w:hint="eastAsia" w:ascii="仿宋" w:hAnsi="仿宋" w:eastAsia="仿宋" w:cs="仿宋"/>
          <w:b/>
          <w:bCs/>
          <w:snapToGrid/>
          <w:kern w:val="2"/>
          <w:sz w:val="25"/>
          <w:szCs w:val="25"/>
          <w:u w:val="single"/>
          <w:lang w:val="en-US" w:eastAsia="zh-CN"/>
        </w:rPr>
        <w:t>宁南县白鹤滩镇</w:t>
      </w:r>
      <w:r>
        <w:rPr>
          <w:rFonts w:hint="eastAsia" w:ascii="仿宋" w:hAnsi="仿宋" w:eastAsia="仿宋" w:cs="仿宋"/>
          <w:b/>
          <w:bCs/>
          <w:snapToGrid/>
          <w:kern w:val="2"/>
          <w:sz w:val="25"/>
          <w:szCs w:val="25"/>
          <w:lang w:val="en-US" w:eastAsia="zh-CN"/>
        </w:rPr>
        <w:t xml:space="preserve">  </w:t>
      </w:r>
      <w:r>
        <w:rPr>
          <w:rFonts w:hint="eastAsia" w:ascii="仿宋" w:hAnsi="仿宋" w:eastAsia="仿宋" w:cs="仿宋"/>
          <w:snapToGrid/>
          <w:kern w:val="2"/>
          <w:sz w:val="25"/>
          <w:szCs w:val="25"/>
          <w:lang w:val="en-US" w:eastAsia="zh-CN"/>
        </w:rPr>
        <w:t xml:space="preserve">              </w:t>
      </w:r>
    </w:p>
    <w:p w14:paraId="1E42D00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 xml:space="preserve">3、本项目采用 </w:t>
      </w:r>
      <w:r>
        <w:rPr>
          <w:rFonts w:hint="eastAsia" w:ascii="仿宋" w:hAnsi="仿宋" w:eastAsia="仿宋" w:cs="仿宋"/>
          <w:b/>
          <w:bCs/>
          <w:snapToGrid/>
          <w:kern w:val="2"/>
          <w:sz w:val="25"/>
          <w:szCs w:val="25"/>
          <w:u w:val="single"/>
          <w:lang w:eastAsia="zh-CN"/>
        </w:rPr>
        <w:t>一般计税</w:t>
      </w:r>
      <w:r>
        <w:rPr>
          <w:rFonts w:hint="eastAsia" w:ascii="仿宋" w:hAnsi="仿宋" w:eastAsia="仿宋" w:cs="仿宋"/>
          <w:snapToGrid/>
          <w:kern w:val="2"/>
          <w:sz w:val="25"/>
          <w:szCs w:val="25"/>
          <w:lang w:eastAsia="zh-CN"/>
        </w:rPr>
        <w:t>方法计算增值税，税率为</w:t>
      </w:r>
      <w:r>
        <w:rPr>
          <w:rFonts w:hint="eastAsia" w:ascii="仿宋" w:hAnsi="仿宋" w:eastAsia="仿宋" w:cs="仿宋"/>
          <w:b/>
          <w:bCs/>
          <w:snapToGrid/>
          <w:kern w:val="2"/>
          <w:sz w:val="25"/>
          <w:szCs w:val="25"/>
          <w:u w:val="single"/>
          <w:lang w:eastAsia="zh-CN"/>
        </w:rPr>
        <w:t>3</w:t>
      </w:r>
      <w:r>
        <w:rPr>
          <w:rFonts w:hint="eastAsia" w:ascii="仿宋" w:hAnsi="仿宋" w:eastAsia="仿宋" w:cs="仿宋"/>
          <w:b/>
          <w:bCs/>
          <w:snapToGrid/>
          <w:kern w:val="2"/>
          <w:sz w:val="25"/>
          <w:szCs w:val="25"/>
          <w:lang w:eastAsia="zh-CN"/>
        </w:rPr>
        <w:t>%</w:t>
      </w:r>
    </w:p>
    <w:p w14:paraId="62EF3D52">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6" w:name="_Toc9362"/>
      <w:r>
        <w:rPr>
          <w:rFonts w:hint="eastAsia" w:ascii="仿宋" w:hAnsi="仿宋" w:eastAsia="仿宋" w:cs="仿宋"/>
          <w:b/>
          <w:bCs/>
          <w:snapToGrid/>
          <w:kern w:val="2"/>
          <w:sz w:val="25"/>
          <w:szCs w:val="25"/>
          <w:lang w:eastAsia="zh-CN"/>
        </w:rPr>
        <w:t>二、合同范围</w:t>
      </w:r>
      <w:bookmarkEnd w:id="6"/>
    </w:p>
    <w:p w14:paraId="4F46CDFA">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1、主要合同</w:t>
      </w:r>
      <w:r>
        <w:rPr>
          <w:rFonts w:hint="eastAsia" w:ascii="仿宋" w:hAnsi="仿宋" w:eastAsia="仿宋" w:cs="仿宋"/>
          <w:b/>
          <w:bCs/>
          <w:snapToGrid/>
          <w:kern w:val="2"/>
          <w:sz w:val="25"/>
          <w:szCs w:val="25"/>
          <w:lang w:val="en-US" w:eastAsia="zh-CN"/>
        </w:rPr>
        <w:t>范围</w:t>
      </w:r>
    </w:p>
    <w:p w14:paraId="4F70C86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本工程图纸范围内包括但不限于：</w:t>
      </w:r>
    </w:p>
    <w:p w14:paraId="724BFC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color w:val="000000"/>
          <w:kern w:val="2"/>
          <w:sz w:val="25"/>
          <w:szCs w:val="25"/>
          <w:lang w:val="en-US" w:eastAsia="zh-CN" w:bidi="ar-SA"/>
        </w:rPr>
      </w:pPr>
      <w:r>
        <w:rPr>
          <w:rFonts w:hint="eastAsia" w:ascii="仿宋" w:hAnsi="仿宋" w:eastAsia="仿宋" w:cs="仿宋"/>
          <w:snapToGrid/>
          <w:color w:val="000000"/>
          <w:kern w:val="2"/>
          <w:sz w:val="25"/>
          <w:szCs w:val="25"/>
          <w:lang w:val="en-US" w:eastAsia="zh-CN" w:bidi="ar-SA"/>
        </w:rPr>
        <w:t>xxxxx</w:t>
      </w:r>
    </w:p>
    <w:p w14:paraId="67C39F2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color w:val="000000"/>
          <w:kern w:val="2"/>
          <w:sz w:val="25"/>
          <w:szCs w:val="25"/>
          <w:lang w:val="en-US" w:eastAsia="en-US" w:bidi="ar-SA"/>
        </w:rPr>
      </w:pPr>
      <w:r>
        <w:rPr>
          <w:rFonts w:hint="default" w:ascii="仿宋" w:hAnsi="仿宋" w:eastAsia="仿宋" w:cs="仿宋"/>
          <w:snapToGrid/>
          <w:color w:val="000000"/>
          <w:kern w:val="2"/>
          <w:sz w:val="25"/>
          <w:szCs w:val="25"/>
          <w:lang w:val="en-US" w:eastAsia="en-US" w:bidi="ar-SA"/>
        </w:rPr>
        <w:t>临水临电工程</w:t>
      </w:r>
    </w:p>
    <w:p w14:paraId="663FB0C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临水工程：由甲方</w:t>
      </w:r>
      <w:r>
        <w:rPr>
          <w:rFonts w:hint="eastAsia" w:ascii="仿宋" w:hAnsi="仿宋" w:eastAsia="仿宋" w:cs="仿宋"/>
          <w:snapToGrid/>
          <w:kern w:val="2"/>
          <w:sz w:val="25"/>
          <w:szCs w:val="25"/>
          <w:lang w:val="en-US" w:eastAsia="zh-CN"/>
        </w:rPr>
        <w:t>按临水方案</w:t>
      </w:r>
      <w:r>
        <w:rPr>
          <w:rFonts w:hint="default" w:ascii="仿宋" w:hAnsi="仿宋" w:eastAsia="仿宋" w:cs="仿宋"/>
          <w:snapToGrid/>
          <w:kern w:val="2"/>
          <w:sz w:val="25"/>
          <w:szCs w:val="25"/>
          <w:lang w:val="en-US" w:eastAsia="en-US"/>
        </w:rPr>
        <w:t>提供</w:t>
      </w:r>
      <w:r>
        <w:rPr>
          <w:rFonts w:hint="eastAsia" w:ascii="仿宋" w:hAnsi="仿宋" w:eastAsia="仿宋" w:cs="仿宋"/>
          <w:snapToGrid/>
          <w:kern w:val="2"/>
          <w:sz w:val="25"/>
          <w:szCs w:val="25"/>
          <w:lang w:val="en-US" w:eastAsia="zh-CN"/>
        </w:rPr>
        <w:t>环网</w:t>
      </w:r>
      <w:r>
        <w:rPr>
          <w:rFonts w:hint="default" w:ascii="仿宋" w:hAnsi="仿宋" w:eastAsia="仿宋" w:cs="仿宋"/>
          <w:snapToGrid/>
          <w:kern w:val="2"/>
          <w:sz w:val="25"/>
          <w:szCs w:val="25"/>
          <w:lang w:val="en-US" w:eastAsia="en-US"/>
        </w:rPr>
        <w:t>临水接入点，乙方负责完成从临水接入点往下至各个工作面的管路接入及养护工作（含材料），施工用水费用由</w:t>
      </w:r>
      <w:r>
        <w:rPr>
          <w:rFonts w:hint="eastAsia" w:ascii="仿宋" w:hAnsi="仿宋" w:eastAsia="仿宋" w:cs="仿宋"/>
          <w:snapToGrid/>
          <w:kern w:val="2"/>
          <w:sz w:val="25"/>
          <w:szCs w:val="25"/>
          <w:lang w:val="en-US" w:eastAsia="zh-CN"/>
        </w:rPr>
        <w:t>乙</w:t>
      </w:r>
      <w:r>
        <w:rPr>
          <w:rFonts w:hint="default" w:ascii="仿宋" w:hAnsi="仿宋" w:eastAsia="仿宋" w:cs="仿宋"/>
          <w:snapToGrid/>
          <w:kern w:val="2"/>
          <w:sz w:val="25"/>
          <w:szCs w:val="25"/>
          <w:lang w:val="en-US" w:eastAsia="en-US"/>
        </w:rPr>
        <w:t>方承担。</w:t>
      </w:r>
    </w:p>
    <w:p w14:paraId="69A73BC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临电工程：</w:t>
      </w:r>
      <w:r>
        <w:rPr>
          <w:rFonts w:hint="default" w:ascii="仿宋" w:hAnsi="仿宋" w:eastAsia="仿宋" w:cs="仿宋"/>
          <w:snapToGrid w:val="0"/>
          <w:color w:val="auto"/>
          <w:spacing w:val="-14"/>
          <w:kern w:val="0"/>
          <w:sz w:val="25"/>
          <w:szCs w:val="25"/>
          <w:lang w:val="en-US" w:eastAsia="en-US" w:bidi="ar-SA"/>
        </w:rPr>
        <w:t>由</w:t>
      </w:r>
      <w:r>
        <w:rPr>
          <w:rFonts w:hint="eastAsia" w:ascii="仿宋" w:hAnsi="仿宋" w:eastAsia="仿宋" w:cs="仿宋"/>
          <w:snapToGrid w:val="0"/>
          <w:color w:val="auto"/>
          <w:spacing w:val="-14"/>
          <w:kern w:val="0"/>
          <w:sz w:val="25"/>
          <w:szCs w:val="25"/>
          <w:lang w:val="en-US" w:eastAsia="zh-CN" w:bidi="ar-SA"/>
        </w:rPr>
        <w:t>乙</w:t>
      </w:r>
      <w:r>
        <w:rPr>
          <w:rFonts w:hint="default" w:ascii="仿宋" w:hAnsi="仿宋" w:eastAsia="仿宋" w:cs="仿宋"/>
          <w:snapToGrid w:val="0"/>
          <w:color w:val="auto"/>
          <w:spacing w:val="-14"/>
          <w:kern w:val="0"/>
          <w:sz w:val="25"/>
          <w:szCs w:val="25"/>
          <w:lang w:val="en-US" w:eastAsia="en-US" w:bidi="ar-SA"/>
        </w:rPr>
        <w:t>方</w:t>
      </w:r>
      <w:r>
        <w:rPr>
          <w:rFonts w:hint="eastAsia" w:ascii="仿宋" w:hAnsi="仿宋" w:eastAsia="仿宋" w:cs="仿宋"/>
          <w:snapToGrid w:val="0"/>
          <w:color w:val="auto"/>
          <w:spacing w:val="-14"/>
          <w:kern w:val="0"/>
          <w:sz w:val="25"/>
          <w:szCs w:val="25"/>
          <w:lang w:val="en-US" w:eastAsia="zh-CN" w:bidi="ar-SA"/>
        </w:rPr>
        <w:t>按甲方临电施工方案实施一、</w:t>
      </w:r>
      <w:r>
        <w:rPr>
          <w:rFonts w:hint="default" w:ascii="仿宋" w:hAnsi="仿宋" w:eastAsia="仿宋" w:cs="仿宋"/>
          <w:snapToGrid w:val="0"/>
          <w:color w:val="auto"/>
          <w:spacing w:val="-14"/>
          <w:kern w:val="0"/>
          <w:sz w:val="25"/>
          <w:szCs w:val="25"/>
          <w:lang w:val="en-US" w:eastAsia="en-US" w:bidi="ar-SA"/>
        </w:rPr>
        <w:t>二</w:t>
      </w:r>
      <w:r>
        <w:rPr>
          <w:rFonts w:hint="eastAsia" w:ascii="仿宋" w:hAnsi="仿宋" w:eastAsia="仿宋" w:cs="仿宋"/>
          <w:snapToGrid w:val="0"/>
          <w:color w:val="auto"/>
          <w:spacing w:val="-14"/>
          <w:kern w:val="0"/>
          <w:sz w:val="25"/>
          <w:szCs w:val="25"/>
          <w:lang w:val="en-US" w:eastAsia="zh-CN" w:bidi="ar-SA"/>
        </w:rPr>
        <w:t>、三</w:t>
      </w:r>
      <w:r>
        <w:rPr>
          <w:rFonts w:hint="default" w:ascii="仿宋" w:hAnsi="仿宋" w:eastAsia="仿宋" w:cs="仿宋"/>
          <w:snapToGrid w:val="0"/>
          <w:color w:val="auto"/>
          <w:spacing w:val="-14"/>
          <w:kern w:val="0"/>
          <w:sz w:val="25"/>
          <w:szCs w:val="25"/>
          <w:lang w:val="en-US" w:eastAsia="en-US" w:bidi="ar-SA"/>
        </w:rPr>
        <w:t>级配电箱，</w:t>
      </w:r>
      <w:r>
        <w:rPr>
          <w:rFonts w:hint="eastAsia" w:ascii="仿宋" w:hAnsi="仿宋" w:eastAsia="仿宋" w:cs="仿宋"/>
          <w:snapToGrid w:val="0"/>
          <w:color w:val="auto"/>
          <w:spacing w:val="-14"/>
          <w:kern w:val="0"/>
          <w:sz w:val="25"/>
          <w:szCs w:val="25"/>
          <w:lang w:val="en-US" w:eastAsia="zh-CN" w:bidi="ar-SA"/>
        </w:rPr>
        <w:t>一、</w:t>
      </w:r>
      <w:r>
        <w:rPr>
          <w:rFonts w:hint="default" w:ascii="仿宋" w:hAnsi="仿宋" w:eastAsia="仿宋" w:cs="仿宋"/>
          <w:snapToGrid w:val="0"/>
          <w:color w:val="auto"/>
          <w:spacing w:val="-14"/>
          <w:kern w:val="0"/>
          <w:sz w:val="25"/>
          <w:szCs w:val="25"/>
          <w:lang w:val="en-US" w:eastAsia="en-US" w:bidi="ar-SA"/>
        </w:rPr>
        <w:t>二</w:t>
      </w:r>
      <w:r>
        <w:rPr>
          <w:rFonts w:hint="eastAsia" w:ascii="仿宋" w:hAnsi="仿宋" w:eastAsia="仿宋" w:cs="仿宋"/>
          <w:snapToGrid w:val="0"/>
          <w:color w:val="auto"/>
          <w:spacing w:val="-14"/>
          <w:kern w:val="0"/>
          <w:sz w:val="25"/>
          <w:szCs w:val="25"/>
          <w:lang w:val="en-US" w:eastAsia="zh-CN" w:bidi="ar-SA"/>
        </w:rPr>
        <w:t>、三</w:t>
      </w:r>
      <w:r>
        <w:rPr>
          <w:rFonts w:hint="default" w:ascii="仿宋" w:hAnsi="仿宋" w:eastAsia="仿宋" w:cs="仿宋"/>
          <w:snapToGrid w:val="0"/>
          <w:color w:val="auto"/>
          <w:spacing w:val="-14"/>
          <w:kern w:val="0"/>
          <w:sz w:val="25"/>
          <w:szCs w:val="25"/>
          <w:lang w:val="en-US" w:eastAsia="en-US" w:bidi="ar-SA"/>
        </w:rPr>
        <w:t>级配电箱以及所有电源箱、电源线、灯具、开关、插座、设备、机械（不包含塔吊）由乙方提供，乙方应配备专业电工进行现场用电维护，电工应满足持证上岗要求，施工用电费用由甲方承担。</w:t>
      </w:r>
    </w:p>
    <w:p w14:paraId="6634A84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成品保护：成品保护除对乙方自身完成的产品保护外，还应对其他工种、交叉作业队伍产品的保护。</w:t>
      </w:r>
    </w:p>
    <w:p w14:paraId="1617FAE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default" w:ascii="仿宋" w:hAnsi="仿宋" w:eastAsia="仿宋" w:cs="仿宋"/>
          <w:snapToGrid/>
          <w:kern w:val="2"/>
          <w:sz w:val="25"/>
          <w:szCs w:val="25"/>
          <w:lang w:val="en-US" w:eastAsia="en-US"/>
        </w:rPr>
        <w:t>来料卸车</w:t>
      </w:r>
      <w:r>
        <w:rPr>
          <w:rFonts w:hint="eastAsia" w:ascii="仿宋" w:hAnsi="仿宋" w:eastAsia="仿宋" w:cs="仿宋"/>
          <w:snapToGrid/>
          <w:kern w:val="2"/>
          <w:sz w:val="25"/>
          <w:szCs w:val="25"/>
          <w:lang w:val="en-US" w:eastAsia="zh-CN"/>
        </w:rPr>
        <w:t>：</w:t>
      </w:r>
    </w:p>
    <w:p w14:paraId="52DA12D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（1）甲方提供的材料如有卸车时，乙方应无条件安排卸车人员并承担相应的费用，包含但不限于人工费用、劳动保护费用等。</w:t>
      </w:r>
    </w:p>
    <w:p w14:paraId="2ED05C2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（2）来料卸车包含的内容：钢筋、砼</w:t>
      </w:r>
      <w:r>
        <w:rPr>
          <w:rFonts w:hint="eastAsia" w:ascii="仿宋" w:hAnsi="仿宋" w:eastAsia="仿宋" w:cs="仿宋"/>
          <w:snapToGrid/>
          <w:kern w:val="2"/>
          <w:sz w:val="25"/>
          <w:szCs w:val="25"/>
          <w:lang w:val="en-US" w:eastAsia="zh-CN"/>
        </w:rPr>
        <w:t>、砂、碎石、安全设施用品、水泥</w:t>
      </w:r>
      <w:r>
        <w:rPr>
          <w:rFonts w:hint="default" w:ascii="仿宋" w:hAnsi="仿宋" w:eastAsia="仿宋" w:cs="仿宋"/>
          <w:snapToGrid/>
          <w:kern w:val="2"/>
          <w:sz w:val="25"/>
          <w:szCs w:val="25"/>
          <w:lang w:val="en-US" w:eastAsia="en-US"/>
        </w:rPr>
        <w:t>及其他零星材料等。</w:t>
      </w:r>
    </w:p>
    <w:p w14:paraId="4E2D79C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（3）二次及多次转运材料</w:t>
      </w:r>
      <w:r>
        <w:rPr>
          <w:rFonts w:hint="eastAsia" w:ascii="仿宋" w:hAnsi="仿宋" w:eastAsia="仿宋" w:cs="仿宋"/>
          <w:snapToGrid/>
          <w:kern w:val="2"/>
          <w:sz w:val="25"/>
          <w:szCs w:val="25"/>
          <w:lang w:val="en-US" w:eastAsia="zh-CN"/>
        </w:rPr>
        <w:t>：乙方应无条件进行</w:t>
      </w:r>
      <w:r>
        <w:rPr>
          <w:rFonts w:hint="default" w:ascii="仿宋" w:hAnsi="仿宋" w:eastAsia="仿宋" w:cs="仿宋"/>
          <w:snapToGrid/>
          <w:kern w:val="2"/>
          <w:sz w:val="25"/>
          <w:szCs w:val="25"/>
          <w:lang w:val="en-US" w:eastAsia="en-US"/>
        </w:rPr>
        <w:t>包括材料、周转材料进场下车、退场装车、水平运输、场地码放以及根据现场需要的其他转运工作。</w:t>
      </w:r>
    </w:p>
    <w:p w14:paraId="1E28ADB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default" w:ascii="仿宋" w:hAnsi="仿宋" w:eastAsia="仿宋" w:cs="仿宋"/>
          <w:snapToGrid/>
          <w:kern w:val="2"/>
          <w:sz w:val="25"/>
          <w:szCs w:val="25"/>
          <w:lang w:val="en-US" w:eastAsia="en-US"/>
        </w:rPr>
        <w:t>标准化施工</w:t>
      </w:r>
      <w:r>
        <w:rPr>
          <w:rFonts w:hint="eastAsia" w:ascii="仿宋" w:hAnsi="仿宋" w:eastAsia="仿宋" w:cs="仿宋"/>
          <w:snapToGrid/>
          <w:kern w:val="2"/>
          <w:sz w:val="25"/>
          <w:szCs w:val="25"/>
          <w:lang w:val="en-US" w:eastAsia="zh-CN"/>
        </w:rPr>
        <w:t>：</w:t>
      </w:r>
    </w:p>
    <w:p w14:paraId="4CCAB4A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en-US"/>
        </w:rPr>
      </w:pPr>
      <w:r>
        <w:rPr>
          <w:rFonts w:hint="default" w:ascii="仿宋" w:hAnsi="仿宋" w:eastAsia="仿宋" w:cs="仿宋"/>
          <w:snapToGrid/>
          <w:kern w:val="2"/>
          <w:sz w:val="25"/>
          <w:szCs w:val="25"/>
          <w:lang w:val="en-US" w:eastAsia="en-US"/>
        </w:rPr>
        <w:t>（1）</w:t>
      </w:r>
      <w:r>
        <w:rPr>
          <w:rFonts w:hint="eastAsia" w:ascii="仿宋" w:hAnsi="仿宋" w:eastAsia="仿宋" w:cs="仿宋"/>
          <w:snapToGrid/>
          <w:kern w:val="2"/>
          <w:sz w:val="25"/>
          <w:szCs w:val="25"/>
          <w:lang w:val="en-US" w:eastAsia="zh-CN"/>
        </w:rPr>
        <w:t>整个施工区域内</w:t>
      </w:r>
      <w:r>
        <w:rPr>
          <w:rFonts w:hint="default" w:ascii="仿宋" w:hAnsi="仿宋" w:eastAsia="仿宋" w:cs="仿宋"/>
          <w:snapToGrid/>
          <w:kern w:val="2"/>
          <w:sz w:val="25"/>
          <w:szCs w:val="25"/>
          <w:lang w:val="en-US" w:eastAsia="en-US"/>
        </w:rPr>
        <w:t>的安全文明施工</w:t>
      </w:r>
      <w:r>
        <w:rPr>
          <w:rFonts w:hint="eastAsia" w:ascii="仿宋" w:hAnsi="仿宋" w:eastAsia="仿宋" w:cs="仿宋"/>
          <w:snapToGrid/>
          <w:kern w:val="2"/>
          <w:sz w:val="25"/>
          <w:szCs w:val="25"/>
          <w:lang w:val="en-US" w:eastAsia="zh-CN"/>
        </w:rPr>
        <w:t>，整个施工场地的安全文明施工由乙方全权负责</w:t>
      </w:r>
      <w:r>
        <w:rPr>
          <w:rFonts w:hint="default" w:ascii="仿宋" w:hAnsi="仿宋" w:eastAsia="仿宋" w:cs="仿宋"/>
          <w:snapToGrid/>
          <w:kern w:val="2"/>
          <w:sz w:val="25"/>
          <w:szCs w:val="25"/>
          <w:lang w:val="en-US" w:eastAsia="en-US"/>
        </w:rPr>
        <w:t>。</w:t>
      </w:r>
    </w:p>
    <w:p w14:paraId="33FE740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default" w:ascii="仿宋" w:hAnsi="仿宋" w:eastAsia="仿宋" w:cs="仿宋"/>
          <w:snapToGrid/>
          <w:kern w:val="2"/>
          <w:sz w:val="25"/>
          <w:szCs w:val="25"/>
          <w:lang w:val="en-US" w:eastAsia="en-US"/>
        </w:rPr>
        <w:t>（2）</w:t>
      </w:r>
      <w:r>
        <w:rPr>
          <w:rFonts w:hint="eastAsia" w:ascii="仿宋" w:hAnsi="仿宋" w:eastAsia="仿宋" w:cs="仿宋"/>
          <w:snapToGrid/>
          <w:kern w:val="2"/>
          <w:sz w:val="25"/>
          <w:szCs w:val="25"/>
          <w:lang w:val="en-US" w:eastAsia="zh-CN"/>
        </w:rPr>
        <w:t>安全文明施工包含的人工全部由乙方负责。</w:t>
      </w:r>
    </w:p>
    <w:p w14:paraId="725201D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default" w:ascii="仿宋" w:hAnsi="仿宋" w:eastAsia="仿宋" w:cs="仿宋"/>
          <w:snapToGrid/>
          <w:kern w:val="2"/>
          <w:sz w:val="25"/>
          <w:szCs w:val="25"/>
          <w:lang w:val="en-US" w:eastAsia="en-US"/>
        </w:rPr>
        <w:t>（3）</w:t>
      </w:r>
      <w:r>
        <w:rPr>
          <w:rFonts w:hint="eastAsia" w:ascii="仿宋" w:hAnsi="仿宋" w:eastAsia="仿宋" w:cs="仿宋"/>
          <w:snapToGrid/>
          <w:kern w:val="2"/>
          <w:sz w:val="25"/>
          <w:szCs w:val="25"/>
          <w:lang w:val="en-US" w:eastAsia="zh-CN"/>
        </w:rPr>
        <w:t>安全文明施工必需达到州标化工地要求</w:t>
      </w:r>
      <w:r>
        <w:rPr>
          <w:rFonts w:hint="default" w:ascii="仿宋" w:hAnsi="仿宋" w:eastAsia="仿宋" w:cs="仿宋"/>
          <w:snapToGrid/>
          <w:kern w:val="2"/>
          <w:sz w:val="25"/>
          <w:szCs w:val="25"/>
          <w:lang w:val="en-US" w:eastAsia="en-US"/>
        </w:rPr>
        <w:t>。</w:t>
      </w:r>
    </w:p>
    <w:p w14:paraId="6E23CF5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上述工程项目包括</w:t>
      </w:r>
      <w:r>
        <w:rPr>
          <w:rFonts w:hint="eastAsia" w:ascii="仿宋" w:hAnsi="仿宋" w:eastAsia="仿宋" w:cs="仿宋"/>
          <w:snapToGrid/>
          <w:kern w:val="2"/>
          <w:sz w:val="25"/>
          <w:szCs w:val="25"/>
          <w:lang w:val="en-US" w:eastAsia="zh-CN"/>
        </w:rPr>
        <w:t>除甲供材料以外的所有人工、材料等内容</w:t>
      </w:r>
      <w:r>
        <w:rPr>
          <w:rFonts w:hint="eastAsia" w:ascii="仿宋" w:hAnsi="仿宋" w:eastAsia="仿宋" w:cs="仿宋"/>
          <w:snapToGrid/>
          <w:kern w:val="2"/>
          <w:sz w:val="25"/>
          <w:szCs w:val="25"/>
          <w:lang w:eastAsia="zh-CN"/>
        </w:rPr>
        <w:t>。</w:t>
      </w:r>
    </w:p>
    <w:p w14:paraId="69E099B2">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2、主要施工</w:t>
      </w:r>
      <w:r>
        <w:rPr>
          <w:rFonts w:hint="eastAsia" w:ascii="仿宋" w:hAnsi="仿宋" w:eastAsia="仿宋" w:cs="仿宋"/>
          <w:b/>
          <w:bCs/>
          <w:snapToGrid/>
          <w:kern w:val="2"/>
          <w:sz w:val="25"/>
          <w:szCs w:val="25"/>
          <w:lang w:val="en-US" w:eastAsia="zh-CN"/>
        </w:rPr>
        <w:t>内容</w:t>
      </w:r>
    </w:p>
    <w:p w14:paraId="7400CEE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w:t>
      </w:r>
      <w:r>
        <w:rPr>
          <w:rFonts w:hint="eastAsia" w:ascii="仿宋" w:hAnsi="仿宋" w:eastAsia="仿宋" w:cs="仿宋"/>
          <w:snapToGrid/>
          <w:kern w:val="2"/>
          <w:sz w:val="25"/>
          <w:szCs w:val="25"/>
          <w:lang w:val="en-US" w:eastAsia="zh-CN"/>
        </w:rPr>
        <w:t>按设计、施工方案要求工序施工。</w:t>
      </w:r>
    </w:p>
    <w:p w14:paraId="5E629C3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(2)乙方负责现场文明施工、环境保护、水土保持工作及施工现场的安全、文明施工的管理。</w:t>
      </w:r>
    </w:p>
    <w:p w14:paraId="6AEF30C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(3)乙方设备险及职工的(人身)事故险、未单独计列的生产生活用临时设施等为了本工程的顺利实施而可能发生的一切费用，均包含在合同单价内。</w:t>
      </w:r>
    </w:p>
    <w:p w14:paraId="60F8596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(4)为完成以上各工程项目所需的全部附属及临时工程施工，以及为完成本合同工程所做的其它一切准备工作。</w:t>
      </w:r>
    </w:p>
    <w:p w14:paraId="26DE16D0">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3、工程量</w:t>
      </w:r>
    </w:p>
    <w:p w14:paraId="5A9F5C8E">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b/>
          <w:bCs/>
          <w:snapToGrid/>
          <w:kern w:val="2"/>
          <w:sz w:val="25"/>
          <w:szCs w:val="25"/>
          <w:lang w:eastAsia="zh-CN"/>
        </w:rPr>
        <w:t>详见后附工程量计价清单</w:t>
      </w:r>
      <w:r>
        <w:rPr>
          <w:rFonts w:hint="eastAsia" w:ascii="仿宋" w:hAnsi="仿宋" w:eastAsia="仿宋" w:cs="仿宋"/>
          <w:snapToGrid/>
          <w:kern w:val="2"/>
          <w:sz w:val="25"/>
          <w:szCs w:val="25"/>
          <w:lang w:eastAsia="zh-CN"/>
        </w:rPr>
        <w:t>，清单中工程数量为暂定量，乙方不能由于工程量的变化</w:t>
      </w:r>
      <w:r>
        <w:rPr>
          <w:rFonts w:hint="eastAsia" w:ascii="仿宋" w:hAnsi="仿宋" w:eastAsia="仿宋" w:cs="仿宋"/>
          <w:snapToGrid/>
          <w:kern w:val="2"/>
          <w:sz w:val="25"/>
          <w:szCs w:val="25"/>
          <w:lang w:val="en-US" w:eastAsia="zh-CN"/>
        </w:rPr>
        <w:t>而调整清单单价</w:t>
      </w:r>
      <w:r>
        <w:rPr>
          <w:rFonts w:hint="eastAsia" w:ascii="仿宋" w:hAnsi="仿宋" w:eastAsia="仿宋" w:cs="仿宋"/>
          <w:snapToGrid/>
          <w:kern w:val="2"/>
          <w:sz w:val="25"/>
          <w:szCs w:val="25"/>
          <w:lang w:eastAsia="zh-CN"/>
        </w:rPr>
        <w:t>。</w:t>
      </w:r>
    </w:p>
    <w:p w14:paraId="694279B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合同外劳务作业单价确认：对于新增加的劳务作业项目，应遵循先签合同后施工的原则，按合同明确的单价、工程量计算原则、工程量签认程序和时效性执行。特殊紧急情况下未签合同的劳务作业项目，其新增加项目劳务单价的确定，首先选用本合同劳务单价中合适或相近作业内容单价；若无合适或相近的劳务单价时，甲方可参照同行业同类劳务予以确定。</w:t>
      </w:r>
    </w:p>
    <w:p w14:paraId="5230F33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4、知识产权</w:t>
      </w:r>
    </w:p>
    <w:p w14:paraId="6AE913A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乙双方保证在履行合同过程中不侵犯对方及第三方的知识产权。乙方在使用材料、施工设备、工程设备或采用施工工艺时，因侵犯他人的专利权或其他知识产权所引起的责任，由乙方自行承担；因甲方提供的材料、施工设备、工程设备或施工工艺导致侵权的，由甲方承担责任。</w:t>
      </w:r>
    </w:p>
    <w:p w14:paraId="0289CF1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(2)除本合同另有约定外，乙方在合同签订前和签订时已确定采用的专利、专有技术、技术秘密的使用费已包含在签约合同价中。</w:t>
      </w:r>
    </w:p>
    <w:p w14:paraId="75955D3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5、合同工期</w:t>
      </w:r>
    </w:p>
    <w:p w14:paraId="01B67B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(1)开工日期以甲方通知为准，暂定施工时间</w:t>
      </w:r>
      <w:r>
        <w:rPr>
          <w:rFonts w:hint="eastAsia" w:ascii="仿宋" w:hAnsi="仿宋" w:eastAsia="仿宋" w:cs="仿宋"/>
          <w:snapToGrid/>
          <w:kern w:val="2"/>
          <w:sz w:val="25"/>
          <w:szCs w:val="25"/>
          <w:u w:val="single"/>
          <w:lang w:val="en-US" w:eastAsia="zh-CN"/>
        </w:rPr>
        <w:t xml:space="preserve"> 2026 </w:t>
      </w:r>
      <w:r>
        <w:rPr>
          <w:rFonts w:hint="eastAsia" w:ascii="仿宋" w:hAnsi="仿宋" w:eastAsia="仿宋" w:cs="仿宋"/>
          <w:snapToGrid/>
          <w:kern w:val="2"/>
          <w:sz w:val="25"/>
          <w:szCs w:val="25"/>
          <w:lang w:eastAsia="zh-CN"/>
        </w:rPr>
        <w:t>年</w:t>
      </w:r>
      <w:r>
        <w:rPr>
          <w:rFonts w:hint="eastAsia" w:ascii="仿宋" w:hAnsi="仿宋" w:eastAsia="仿宋" w:cs="仿宋"/>
          <w:snapToGrid/>
          <w:kern w:val="2"/>
          <w:sz w:val="25"/>
          <w:szCs w:val="25"/>
          <w:u w:val="single"/>
          <w:lang w:val="en-US" w:eastAsia="zh-CN"/>
        </w:rPr>
        <w:t xml:space="preserve"> xx </w:t>
      </w:r>
      <w:r>
        <w:rPr>
          <w:rFonts w:hint="eastAsia" w:ascii="仿宋" w:hAnsi="仿宋" w:eastAsia="仿宋" w:cs="仿宋"/>
          <w:snapToGrid/>
          <w:kern w:val="2"/>
          <w:sz w:val="25"/>
          <w:szCs w:val="25"/>
          <w:lang w:eastAsia="zh-CN"/>
        </w:rPr>
        <w:t>月</w:t>
      </w:r>
      <w:r>
        <w:rPr>
          <w:rFonts w:hint="eastAsia" w:ascii="仿宋" w:hAnsi="仿宋" w:eastAsia="仿宋" w:cs="仿宋"/>
          <w:snapToGrid/>
          <w:kern w:val="2"/>
          <w:sz w:val="25"/>
          <w:szCs w:val="25"/>
          <w:u w:val="single"/>
          <w:lang w:eastAsia="zh-CN"/>
        </w:rPr>
        <w:t xml:space="preserve"> </w:t>
      </w:r>
      <w:r>
        <w:rPr>
          <w:rFonts w:hint="eastAsia" w:ascii="仿宋" w:hAnsi="仿宋" w:eastAsia="仿宋" w:cs="仿宋"/>
          <w:snapToGrid/>
          <w:kern w:val="2"/>
          <w:sz w:val="25"/>
          <w:szCs w:val="25"/>
          <w:u w:val="single"/>
          <w:lang w:val="en-US" w:eastAsia="zh-CN"/>
        </w:rPr>
        <w:t xml:space="preserve">xxx </w:t>
      </w:r>
      <w:r>
        <w:rPr>
          <w:rFonts w:hint="eastAsia" w:ascii="仿宋" w:hAnsi="仿宋" w:eastAsia="仿宋" w:cs="仿宋"/>
          <w:snapToGrid/>
          <w:kern w:val="2"/>
          <w:sz w:val="25"/>
          <w:szCs w:val="25"/>
          <w:lang w:val="en-US" w:eastAsia="zh-CN"/>
        </w:rPr>
        <w:t xml:space="preserve"> </w:t>
      </w:r>
      <w:r>
        <w:rPr>
          <w:rFonts w:hint="eastAsia" w:ascii="仿宋" w:hAnsi="仿宋" w:eastAsia="仿宋" w:cs="仿宋"/>
          <w:snapToGrid/>
          <w:kern w:val="2"/>
          <w:sz w:val="25"/>
          <w:szCs w:val="25"/>
          <w:lang w:eastAsia="zh-CN"/>
        </w:rPr>
        <w:t>日至</w:t>
      </w:r>
      <w:r>
        <w:rPr>
          <w:rFonts w:hint="eastAsia" w:ascii="仿宋" w:hAnsi="仿宋" w:eastAsia="仿宋" w:cs="仿宋"/>
          <w:snapToGrid/>
          <w:kern w:val="2"/>
          <w:sz w:val="25"/>
          <w:szCs w:val="25"/>
          <w:u w:val="single"/>
          <w:lang w:val="en-US" w:eastAsia="zh-CN"/>
        </w:rPr>
        <w:t xml:space="preserve"> 2026 </w:t>
      </w:r>
      <w:r>
        <w:rPr>
          <w:rFonts w:hint="eastAsia" w:ascii="仿宋" w:hAnsi="仿宋" w:eastAsia="仿宋" w:cs="仿宋"/>
          <w:snapToGrid/>
          <w:kern w:val="2"/>
          <w:sz w:val="25"/>
          <w:szCs w:val="25"/>
          <w:lang w:eastAsia="zh-CN"/>
        </w:rPr>
        <w:t xml:space="preserve"> 年</w:t>
      </w:r>
      <w:r>
        <w:rPr>
          <w:rFonts w:hint="eastAsia" w:ascii="仿宋" w:hAnsi="仿宋" w:eastAsia="仿宋" w:cs="仿宋"/>
          <w:snapToGrid/>
          <w:kern w:val="2"/>
          <w:sz w:val="25"/>
          <w:szCs w:val="25"/>
          <w:u w:val="single"/>
          <w:lang w:val="en-US" w:eastAsia="zh-CN"/>
        </w:rPr>
        <w:t xml:space="preserve"> xx </w:t>
      </w:r>
      <w:r>
        <w:rPr>
          <w:rFonts w:hint="eastAsia" w:ascii="仿宋" w:hAnsi="仿宋" w:eastAsia="仿宋" w:cs="仿宋"/>
          <w:snapToGrid/>
          <w:kern w:val="2"/>
          <w:sz w:val="25"/>
          <w:szCs w:val="25"/>
          <w:lang w:eastAsia="zh-CN"/>
        </w:rPr>
        <w:t>月</w:t>
      </w:r>
      <w:r>
        <w:rPr>
          <w:rFonts w:hint="eastAsia" w:ascii="仿宋" w:hAnsi="仿宋" w:eastAsia="仿宋" w:cs="仿宋"/>
          <w:snapToGrid/>
          <w:kern w:val="2"/>
          <w:sz w:val="25"/>
          <w:szCs w:val="25"/>
          <w:u w:val="single"/>
          <w:lang w:eastAsia="zh-CN"/>
        </w:rPr>
        <w:t xml:space="preserve"> </w:t>
      </w:r>
      <w:r>
        <w:rPr>
          <w:rFonts w:hint="eastAsia" w:ascii="仿宋" w:hAnsi="仿宋" w:eastAsia="仿宋" w:cs="仿宋"/>
          <w:snapToGrid/>
          <w:kern w:val="2"/>
          <w:sz w:val="25"/>
          <w:szCs w:val="25"/>
          <w:u w:val="single"/>
          <w:lang w:val="en-US" w:eastAsia="zh-CN"/>
        </w:rPr>
        <w:t xml:space="preserve">xxx </w:t>
      </w:r>
      <w:r>
        <w:rPr>
          <w:rFonts w:hint="eastAsia" w:ascii="仿宋" w:hAnsi="仿宋" w:eastAsia="仿宋" w:cs="仿宋"/>
          <w:snapToGrid/>
          <w:kern w:val="2"/>
          <w:sz w:val="25"/>
          <w:szCs w:val="25"/>
          <w:lang w:eastAsia="zh-CN"/>
        </w:rPr>
        <w:t>日，工期</w:t>
      </w:r>
      <w:r>
        <w:rPr>
          <w:rFonts w:hint="eastAsia" w:ascii="仿宋" w:hAnsi="仿宋" w:eastAsia="仿宋" w:cs="仿宋"/>
          <w:snapToGrid/>
          <w:kern w:val="2"/>
          <w:sz w:val="25"/>
          <w:szCs w:val="25"/>
          <w:u w:val="single"/>
          <w:lang w:eastAsia="zh-CN"/>
        </w:rPr>
        <w:t xml:space="preserve"> </w:t>
      </w:r>
      <w:r>
        <w:rPr>
          <w:rFonts w:hint="eastAsia" w:ascii="仿宋" w:hAnsi="仿宋" w:eastAsia="仿宋" w:cs="仿宋"/>
          <w:snapToGrid/>
          <w:kern w:val="2"/>
          <w:sz w:val="25"/>
          <w:szCs w:val="25"/>
          <w:u w:val="single"/>
          <w:lang w:val="en-US" w:eastAsia="zh-CN"/>
        </w:rPr>
        <w:t xml:space="preserve">xxx  </w:t>
      </w:r>
      <w:r>
        <w:rPr>
          <w:rFonts w:hint="eastAsia" w:ascii="仿宋" w:hAnsi="仿宋" w:eastAsia="仿宋" w:cs="仿宋"/>
          <w:snapToGrid/>
          <w:kern w:val="2"/>
          <w:sz w:val="25"/>
          <w:szCs w:val="25"/>
          <w:lang w:eastAsia="zh-CN"/>
        </w:rPr>
        <w:t>日历天（</w:t>
      </w:r>
      <w:r>
        <w:rPr>
          <w:rFonts w:hint="eastAsia" w:ascii="仿宋" w:hAnsi="仿宋" w:eastAsia="仿宋" w:cs="仿宋"/>
          <w:snapToGrid/>
          <w:kern w:val="2"/>
          <w:sz w:val="25"/>
          <w:szCs w:val="25"/>
          <w:lang w:val="en-US" w:eastAsia="zh-CN"/>
        </w:rPr>
        <w:t>严格按工程部进度计划</w:t>
      </w:r>
      <w:r>
        <w:rPr>
          <w:rFonts w:hint="eastAsia" w:ascii="仿宋" w:hAnsi="仿宋" w:eastAsia="仿宋" w:cs="仿宋"/>
          <w:snapToGrid/>
          <w:kern w:val="2"/>
          <w:sz w:val="25"/>
          <w:szCs w:val="25"/>
          <w:lang w:eastAsia="zh-CN"/>
        </w:rPr>
        <w:t>）。本合同工期以甲方制订的总体施工进度计划为准，如需调整，以甲方调整后的进度计划要求时间为准。</w:t>
      </w:r>
    </w:p>
    <w:p w14:paraId="104518E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(2)进度计划：乙方按建设单位和甲方要求的计划组织施工，确保作业期限。乙方除满足主合同约定的节点工期以外，还应满足甲方安排的期间计划(周计划、月计划)。若由于乙方原因(包括但不限于：人员数量、</w:t>
      </w:r>
      <w:r>
        <w:rPr>
          <w:rFonts w:hint="eastAsia" w:ascii="仿宋" w:hAnsi="仿宋" w:eastAsia="仿宋" w:cs="仿宋"/>
          <w:snapToGrid/>
          <w:kern w:val="2"/>
          <w:sz w:val="25"/>
          <w:szCs w:val="25"/>
          <w:lang w:val="en-US" w:eastAsia="zh-CN"/>
        </w:rPr>
        <w:t>质量</w:t>
      </w:r>
      <w:r>
        <w:rPr>
          <w:rFonts w:hint="eastAsia" w:ascii="仿宋" w:hAnsi="仿宋" w:eastAsia="仿宋" w:cs="仿宋"/>
          <w:snapToGrid/>
          <w:kern w:val="2"/>
          <w:sz w:val="25"/>
          <w:szCs w:val="25"/>
          <w:lang w:eastAsia="zh-CN"/>
        </w:rPr>
        <w:t>、管理水平、施工能力等)不能完成甲方期间计划的，已经或预计会影响劳务作业项目的合同工期时，甲方提出口头或书面警告并限期整改。若在限期整改时间内仍不满足期间计划时，甲方可提前解除本合同并另选劳务队伍进场，乙方承诺 5 日内无条件退场完毕，由此造成的损失由乙方自行承担并赔偿因此给甲方造成的损失。在施工过程中，如乙方出现消极怠工，阻挠施工，中途停工等非正常方式延误工期情形的，甲方有权单方解除合同，责令其立即退出施工场地，若乙方于解除合同后不按甲方规定时间撤出施工场地的。场地占用费金额为</w:t>
      </w:r>
      <w:r>
        <w:rPr>
          <w:rFonts w:hint="eastAsia" w:ascii="仿宋" w:hAnsi="仿宋" w:eastAsia="仿宋" w:cs="仿宋"/>
          <w:snapToGrid/>
          <w:kern w:val="2"/>
          <w:sz w:val="25"/>
          <w:szCs w:val="25"/>
          <w:u w:val="single"/>
          <w:lang w:eastAsia="zh-CN"/>
        </w:rPr>
        <w:t>5000</w:t>
      </w:r>
      <w:r>
        <w:rPr>
          <w:rFonts w:hint="eastAsia" w:ascii="仿宋" w:hAnsi="仿宋" w:eastAsia="仿宋" w:cs="仿宋"/>
          <w:snapToGrid/>
          <w:kern w:val="2"/>
          <w:sz w:val="25"/>
          <w:szCs w:val="25"/>
          <w:lang w:eastAsia="zh-CN"/>
        </w:rPr>
        <w:t>元/天，违约金为</w:t>
      </w:r>
      <w:r>
        <w:rPr>
          <w:rFonts w:hint="eastAsia" w:ascii="仿宋" w:hAnsi="仿宋" w:eastAsia="仿宋" w:cs="仿宋"/>
          <w:snapToGrid/>
          <w:kern w:val="2"/>
          <w:sz w:val="25"/>
          <w:szCs w:val="25"/>
          <w:u w:val="single"/>
          <w:lang w:eastAsia="zh-CN"/>
        </w:rPr>
        <w:t>10000</w:t>
      </w:r>
      <w:r>
        <w:rPr>
          <w:rFonts w:hint="eastAsia" w:ascii="仿宋" w:hAnsi="仿宋" w:eastAsia="仿宋" w:cs="仿宋"/>
          <w:snapToGrid/>
          <w:kern w:val="2"/>
          <w:sz w:val="25"/>
          <w:szCs w:val="25"/>
          <w:lang w:eastAsia="zh-CN"/>
        </w:rPr>
        <w:t>元/天，若对甲方造成损失的，乙方还应赔偿甲方的损失。</w:t>
      </w:r>
    </w:p>
    <w:p w14:paraId="43409D9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(3)工期延误</w:t>
      </w:r>
    </w:p>
    <w:p w14:paraId="3D4C0F8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如果关键线路的节点工期在发生以下情形之一而造成工期延误，经甲方书面确认后，工期顺延：</w:t>
      </w:r>
    </w:p>
    <w:p w14:paraId="67A9B5F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a. 重大设计变更；</w:t>
      </w:r>
    </w:p>
    <w:p w14:paraId="0E7F759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b.重大自然灾害、不可抗力；</w:t>
      </w:r>
    </w:p>
    <w:p w14:paraId="13EC23E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c.由于业主原因导致停工；</w:t>
      </w:r>
    </w:p>
    <w:p w14:paraId="3D9BFB2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d.甲方书面同意工期顺延的其它情况。</w:t>
      </w:r>
    </w:p>
    <w:p w14:paraId="7BE833C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(4)乙方应在发生工期延误造成窝工事实后</w:t>
      </w:r>
      <w:r>
        <w:rPr>
          <w:rFonts w:hint="eastAsia" w:ascii="仿宋" w:hAnsi="仿宋" w:eastAsia="仿宋" w:cs="仿宋"/>
          <w:snapToGrid/>
          <w:kern w:val="2"/>
          <w:sz w:val="25"/>
          <w:szCs w:val="25"/>
          <w:lang w:val="en-US" w:eastAsia="zh-CN"/>
        </w:rPr>
        <w:t>5</w:t>
      </w:r>
      <w:r>
        <w:rPr>
          <w:rFonts w:hint="eastAsia" w:ascii="仿宋" w:hAnsi="仿宋" w:eastAsia="仿宋" w:cs="仿宋"/>
          <w:snapToGrid/>
          <w:kern w:val="2"/>
          <w:sz w:val="25"/>
          <w:szCs w:val="25"/>
          <w:lang w:eastAsia="zh-CN"/>
        </w:rPr>
        <w:t>日内就延误内容和因此发生的费用向甲方书面报告，甲方就相关事项及时向业主提交报告。如乙方未提交或逾期提交的，则视为乙方放弃顺延工期及赔偿的权利。如乙方虽按约定提交上述书面报告，但遇业主不同意或不完全同意时，则乙方认可甲方因此采用的不同意或不完全同意的处理意见。</w:t>
      </w:r>
    </w:p>
    <w:p w14:paraId="7873801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(5)因乙方原因导致工期延误，工期不予顺延，乙方应采取有效的赶工措施并承担增加的费用以及其他经济损失，包含工期延误产生的业主方罚款及违约金。</w:t>
      </w:r>
    </w:p>
    <w:p w14:paraId="525BE98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w:t>
      </w:r>
      <w:r>
        <w:rPr>
          <w:rFonts w:hint="eastAsia" w:ascii="仿宋" w:hAnsi="仿宋" w:eastAsia="仿宋" w:cs="仿宋"/>
          <w:snapToGrid/>
          <w:kern w:val="2"/>
          <w:sz w:val="25"/>
          <w:szCs w:val="25"/>
          <w:lang w:val="en-US" w:eastAsia="zh-CN"/>
        </w:rPr>
        <w:t>6</w:t>
      </w:r>
      <w:r>
        <w:rPr>
          <w:rFonts w:hint="eastAsia" w:ascii="仿宋" w:hAnsi="仿宋" w:eastAsia="仿宋" w:cs="仿宋"/>
          <w:snapToGrid/>
          <w:kern w:val="2"/>
          <w:sz w:val="25"/>
          <w:szCs w:val="25"/>
          <w:lang w:eastAsia="zh-CN"/>
        </w:rPr>
        <w:t>）业主及甲方需提前完成工期时，有关事宜由双方协商解决另行约定。</w:t>
      </w:r>
    </w:p>
    <w:p w14:paraId="13CB968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7" w:name="_Toc22615"/>
      <w:r>
        <w:rPr>
          <w:rFonts w:hint="eastAsia" w:ascii="仿宋" w:hAnsi="仿宋" w:eastAsia="仿宋" w:cs="仿宋"/>
          <w:b/>
          <w:bCs/>
          <w:snapToGrid/>
          <w:kern w:val="2"/>
          <w:sz w:val="25"/>
          <w:szCs w:val="25"/>
          <w:lang w:eastAsia="zh-CN"/>
        </w:rPr>
        <w:t>三、合同价款</w:t>
      </w:r>
      <w:bookmarkEnd w:id="7"/>
    </w:p>
    <w:p w14:paraId="714EE57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1、合同总额</w:t>
      </w:r>
    </w:p>
    <w:p w14:paraId="3AC4ED89">
      <w:pPr>
        <w:keepNext w:val="0"/>
        <w:keepLines w:val="0"/>
        <w:pageBreakBefore w:val="0"/>
        <w:widowControl w:val="0"/>
        <w:kinsoku/>
        <w:wordWrap/>
        <w:overflowPunct/>
        <w:topLine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本合同采用固定单价承包方式，具体详见后附工程量计价清单。暂定合同总价金额(含税):</w:t>
      </w:r>
      <w:r>
        <w:rPr>
          <w:rFonts w:hint="eastAsia" w:ascii="仿宋" w:hAnsi="仿宋" w:eastAsia="仿宋" w:cs="仿宋"/>
          <w:snapToGrid/>
          <w:kern w:val="2"/>
          <w:sz w:val="25"/>
          <w:szCs w:val="25"/>
          <w:u w:val="single"/>
          <w:lang w:val="en-US" w:eastAsia="zh-CN"/>
        </w:rPr>
        <w:t>xxxx</w:t>
      </w:r>
      <w:r>
        <w:rPr>
          <w:rFonts w:hint="eastAsia" w:ascii="仿宋" w:hAnsi="仿宋" w:eastAsia="仿宋" w:cs="仿宋"/>
          <w:snapToGrid/>
          <w:kern w:val="2"/>
          <w:sz w:val="25"/>
          <w:szCs w:val="25"/>
          <w:lang w:eastAsia="zh-CN"/>
        </w:rPr>
        <w:t>元，(大写：人民币</w:t>
      </w:r>
      <w:r>
        <w:rPr>
          <w:rFonts w:hint="eastAsia" w:ascii="仿宋" w:hAnsi="仿宋" w:eastAsia="仿宋" w:cs="仿宋"/>
          <w:snapToGrid/>
          <w:kern w:val="2"/>
          <w:sz w:val="25"/>
          <w:szCs w:val="25"/>
          <w:u w:val="single"/>
          <w:lang w:val="en-US" w:eastAsia="zh-CN"/>
        </w:rPr>
        <w:t>xxxx</w:t>
      </w:r>
      <w:r>
        <w:rPr>
          <w:rFonts w:hint="eastAsia" w:ascii="仿宋" w:hAnsi="仿宋" w:eastAsia="仿宋" w:cs="仿宋"/>
          <w:snapToGrid/>
          <w:kern w:val="2"/>
          <w:sz w:val="25"/>
          <w:szCs w:val="25"/>
          <w:u w:val="none"/>
          <w:lang w:val="en-US" w:eastAsia="zh-CN"/>
        </w:rPr>
        <w:t>元整）</w:t>
      </w:r>
      <w:r>
        <w:rPr>
          <w:rFonts w:hint="eastAsia" w:ascii="仿宋" w:hAnsi="仿宋" w:eastAsia="仿宋" w:cs="仿宋"/>
          <w:snapToGrid/>
          <w:kern w:val="2"/>
          <w:sz w:val="25"/>
          <w:szCs w:val="25"/>
          <w:lang w:eastAsia="zh-CN"/>
        </w:rPr>
        <w:t>,增值税税率为</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%,其中不含增值税价款为：</w:t>
      </w:r>
      <w:r>
        <w:rPr>
          <w:rFonts w:hint="eastAsia" w:ascii="仿宋" w:hAnsi="仿宋" w:eastAsia="仿宋" w:cs="仿宋"/>
          <w:snapToGrid/>
          <w:kern w:val="2"/>
          <w:sz w:val="25"/>
          <w:szCs w:val="25"/>
          <w:u w:val="single"/>
          <w:lang w:val="en-US" w:eastAsia="zh-CN"/>
        </w:rPr>
        <w:t>xxxx</w:t>
      </w:r>
      <w:r>
        <w:rPr>
          <w:rFonts w:hint="eastAsia" w:ascii="仿宋" w:hAnsi="仿宋" w:eastAsia="仿宋" w:cs="仿宋"/>
          <w:snapToGrid/>
          <w:kern w:val="2"/>
          <w:sz w:val="25"/>
          <w:szCs w:val="25"/>
          <w:lang w:eastAsia="zh-CN"/>
        </w:rPr>
        <w:t>元，增值税额为：</w:t>
      </w:r>
      <w:r>
        <w:rPr>
          <w:rFonts w:hint="eastAsia" w:ascii="仿宋" w:hAnsi="仿宋" w:eastAsia="仿宋" w:cs="仿宋"/>
          <w:snapToGrid/>
          <w:kern w:val="2"/>
          <w:sz w:val="25"/>
          <w:szCs w:val="25"/>
          <w:u w:val="single"/>
          <w:lang w:val="en-US" w:eastAsia="zh-CN"/>
        </w:rPr>
        <w:t>xxxxx</w:t>
      </w:r>
      <w:r>
        <w:rPr>
          <w:rFonts w:hint="eastAsia" w:ascii="仿宋" w:hAnsi="仿宋" w:eastAsia="仿宋" w:cs="仿宋"/>
          <w:snapToGrid/>
          <w:kern w:val="2"/>
          <w:sz w:val="25"/>
          <w:szCs w:val="25"/>
          <w:lang w:eastAsia="zh-CN"/>
        </w:rPr>
        <w:t>元。</w:t>
      </w:r>
    </w:p>
    <w:p w14:paraId="5E519EF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单价在合同执行期间，无论工程量、材料费、人工费或其它工程风险是否变化，合同单价均不作调整。暂定总价不作为结算支付依据，最终以经甲方验收合格并经签认的满足计量验收规范的实际完成的合格劳务作业量作为结算依据。</w:t>
      </w:r>
    </w:p>
    <w:p w14:paraId="4000049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2、合同单价</w:t>
      </w:r>
    </w:p>
    <w:p w14:paraId="3CF1BAD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(1)单价中包含且不限于以下内容：</w:t>
      </w:r>
      <w:r>
        <w:rPr>
          <w:rFonts w:hint="eastAsia" w:ascii="仿宋" w:hAnsi="仿宋" w:eastAsia="仿宋" w:cs="仿宋"/>
          <w:snapToGrid/>
          <w:kern w:val="2"/>
          <w:sz w:val="25"/>
          <w:szCs w:val="25"/>
          <w:lang w:val="en-US" w:eastAsia="zh-CN"/>
        </w:rPr>
        <w:t>除本合同约定甲供材料外为</w:t>
      </w:r>
      <w:r>
        <w:rPr>
          <w:rFonts w:hint="eastAsia" w:ascii="仿宋" w:hAnsi="仿宋" w:eastAsia="仿宋" w:cs="仿宋"/>
          <w:snapToGrid/>
          <w:kern w:val="2"/>
          <w:sz w:val="25"/>
          <w:szCs w:val="25"/>
          <w:lang w:eastAsia="zh-CN"/>
        </w:rPr>
        <w:t>完成施工项目所需人工费、材料费，</w:t>
      </w:r>
      <w:r>
        <w:rPr>
          <w:rFonts w:hint="eastAsia" w:ascii="仿宋" w:hAnsi="仿宋" w:eastAsia="仿宋" w:cs="仿宋"/>
          <w:snapToGrid/>
          <w:kern w:val="2"/>
          <w:sz w:val="25"/>
          <w:szCs w:val="25"/>
          <w:lang w:val="en-US" w:eastAsia="zh-CN"/>
        </w:rPr>
        <w:t>机械费、</w:t>
      </w:r>
      <w:r>
        <w:rPr>
          <w:rFonts w:hint="eastAsia" w:ascii="仿宋" w:hAnsi="仿宋" w:eastAsia="仿宋" w:cs="仿宋"/>
          <w:snapToGrid/>
          <w:kern w:val="2"/>
          <w:sz w:val="25"/>
          <w:szCs w:val="25"/>
          <w:lang w:eastAsia="zh-CN"/>
        </w:rPr>
        <w:t>人员</w:t>
      </w:r>
      <w:r>
        <w:rPr>
          <w:rFonts w:hint="eastAsia" w:ascii="仿宋" w:hAnsi="仿宋" w:eastAsia="仿宋" w:cs="仿宋"/>
          <w:snapToGrid/>
          <w:kern w:val="2"/>
          <w:sz w:val="25"/>
          <w:szCs w:val="25"/>
          <w:lang w:val="en-US" w:eastAsia="zh-CN"/>
        </w:rPr>
        <w:t>和机械进出场</w:t>
      </w:r>
      <w:r>
        <w:rPr>
          <w:rFonts w:hint="eastAsia" w:ascii="仿宋" w:hAnsi="仿宋" w:eastAsia="仿宋" w:cs="仿宋"/>
          <w:snapToGrid/>
          <w:kern w:val="2"/>
          <w:sz w:val="25"/>
          <w:szCs w:val="25"/>
          <w:lang w:eastAsia="zh-CN"/>
        </w:rPr>
        <w:t>费、</w:t>
      </w:r>
      <w:r>
        <w:rPr>
          <w:rFonts w:hint="eastAsia" w:ascii="仿宋" w:hAnsi="仿宋" w:eastAsia="仿宋" w:cs="仿宋"/>
          <w:snapToGrid/>
          <w:kern w:val="2"/>
          <w:sz w:val="25"/>
          <w:szCs w:val="25"/>
          <w:lang w:val="en-US" w:eastAsia="zh-CN"/>
        </w:rPr>
        <w:t>油料费、</w:t>
      </w:r>
      <w:r>
        <w:rPr>
          <w:rFonts w:hint="eastAsia" w:ascii="仿宋" w:hAnsi="仿宋" w:eastAsia="仿宋" w:cs="仿宋"/>
          <w:snapToGrid/>
          <w:kern w:val="2"/>
          <w:sz w:val="25"/>
          <w:szCs w:val="25"/>
          <w:lang w:eastAsia="zh-CN"/>
        </w:rPr>
        <w:t>生活设施费、安全文明施工费、环境保护费、人员</w:t>
      </w:r>
      <w:r>
        <w:rPr>
          <w:rFonts w:hint="eastAsia" w:ascii="仿宋" w:hAnsi="仿宋" w:eastAsia="仿宋" w:cs="仿宋"/>
          <w:snapToGrid/>
          <w:kern w:val="2"/>
          <w:sz w:val="25"/>
          <w:szCs w:val="25"/>
          <w:lang w:val="en-US" w:eastAsia="zh-CN"/>
        </w:rPr>
        <w:t>及设备保险费用</w:t>
      </w:r>
      <w:r>
        <w:rPr>
          <w:rFonts w:hint="eastAsia" w:ascii="仿宋" w:hAnsi="仿宋" w:eastAsia="仿宋" w:cs="仿宋"/>
          <w:snapToGrid/>
          <w:kern w:val="2"/>
          <w:sz w:val="25"/>
          <w:szCs w:val="25"/>
          <w:lang w:eastAsia="zh-CN"/>
        </w:rPr>
        <w:t>、综合管理费、合理利润、税金以及为完成合同规定所有项目工作所采取的临时措施费(含乙方为满足自身施工需要临时修建便道)等所有可能发生一切费用。还包括但不限于因国家法律法规及政策的变化、气候季节、地质水文、市场价格变化、因施工特殊处置项目等影响正常施工而降效增加的费用，施工环境、工程量增减、外部阻碍以及工序协调等各项风险因素导致的施工停滞窝工费等；乙方应充分考虑本工程施工的风险，风险费用已含在合同单价中，甲方不再承担由于任何风险引起的费用。在合同履行过程中和合同履行完毕后，甲乙双方不得以任何理由要求调整本合同单价。</w:t>
      </w:r>
    </w:p>
    <w:p w14:paraId="1BB9BF4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（2）</w:t>
      </w:r>
      <w:r>
        <w:rPr>
          <w:rFonts w:hint="eastAsia" w:ascii="仿宋" w:hAnsi="仿宋" w:eastAsia="仿宋" w:cs="仿宋"/>
          <w:snapToGrid/>
          <w:kern w:val="2"/>
          <w:sz w:val="25"/>
          <w:szCs w:val="25"/>
          <w:lang w:eastAsia="zh-CN"/>
        </w:rPr>
        <w:t>本协议价格中，已充分考虑到现场条件变化、施工工艺改变、人工、材料、市场价格变化及现场组织管理可能发生的各种成本变化因素，无论何种因素影响均不得调整本协议价格，也不因工程量或合同额增减而进行调整。</w:t>
      </w:r>
    </w:p>
    <w:p w14:paraId="5F3B934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（3）合同价清单项目</w:t>
      </w:r>
      <w:r>
        <w:rPr>
          <w:rFonts w:hint="eastAsia" w:ascii="仿宋" w:hAnsi="仿宋" w:eastAsia="仿宋" w:cs="仿宋"/>
          <w:snapToGrid/>
          <w:kern w:val="2"/>
          <w:sz w:val="25"/>
          <w:szCs w:val="25"/>
          <w:lang w:eastAsia="zh-CN"/>
        </w:rPr>
        <w:t>所包含的工序在实际施工过程中若有部分工序非分包人完成时，承包人将扣除相应工序的</w:t>
      </w:r>
      <w:r>
        <w:rPr>
          <w:rFonts w:hint="eastAsia" w:ascii="仿宋" w:hAnsi="仿宋" w:eastAsia="仿宋" w:cs="仿宋"/>
          <w:snapToGrid/>
          <w:kern w:val="2"/>
          <w:sz w:val="25"/>
          <w:szCs w:val="25"/>
          <w:lang w:val="en-US" w:eastAsia="zh-CN"/>
        </w:rPr>
        <w:t>总价</w:t>
      </w:r>
      <w:r>
        <w:rPr>
          <w:rFonts w:hint="eastAsia" w:ascii="仿宋" w:hAnsi="仿宋" w:eastAsia="仿宋" w:cs="仿宋"/>
          <w:snapToGrid/>
          <w:kern w:val="2"/>
          <w:sz w:val="25"/>
          <w:szCs w:val="25"/>
          <w:lang w:eastAsia="zh-CN"/>
        </w:rPr>
        <w:t>。分包人为实施本工程发生的全部费用已包含在上述费用中，分包人不得以任何理由要求承包人额外支付任何费用。</w:t>
      </w:r>
    </w:p>
    <w:p w14:paraId="2BAE20A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（4）</w:t>
      </w:r>
      <w:r>
        <w:rPr>
          <w:rFonts w:hint="eastAsia" w:ascii="仿宋" w:hAnsi="仿宋" w:eastAsia="仿宋" w:cs="仿宋"/>
          <w:snapToGrid/>
          <w:kern w:val="2"/>
          <w:sz w:val="25"/>
          <w:szCs w:val="25"/>
          <w:lang w:eastAsia="zh-CN"/>
        </w:rPr>
        <w:t>如因施工需要调整施工工序和方法，乙方承诺予以执行，并不因此调整单价，增加费用。如因甲方需要，调用乙方机械和人员，乙方应积极予以配合。</w:t>
      </w:r>
    </w:p>
    <w:p w14:paraId="5684077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（5）如果实施过程中发生工程量清单以外的项目，新增项目单价双方遵循市场价格原则协商确定。</w:t>
      </w:r>
    </w:p>
    <w:p w14:paraId="69AD798D">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3、税费的承担</w:t>
      </w:r>
    </w:p>
    <w:p w14:paraId="378C6D2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8" w:name="bookmark27"/>
      <w:bookmarkEnd w:id="8"/>
      <w:r>
        <w:rPr>
          <w:rFonts w:hint="eastAsia" w:ascii="仿宋" w:hAnsi="仿宋" w:eastAsia="仿宋" w:cs="仿宋"/>
          <w:snapToGrid/>
          <w:kern w:val="2"/>
          <w:sz w:val="25"/>
          <w:szCs w:val="25"/>
          <w:lang w:eastAsia="zh-CN"/>
        </w:rPr>
        <w:t>本工程税金(增值税、企业所得税、城市维护建设税及教育附加费)和其他税费已包含在合同单价及合同总价中，由乙方自行缴纳。其中，增值税按照</w:t>
      </w:r>
      <w:r>
        <w:rPr>
          <w:rFonts w:hint="eastAsia" w:ascii="仿宋" w:hAnsi="仿宋" w:eastAsia="仿宋" w:cs="仿宋"/>
          <w:snapToGrid/>
          <w:kern w:val="2"/>
          <w:sz w:val="25"/>
          <w:szCs w:val="25"/>
          <w:lang w:val="en-US" w:eastAsia="zh-CN"/>
        </w:rPr>
        <w:t>一</w:t>
      </w:r>
      <w:r>
        <w:rPr>
          <w:rFonts w:hint="eastAsia" w:ascii="仿宋" w:hAnsi="仿宋" w:eastAsia="仿宋" w:cs="仿宋"/>
          <w:snapToGrid/>
          <w:kern w:val="2"/>
          <w:sz w:val="25"/>
          <w:szCs w:val="25"/>
          <w:lang w:eastAsia="zh-CN"/>
        </w:rPr>
        <w:t xml:space="preserve"> 般计税法，征收率为</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%,乙方办理结算后，必须向甲方提供</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%的增值税专用发票(发票备注栏须填写项目名称及项目施工地点),提供发票中的甲方名称必须符合要求，收到发票后，甲方财务部门方可办理挂账支付手续。</w:t>
      </w:r>
    </w:p>
    <w:p w14:paraId="6F08B2C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乙方未能及时向甲方提供足额增值税专用发票的，甲方有权拒绝付款。</w:t>
      </w:r>
    </w:p>
    <w:p w14:paraId="03871C8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若乙方开具的发票不规范、不合法或者涉嫌虚开的，乙方应向甲方承担相应 的赔偿责任；同时，乙方应当按照甲方的要求重新开具合法合规且符合本合同约定的发票。</w:t>
      </w:r>
    </w:p>
    <w:p w14:paraId="4C22A3E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提供的增值税专用发票没有通过税务部门认证，造成甲方不能抵扣的，乙方应按甲方要求重新开具合法合规增值税专用发票，否则，乙方应当向甲方支付未通过认证发票中载明的税款金额的两倍作为违约金。违约金不足以弥补甲方 损失的，乙方还应予以赔偿。甲方可以在应当支付给乙方的工程进度款中直接将前述违约金和赔偿金予以扣除。</w:t>
      </w:r>
    </w:p>
    <w:p w14:paraId="460B337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9" w:name="_Toc6186"/>
      <w:r>
        <w:rPr>
          <w:rFonts w:hint="eastAsia" w:ascii="仿宋" w:hAnsi="仿宋" w:eastAsia="仿宋" w:cs="仿宋"/>
          <w:b/>
          <w:bCs/>
          <w:snapToGrid/>
          <w:kern w:val="2"/>
          <w:sz w:val="25"/>
          <w:szCs w:val="25"/>
          <w:lang w:eastAsia="zh-CN"/>
        </w:rPr>
        <w:t>四、双方权利与义务</w:t>
      </w:r>
      <w:bookmarkEnd w:id="9"/>
    </w:p>
    <w:p w14:paraId="52DB6A8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1、甲方权利与义务</w:t>
      </w:r>
    </w:p>
    <w:p w14:paraId="45C48B5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(1)甲方负责工程施工期间工程总进度计划安排、组织、协调工作及工程质量、进度、安全、环保、文明施工的管理、监督、检查。</w:t>
      </w:r>
    </w:p>
    <w:p w14:paraId="737632E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(2)甲方负责进场道路通畅，负责混凝土试验费用、钢筋检验费用等工程方面的各项技术指标的检测检验试验费用。</w:t>
      </w:r>
    </w:p>
    <w:p w14:paraId="5AA0A1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(3)甲方负责组织相关施工图纸的技术、质量、安全、环保等交底工作。 但只对资料本身负责，不对乙方在使用上述资料所作的分析、判断和结论负责。</w:t>
      </w:r>
    </w:p>
    <w:p w14:paraId="3663CD1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(4)甲方负责组织现场调度会，协调现场施工；甲方负责与业主、监理工程师、设计单位的各种工作联系(包括协商、签证等)。</w:t>
      </w:r>
    </w:p>
    <w:p w14:paraId="03E2399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(5)甲方负责向乙方发布书面开工通知，并向乙方下达承包工程总体进度计划、月工程进度计划及周进度计划。</w:t>
      </w:r>
    </w:p>
    <w:p w14:paraId="66564B3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(6)就承包工程范围内的有关工作，甲方随时可以向乙方发出指令，乙方应执行甲方根据本合同和甲方项目管理规章制度所发出的所有指令。乙方拒不执行指令</w:t>
      </w:r>
      <w:r>
        <w:rPr>
          <w:rFonts w:hint="eastAsia" w:ascii="仿宋" w:hAnsi="仿宋" w:eastAsia="仿宋" w:cs="仿宋"/>
          <w:snapToGrid/>
          <w:kern w:val="2"/>
          <w:sz w:val="25"/>
          <w:szCs w:val="25"/>
          <w:lang w:val="en-US" w:eastAsia="zh-CN"/>
        </w:rPr>
        <w:t>的</w:t>
      </w:r>
      <w:r>
        <w:rPr>
          <w:rFonts w:hint="eastAsia" w:ascii="仿宋" w:hAnsi="仿宋" w:eastAsia="仿宋" w:cs="仿宋"/>
          <w:snapToGrid/>
          <w:kern w:val="2"/>
          <w:sz w:val="25"/>
          <w:szCs w:val="25"/>
          <w:lang w:eastAsia="zh-CN"/>
        </w:rPr>
        <w:t>，甲方有权采取相应措施或直接委托其他施工单位完成该指令事项，发生</w:t>
      </w:r>
      <w:bookmarkStart w:id="10" w:name="bookmark28"/>
      <w:bookmarkEnd w:id="10"/>
      <w:r>
        <w:rPr>
          <w:rFonts w:hint="eastAsia" w:ascii="仿宋" w:hAnsi="仿宋" w:eastAsia="仿宋" w:cs="仿宋"/>
          <w:snapToGrid/>
          <w:kern w:val="2"/>
          <w:sz w:val="25"/>
          <w:szCs w:val="25"/>
          <w:lang w:eastAsia="zh-CN"/>
        </w:rPr>
        <w:t>的费用(包括但不限于因拒不执行指令给甲方造成的其它损失，含业主的罚款、重新安排队伍施工造成的单价差、赶工费等)由乙方承担，乙方同意从工程结算款中扣除，不足部分从其他应付款中扣除，若乙方没有可供扣除款项的，应在接到甲方通知后</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日内将前述款项支付给甲方。</w:t>
      </w:r>
    </w:p>
    <w:p w14:paraId="62CD56C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(7)负责主要材料或半成品的管理和核销。</w:t>
      </w:r>
    </w:p>
    <w:p w14:paraId="7168EB7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(8)甲方负责对乙方完成的工程量进行审核、计价结算，并按业主资金到位情况进行工程款的支付。</w:t>
      </w:r>
    </w:p>
    <w:p w14:paraId="3046FF3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(9)甲方有权要求乙方撤换不能胜任本职工作的管理及施工人员。</w:t>
      </w:r>
    </w:p>
    <w:p w14:paraId="6A358F0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(10)甲方有权对乙方施工工作面存在的安全隐患进行监督、检查，并督促乙方采取整改措施。</w:t>
      </w:r>
    </w:p>
    <w:p w14:paraId="313CC24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(11)甲方有权对乙方的现场资源进行合理调配。</w:t>
      </w:r>
    </w:p>
    <w:p w14:paraId="33F75BA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(12)甲方有权要求乙方提供甲方认为必要的合法合规票据及资料原件，或将经甲方核对与原件无异的复印件交甲方留存备案。</w:t>
      </w:r>
    </w:p>
    <w:p w14:paraId="46BB82A8">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2、乙方权利与义务</w:t>
      </w:r>
    </w:p>
    <w:p w14:paraId="2EBAB28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(1)在接到甲方进场通知后</w:t>
      </w:r>
      <w:r>
        <w:rPr>
          <w:rFonts w:hint="eastAsia" w:ascii="仿宋" w:hAnsi="仿宋" w:eastAsia="仿宋" w:cs="仿宋"/>
          <w:snapToGrid/>
          <w:kern w:val="2"/>
          <w:sz w:val="25"/>
          <w:szCs w:val="25"/>
          <w:u w:val="single"/>
          <w:lang w:eastAsia="zh-CN"/>
        </w:rPr>
        <w:t xml:space="preserve"> 7</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日内，乙方应组织人员接受甲方的技术、质量、安全、环保等交底，乙方负责组织人员研究和熟悉施工图纸、按照施工总布置要求、做好各项施工准备工作。</w:t>
      </w:r>
    </w:p>
    <w:p w14:paraId="70675F2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(2)乙方保证在合同签订后，按承诺组织人员进场，组织人员接受甲方的技术、质量、安全、环保等交底，保证开工后立即形成一定的生产能力。如果延期投入乙方承诺：每延期一天按</w:t>
      </w:r>
      <w:r>
        <w:rPr>
          <w:rFonts w:hint="eastAsia" w:ascii="仿宋" w:hAnsi="仿宋" w:eastAsia="仿宋" w:cs="仿宋"/>
          <w:snapToGrid/>
          <w:kern w:val="2"/>
          <w:sz w:val="25"/>
          <w:szCs w:val="25"/>
          <w:u w:val="single"/>
          <w:lang w:eastAsia="zh-CN"/>
        </w:rPr>
        <w:t>3000</w:t>
      </w:r>
      <w:r>
        <w:rPr>
          <w:rFonts w:hint="eastAsia" w:ascii="仿宋" w:hAnsi="仿宋" w:eastAsia="仿宋" w:cs="仿宋"/>
          <w:snapToGrid/>
          <w:kern w:val="2"/>
          <w:sz w:val="25"/>
          <w:szCs w:val="25"/>
          <w:lang w:eastAsia="zh-CN"/>
        </w:rPr>
        <w:t>元</w:t>
      </w:r>
      <w:r>
        <w:rPr>
          <w:rFonts w:hint="eastAsia" w:ascii="仿宋" w:hAnsi="仿宋" w:eastAsia="仿宋" w:cs="仿宋"/>
          <w:snapToGrid/>
          <w:kern w:val="2"/>
          <w:sz w:val="25"/>
          <w:szCs w:val="25"/>
          <w:lang w:val="en-US" w:eastAsia="zh-CN"/>
        </w:rPr>
        <w:t>/天</w:t>
      </w:r>
      <w:r>
        <w:rPr>
          <w:rFonts w:hint="eastAsia" w:ascii="仿宋" w:hAnsi="仿宋" w:eastAsia="仿宋" w:cs="仿宋"/>
          <w:snapToGrid/>
          <w:kern w:val="2"/>
          <w:sz w:val="25"/>
          <w:szCs w:val="25"/>
          <w:lang w:eastAsia="zh-CN"/>
        </w:rPr>
        <w:t>计算，作为对甲方的损失补偿。</w:t>
      </w:r>
    </w:p>
    <w:p w14:paraId="0B1EAC4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(3)乙方自行对进场人员进行安全、质量和相关的技能培训并接受甲方的监督检查。</w:t>
      </w:r>
      <w:r>
        <w:rPr>
          <w:rFonts w:hint="eastAsia" w:ascii="仿宋" w:hAnsi="仿宋" w:eastAsia="仿宋" w:cs="仿宋"/>
          <w:snapToGrid/>
          <w:kern w:val="2"/>
          <w:sz w:val="25"/>
          <w:szCs w:val="25"/>
          <w:lang w:val="en-US" w:eastAsia="zh-CN"/>
        </w:rPr>
        <w:t>特种作业人员</w:t>
      </w:r>
      <w:r>
        <w:rPr>
          <w:rFonts w:hint="eastAsia" w:ascii="仿宋" w:hAnsi="仿宋" w:eastAsia="仿宋" w:cs="仿宋"/>
          <w:snapToGrid/>
          <w:kern w:val="2"/>
          <w:sz w:val="25"/>
          <w:szCs w:val="25"/>
          <w:lang w:eastAsia="zh-CN"/>
        </w:rPr>
        <w:t>必须有作业资格证并持证上岗。必须严格按照《安全操作规程》进行施工，在合同履行过程中，发生一切安全、质量事故均由乙方承担。施工过程中乙方若造成任何人身、财产损失的，责任由乙方承担。</w:t>
      </w:r>
    </w:p>
    <w:p w14:paraId="4AA7953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(4)乙方为满足自身施工要求而修建的施工便道和对甲方修建的施工便道进行的整修、维护等相关费用由乙方自行承担，费用含在单价中。</w:t>
      </w:r>
    </w:p>
    <w:p w14:paraId="0D8F7E6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(5)承担因乙方原因造成的业主、</w:t>
      </w:r>
      <w:r>
        <w:rPr>
          <w:rFonts w:hint="eastAsia" w:ascii="仿宋" w:hAnsi="仿宋" w:eastAsia="仿宋" w:cs="仿宋"/>
          <w:snapToGrid/>
          <w:kern w:val="2"/>
          <w:sz w:val="25"/>
          <w:szCs w:val="25"/>
          <w:lang w:val="en-US" w:eastAsia="zh-CN"/>
        </w:rPr>
        <w:t>监理及行政主管部门等</w:t>
      </w:r>
      <w:r>
        <w:rPr>
          <w:rFonts w:hint="eastAsia" w:ascii="仿宋" w:hAnsi="仿宋" w:eastAsia="仿宋" w:cs="仿宋"/>
          <w:snapToGrid/>
          <w:kern w:val="2"/>
          <w:sz w:val="25"/>
          <w:szCs w:val="25"/>
          <w:lang w:eastAsia="zh-CN"/>
        </w:rPr>
        <w:t>对甲方的罚款以及合同约定乙方应向甲方支付的违约金。</w:t>
      </w:r>
    </w:p>
    <w:p w14:paraId="456634E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(6)遵照甲方相关管理体系运行要求及规定，加强相应的质量、环境保护、职业健康安全管理措施。</w:t>
      </w:r>
    </w:p>
    <w:p w14:paraId="1FBE158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(7)乙方必须积极配合甲方做好业主等上级领导的各类检查工作。</w:t>
      </w:r>
    </w:p>
    <w:p w14:paraId="5081A3E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乙方必须按甲方要求的进度计划组织施工，接受甲方对工程进度的检查、监督和管理。工程实际进度不满足计划进度要求时，乙方应向甲方提交整改措施和方案，经甲方批准后执行；但并不免除因乙方原因造成的工期延误和应由乙方承担的一切损失及责任。</w:t>
      </w:r>
    </w:p>
    <w:p w14:paraId="76D9C6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(9)乙方必须服从甲方的施工调度及甲方转发的业主或监理工程师与承包工程有关的指令。乙方不得直接致函业主或监理工程师，不得直接从业主处收取工程款。</w:t>
      </w:r>
    </w:p>
    <w:p w14:paraId="02F255C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(10)乙方必须遵守国家及当地政府有关安全生产和环境保护等法律、法规和甲方相关规定及制度，乙方必须严格</w:t>
      </w:r>
      <w:r>
        <w:rPr>
          <w:rFonts w:hint="eastAsia" w:ascii="仿宋" w:hAnsi="仿宋" w:eastAsia="仿宋" w:cs="仿宋"/>
          <w:snapToGrid/>
          <w:kern w:val="2"/>
          <w:sz w:val="25"/>
          <w:szCs w:val="25"/>
          <w:lang w:val="en-US" w:eastAsia="zh-CN"/>
        </w:rPr>
        <w:t>遵守甲方</w:t>
      </w:r>
      <w:r>
        <w:rPr>
          <w:rFonts w:hint="eastAsia" w:ascii="仿宋" w:hAnsi="仿宋" w:eastAsia="仿宋" w:cs="仿宋"/>
          <w:snapToGrid/>
          <w:kern w:val="2"/>
          <w:sz w:val="25"/>
          <w:szCs w:val="25"/>
          <w:lang w:eastAsia="zh-CN"/>
        </w:rPr>
        <w:t>质量、职业健康、安全、环境保护等管理，并及时提供相关各种见证资料及记录，对所属员工及因其过错造成他人人身、财产损失等负责。</w:t>
      </w:r>
    </w:p>
    <w:p w14:paraId="0A65DC1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(11)乙方应按甲方与业主的主合同、国家规定的有关标准、规范及甲方提供的图纸完成工程施工，确保工程质量、进度及安全等满足合同要求；保证施工场地清洁符合环境卫生管理规定，交工前清理现场达到甲方要求，并承担因自身原因造成的损失和罚款。</w:t>
      </w:r>
    </w:p>
    <w:p w14:paraId="1BC3DDE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(12)乙方负责施工现场及其生活营地的看护、保卫及未完工程的安全工作；按时向甲方移交工程。保护期内发生损坏的，由乙方承担全部损失并自费修复。</w:t>
      </w:r>
    </w:p>
    <w:p w14:paraId="5694F98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(13)乙方应对在保修期内承包工程出现的缺陷进行保修。如乙方未在甲方通知的时间内进行修理或经修理仍不符合要求的，甲方则有权另行指定第三方修理并不承担任何法律责任，所发生的一切费用由甲方直接从乙方质保金或应得、可能得到的款项中扣除，不足部分由乙方另行支付。</w:t>
      </w:r>
    </w:p>
    <w:p w14:paraId="0FB0481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(14)如分包合同工程跨年度，乙方应在其营业执照、资质证书、安全生产许可证、税务登记证等相应证书年检或到期更换新证书后</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 xml:space="preserve">7 </w:t>
      </w:r>
      <w:r>
        <w:rPr>
          <w:rFonts w:hint="eastAsia" w:ascii="仿宋" w:hAnsi="仿宋" w:eastAsia="仿宋" w:cs="仿宋"/>
          <w:snapToGrid/>
          <w:kern w:val="2"/>
          <w:sz w:val="25"/>
          <w:szCs w:val="25"/>
          <w:lang w:eastAsia="zh-CN"/>
        </w:rPr>
        <w:t>日内将通过年检或更换的新证书复印件(需加盖乙方单位公章)送交甲方备案，否则承担管理部门检查为此进行</w:t>
      </w:r>
      <w:r>
        <w:rPr>
          <w:rFonts w:hint="eastAsia" w:ascii="仿宋" w:hAnsi="仿宋" w:eastAsia="仿宋" w:cs="仿宋"/>
          <w:snapToGrid/>
          <w:kern w:val="2"/>
          <w:sz w:val="25"/>
          <w:szCs w:val="25"/>
          <w:lang w:val="en-US" w:eastAsia="zh-CN"/>
        </w:rPr>
        <w:t>的</w:t>
      </w:r>
      <w:r>
        <w:rPr>
          <w:rFonts w:hint="eastAsia" w:ascii="仿宋" w:hAnsi="仿宋" w:eastAsia="仿宋" w:cs="仿宋"/>
          <w:snapToGrid/>
          <w:kern w:val="2"/>
          <w:sz w:val="25"/>
          <w:szCs w:val="25"/>
          <w:lang w:eastAsia="zh-CN"/>
        </w:rPr>
        <w:t>罚款等一切损失。</w:t>
      </w:r>
    </w:p>
    <w:p w14:paraId="4D5714A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(15)乙方确保其施工人员工资及时发放，并配合甲方对其施工人员工资发放情况的检查和监督工作。</w:t>
      </w:r>
    </w:p>
    <w:p w14:paraId="26F0BA8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(16)乙方负责其施工人员的培训、安全教育、持证上岗、职业病防治、工资发放、各种社会保险、伤亡事故处理、劳动争议等事宜，并负责因其施工人员、</w:t>
      </w:r>
      <w:r>
        <w:rPr>
          <w:rFonts w:hint="eastAsia" w:ascii="仿宋" w:hAnsi="仿宋" w:eastAsia="仿宋" w:cs="仿宋"/>
          <w:snapToGrid/>
          <w:kern w:val="2"/>
          <w:sz w:val="25"/>
          <w:szCs w:val="25"/>
          <w:lang w:val="en-US" w:eastAsia="zh-CN"/>
        </w:rPr>
        <w:t>机械设备</w:t>
      </w:r>
      <w:r>
        <w:rPr>
          <w:rFonts w:hint="eastAsia" w:ascii="仿宋" w:hAnsi="仿宋" w:eastAsia="仿宋" w:cs="仿宋"/>
          <w:snapToGrid/>
          <w:kern w:val="2"/>
          <w:sz w:val="25"/>
          <w:szCs w:val="25"/>
          <w:lang w:eastAsia="zh-CN"/>
        </w:rPr>
        <w:t>在合同履行期间给</w:t>
      </w:r>
      <w:r>
        <w:rPr>
          <w:rFonts w:hint="eastAsia" w:ascii="仿宋" w:hAnsi="仿宋" w:eastAsia="仿宋" w:cs="仿宋"/>
          <w:snapToGrid/>
          <w:kern w:val="2"/>
          <w:sz w:val="25"/>
          <w:szCs w:val="25"/>
          <w:lang w:val="en-US" w:eastAsia="zh-CN"/>
        </w:rPr>
        <w:t>甲方及</w:t>
      </w:r>
      <w:r>
        <w:rPr>
          <w:rFonts w:hint="eastAsia" w:ascii="仿宋" w:hAnsi="仿宋" w:eastAsia="仿宋" w:cs="仿宋"/>
          <w:snapToGrid/>
          <w:kern w:val="2"/>
          <w:sz w:val="25"/>
          <w:szCs w:val="25"/>
          <w:lang w:eastAsia="zh-CN"/>
        </w:rPr>
        <w:t>第三人造成的人身、财产损失赔偿。</w:t>
      </w:r>
    </w:p>
    <w:p w14:paraId="7A5D3E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(17)乙方必须为其施工及管理人员办理意外伤害(或雇主责任)保险，保险费用由乙方承担，为其施工设备办理</w:t>
      </w:r>
      <w:r>
        <w:rPr>
          <w:rFonts w:hint="eastAsia" w:ascii="仿宋" w:hAnsi="仿宋" w:eastAsia="仿宋" w:cs="仿宋"/>
          <w:snapToGrid/>
          <w:kern w:val="2"/>
          <w:sz w:val="25"/>
          <w:szCs w:val="25"/>
          <w:lang w:val="en-US" w:eastAsia="zh-CN"/>
        </w:rPr>
        <w:t>相关保险</w:t>
      </w:r>
      <w:r>
        <w:rPr>
          <w:rFonts w:hint="eastAsia" w:ascii="仿宋" w:hAnsi="仿宋" w:eastAsia="仿宋" w:cs="仿宋"/>
          <w:snapToGrid/>
          <w:kern w:val="2"/>
          <w:sz w:val="25"/>
          <w:szCs w:val="25"/>
          <w:lang w:eastAsia="zh-CN"/>
        </w:rPr>
        <w:t>。</w:t>
      </w:r>
    </w:p>
    <w:p w14:paraId="09494EA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(18)乙方承担不按设计要求</w:t>
      </w:r>
      <w:r>
        <w:rPr>
          <w:rFonts w:hint="eastAsia" w:ascii="仿宋" w:hAnsi="仿宋" w:eastAsia="仿宋" w:cs="仿宋"/>
          <w:snapToGrid/>
          <w:kern w:val="2"/>
          <w:sz w:val="25"/>
          <w:szCs w:val="25"/>
          <w:lang w:val="en-US" w:eastAsia="zh-CN"/>
        </w:rPr>
        <w:t>施工</w:t>
      </w:r>
      <w:r>
        <w:rPr>
          <w:rFonts w:hint="eastAsia" w:ascii="仿宋" w:hAnsi="仿宋" w:eastAsia="仿宋" w:cs="仿宋"/>
          <w:snapToGrid/>
          <w:kern w:val="2"/>
          <w:sz w:val="25"/>
          <w:szCs w:val="25"/>
          <w:lang w:eastAsia="zh-CN"/>
        </w:rPr>
        <w:t>造成</w:t>
      </w:r>
      <w:r>
        <w:rPr>
          <w:rFonts w:hint="eastAsia" w:ascii="仿宋" w:hAnsi="仿宋" w:eastAsia="仿宋" w:cs="仿宋"/>
          <w:snapToGrid/>
          <w:kern w:val="2"/>
          <w:sz w:val="25"/>
          <w:szCs w:val="25"/>
          <w:lang w:val="en-US" w:eastAsia="zh-CN"/>
        </w:rPr>
        <w:t>的</w:t>
      </w:r>
      <w:r>
        <w:rPr>
          <w:rFonts w:hint="eastAsia" w:ascii="仿宋" w:hAnsi="仿宋" w:eastAsia="仿宋" w:cs="仿宋"/>
          <w:snapToGrid/>
          <w:kern w:val="2"/>
          <w:sz w:val="25"/>
          <w:szCs w:val="25"/>
          <w:lang w:eastAsia="zh-CN"/>
        </w:rPr>
        <w:t>甲方各项经济损失的所有费用。</w:t>
      </w:r>
    </w:p>
    <w:p w14:paraId="6D5BE33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(19)业主或监理工程师的指令，乙方必须无条件服从，业主或监理工程师明确不予补偿或赔偿的事项，乙方不得向甲方提出补偿或赔偿要求。</w:t>
      </w:r>
    </w:p>
    <w:p w14:paraId="60CA2F0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(20)乙方在签订本协议时，已经充分了解到施工现场条件及自然地理环境的风险，并承担由该风险所带来的损失和责任。</w:t>
      </w:r>
    </w:p>
    <w:p w14:paraId="4E5969A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(21)乙方确认</w:t>
      </w:r>
      <w:r>
        <w:rPr>
          <w:rFonts w:hint="eastAsia" w:ascii="仿宋" w:hAnsi="仿宋" w:eastAsia="仿宋" w:cs="仿宋"/>
          <w:snapToGrid/>
          <w:kern w:val="2"/>
          <w:sz w:val="25"/>
          <w:szCs w:val="25"/>
          <w:u w:val="single"/>
          <w:lang w:val="en-US" w:eastAsia="zh-CN"/>
        </w:rPr>
        <w:t xml:space="preserve"> xxxx </w:t>
      </w:r>
      <w:r>
        <w:rPr>
          <w:rFonts w:hint="eastAsia" w:ascii="仿宋" w:hAnsi="仿宋" w:eastAsia="仿宋" w:cs="仿宋"/>
          <w:snapToGrid/>
          <w:kern w:val="2"/>
          <w:sz w:val="25"/>
          <w:szCs w:val="25"/>
          <w:lang w:eastAsia="zh-CN"/>
        </w:rPr>
        <w:t>为本合同工程劳务分包作业负责人(身份证号：</w:t>
      </w:r>
      <w:r>
        <w:rPr>
          <w:rFonts w:hint="eastAsia" w:ascii="仿宋" w:hAnsi="仿宋" w:eastAsia="仿宋" w:cs="仿宋"/>
          <w:snapToGrid/>
          <w:kern w:val="2"/>
          <w:sz w:val="25"/>
          <w:szCs w:val="25"/>
          <w:u w:val="single"/>
          <w:lang w:eastAsia="zh-CN"/>
        </w:rPr>
        <w:t xml:space="preserve"> </w:t>
      </w:r>
      <w:r>
        <w:rPr>
          <w:rFonts w:hint="eastAsia" w:ascii="仿宋" w:hAnsi="仿宋" w:eastAsia="仿宋" w:cs="仿宋"/>
          <w:snapToGrid/>
          <w:kern w:val="2"/>
          <w:sz w:val="25"/>
          <w:szCs w:val="25"/>
          <w:u w:val="single"/>
          <w:lang w:val="en-US" w:eastAsia="zh-CN"/>
        </w:rPr>
        <w:t xml:space="preserve">   xxxxx</w:t>
      </w:r>
      <w:r>
        <w:rPr>
          <w:rFonts w:hint="eastAsia" w:ascii="仿宋" w:hAnsi="仿宋" w:eastAsia="仿宋" w:cs="仿宋"/>
          <w:snapToGrid/>
          <w:kern w:val="2"/>
          <w:sz w:val="25"/>
          <w:szCs w:val="25"/>
          <w:lang w:eastAsia="zh-CN"/>
        </w:rPr>
        <w:t>,电 话：</w:t>
      </w:r>
      <w:r>
        <w:rPr>
          <w:rFonts w:hint="eastAsia" w:ascii="仿宋" w:hAnsi="仿宋" w:eastAsia="仿宋" w:cs="仿宋"/>
          <w:snapToGrid/>
          <w:kern w:val="2"/>
          <w:sz w:val="25"/>
          <w:szCs w:val="25"/>
          <w:u w:val="single"/>
          <w:lang w:val="en-US" w:eastAsia="zh-CN"/>
        </w:rPr>
        <w:t xml:space="preserve"> xxxxx </w:t>
      </w:r>
      <w:r>
        <w:rPr>
          <w:rFonts w:hint="eastAsia" w:ascii="仿宋" w:hAnsi="仿宋" w:eastAsia="仿宋" w:cs="仿宋"/>
          <w:snapToGrid/>
          <w:kern w:val="2"/>
          <w:sz w:val="25"/>
          <w:szCs w:val="25"/>
          <w:lang w:eastAsia="zh-CN"/>
        </w:rPr>
        <w:t>)。乙方依据本合同发出的请求及通知，必须由劳务分包作业负责人或授权代表签字，否则视为无效。在本合同履约期内不得兼任除本合同以外其他工程的项目经理或主要负责人，否则，乙方应向甲方支付违约金人民币</w:t>
      </w:r>
      <w:r>
        <w:rPr>
          <w:rFonts w:hint="eastAsia" w:ascii="仿宋" w:hAnsi="仿宋" w:eastAsia="仿宋" w:cs="仿宋"/>
          <w:snapToGrid/>
          <w:kern w:val="2"/>
          <w:sz w:val="25"/>
          <w:szCs w:val="25"/>
          <w:u w:val="single"/>
          <w:lang w:eastAsia="zh-CN"/>
        </w:rPr>
        <w:t xml:space="preserve"> 10000 </w:t>
      </w:r>
      <w:r>
        <w:rPr>
          <w:rFonts w:hint="eastAsia" w:ascii="仿宋" w:hAnsi="仿宋" w:eastAsia="仿宋" w:cs="仿宋"/>
          <w:snapToGrid/>
          <w:kern w:val="2"/>
          <w:sz w:val="25"/>
          <w:szCs w:val="25"/>
          <w:lang w:eastAsia="zh-CN"/>
        </w:rPr>
        <w:t>元；未经甲方同意更换分包负责人，乙方应向甲方缴纳违约金人民币</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5000</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元。</w:t>
      </w:r>
    </w:p>
    <w:p w14:paraId="06691BF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(22)乙方的分包负责人须常驻工地，全权负责乙方施工进度、质量、技术、安全、结算、民工管理等职责，负责人离开工地时，须以书面形式向甲方单位请假，经甲方项目经理或其授权代表书面同意后方可离开工地。负责人每月在工地时间不得低于</w:t>
      </w:r>
      <w:r>
        <w:rPr>
          <w:rFonts w:hint="eastAsia" w:ascii="仿宋" w:hAnsi="仿宋" w:eastAsia="仿宋" w:cs="仿宋"/>
          <w:snapToGrid/>
          <w:kern w:val="2"/>
          <w:sz w:val="25"/>
          <w:szCs w:val="25"/>
          <w:u w:val="single"/>
          <w:lang w:eastAsia="zh-CN"/>
        </w:rPr>
        <w:t xml:space="preserve"> 25 </w:t>
      </w:r>
      <w:r>
        <w:rPr>
          <w:rFonts w:hint="eastAsia" w:ascii="仿宋" w:hAnsi="仿宋" w:eastAsia="仿宋" w:cs="仿宋"/>
          <w:snapToGrid/>
          <w:kern w:val="2"/>
          <w:sz w:val="25"/>
          <w:szCs w:val="25"/>
          <w:lang w:eastAsia="zh-CN"/>
        </w:rPr>
        <w:t>日。工地现场建立考勤制度，每少</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1</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天应向甲方缴纳</w:t>
      </w:r>
      <w:r>
        <w:rPr>
          <w:rFonts w:hint="eastAsia" w:ascii="仿宋" w:hAnsi="仿宋" w:eastAsia="仿宋" w:cs="仿宋"/>
          <w:snapToGrid/>
          <w:kern w:val="2"/>
          <w:sz w:val="25"/>
          <w:szCs w:val="25"/>
          <w:u w:val="single"/>
          <w:lang w:eastAsia="zh-CN"/>
        </w:rPr>
        <w:t>1000</w:t>
      </w:r>
      <w:r>
        <w:rPr>
          <w:rFonts w:hint="eastAsia" w:ascii="仿宋" w:hAnsi="仿宋" w:eastAsia="仿宋" w:cs="仿宋"/>
          <w:snapToGrid/>
          <w:kern w:val="2"/>
          <w:sz w:val="25"/>
          <w:szCs w:val="25"/>
          <w:lang w:eastAsia="zh-CN"/>
        </w:rPr>
        <w:t>元/天的违约金。</w:t>
      </w:r>
    </w:p>
    <w:p w14:paraId="642612E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(23)乙方已全面了解并承诺遵守甲方各项管理制度，服从甲方对施工现场管理的各项管理规定及指令，乙方不得以甲方的名义从事其它任何活动。</w:t>
      </w:r>
    </w:p>
    <w:p w14:paraId="260BCED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(24)乙方不得将本合同中乙方的权利和义务转让给第三方(包括再次分包、事实上的转包等)。一经查出再次分包和事实上转包的，甲方有权</w:t>
      </w:r>
      <w:r>
        <w:rPr>
          <w:rFonts w:hint="eastAsia" w:ascii="仿宋" w:hAnsi="仿宋" w:eastAsia="仿宋" w:cs="仿宋"/>
          <w:snapToGrid/>
          <w:kern w:val="2"/>
          <w:sz w:val="25"/>
          <w:szCs w:val="25"/>
          <w:lang w:val="en-US" w:eastAsia="zh-CN"/>
        </w:rPr>
        <w:t>要求</w:t>
      </w:r>
      <w:r>
        <w:rPr>
          <w:rFonts w:hint="eastAsia" w:ascii="仿宋" w:hAnsi="仿宋" w:eastAsia="仿宋" w:cs="仿宋"/>
          <w:snapToGrid/>
          <w:kern w:val="2"/>
          <w:sz w:val="25"/>
          <w:szCs w:val="25"/>
          <w:lang w:eastAsia="zh-CN"/>
        </w:rPr>
        <w:t>乙方按合同总金额的</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u w:val="single"/>
          <w:lang w:eastAsia="zh-CN"/>
        </w:rPr>
        <w:t xml:space="preserve">10 </w:t>
      </w:r>
      <w:r>
        <w:rPr>
          <w:rFonts w:hint="eastAsia" w:ascii="仿宋" w:hAnsi="仿宋" w:eastAsia="仿宋" w:cs="仿宋"/>
          <w:snapToGrid/>
          <w:kern w:val="2"/>
          <w:sz w:val="25"/>
          <w:szCs w:val="25"/>
          <w:lang w:eastAsia="zh-CN"/>
        </w:rPr>
        <w:t>%向甲方支付违约金，并有权单方面解除合同。乙方应当赔偿由此给甲方造成的一切损失，并就工程质量、安全、</w:t>
      </w:r>
      <w:r>
        <w:rPr>
          <w:rFonts w:hint="eastAsia" w:ascii="仿宋" w:hAnsi="仿宋" w:eastAsia="仿宋" w:cs="仿宋"/>
          <w:snapToGrid/>
          <w:kern w:val="2"/>
          <w:sz w:val="25"/>
          <w:szCs w:val="25"/>
          <w:lang w:val="en-US" w:eastAsia="zh-CN"/>
        </w:rPr>
        <w:t>进度、</w:t>
      </w:r>
      <w:r>
        <w:rPr>
          <w:rFonts w:hint="eastAsia" w:ascii="仿宋" w:hAnsi="仿宋" w:eastAsia="仿宋" w:cs="仿宋"/>
          <w:snapToGrid/>
          <w:kern w:val="2"/>
          <w:sz w:val="25"/>
          <w:szCs w:val="25"/>
          <w:lang w:eastAsia="zh-CN"/>
        </w:rPr>
        <w:t>文明施工、</w:t>
      </w:r>
      <w:r>
        <w:rPr>
          <w:rFonts w:hint="eastAsia" w:ascii="仿宋" w:hAnsi="仿宋" w:eastAsia="仿宋" w:cs="仿宋"/>
          <w:snapToGrid/>
          <w:kern w:val="2"/>
          <w:sz w:val="25"/>
          <w:szCs w:val="25"/>
          <w:lang w:val="en-US" w:eastAsia="zh-CN"/>
        </w:rPr>
        <w:t>环境保护、水土保持</w:t>
      </w:r>
      <w:r>
        <w:rPr>
          <w:rFonts w:hint="eastAsia" w:ascii="仿宋" w:hAnsi="仿宋" w:eastAsia="仿宋" w:cs="仿宋"/>
          <w:snapToGrid/>
          <w:kern w:val="2"/>
          <w:sz w:val="25"/>
          <w:szCs w:val="25"/>
          <w:lang w:eastAsia="zh-CN"/>
        </w:rPr>
        <w:t>等与其转包人承担连带责任。</w:t>
      </w:r>
      <w:bookmarkStart w:id="11" w:name="bookmark29"/>
      <w:bookmarkEnd w:id="11"/>
    </w:p>
    <w:p w14:paraId="4B0E394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(25)乙方须按照合同及甲方的管理要求，及时向甲方提供相关资料。如不能按时提供资料，甲方有权暂停给乙方的工程款结算和支付，且甲方不承担任何责任。</w:t>
      </w:r>
    </w:p>
    <w:p w14:paraId="1AEF9DB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(26)乙方从甲方领用的材料,乙方均负有看守、</w:t>
      </w:r>
      <w:r>
        <w:rPr>
          <w:rFonts w:hint="eastAsia" w:ascii="仿宋" w:hAnsi="仿宋" w:eastAsia="仿宋" w:cs="仿宋"/>
          <w:snapToGrid/>
          <w:kern w:val="2"/>
          <w:sz w:val="25"/>
          <w:szCs w:val="25"/>
          <w:lang w:val="en-US" w:eastAsia="zh-CN"/>
        </w:rPr>
        <w:t>保护</w:t>
      </w:r>
      <w:r>
        <w:rPr>
          <w:rFonts w:hint="eastAsia" w:ascii="仿宋" w:hAnsi="仿宋" w:eastAsia="仿宋" w:cs="仿宋"/>
          <w:snapToGrid/>
          <w:kern w:val="2"/>
          <w:sz w:val="25"/>
          <w:szCs w:val="25"/>
          <w:lang w:eastAsia="zh-CN"/>
        </w:rPr>
        <w:t>责任，一旦发生丢失、</w:t>
      </w:r>
      <w:r>
        <w:rPr>
          <w:rFonts w:hint="eastAsia" w:ascii="仿宋" w:hAnsi="仿宋" w:eastAsia="仿宋" w:cs="仿宋"/>
          <w:snapToGrid/>
          <w:kern w:val="2"/>
          <w:sz w:val="25"/>
          <w:szCs w:val="25"/>
          <w:lang w:val="en-US" w:eastAsia="zh-CN"/>
        </w:rPr>
        <w:t>损毁</w:t>
      </w:r>
      <w:r>
        <w:rPr>
          <w:rFonts w:hint="eastAsia" w:ascii="仿宋" w:hAnsi="仿宋" w:eastAsia="仿宋" w:cs="仿宋"/>
          <w:snapToGrid/>
          <w:kern w:val="2"/>
          <w:sz w:val="25"/>
          <w:szCs w:val="25"/>
          <w:lang w:eastAsia="zh-CN"/>
        </w:rPr>
        <w:t>，乙方均负有赔偿责任。</w:t>
      </w:r>
    </w:p>
    <w:p w14:paraId="2A5316E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(27)在甲方资金短缺期间，乙方</w:t>
      </w:r>
      <w:r>
        <w:rPr>
          <w:rFonts w:hint="eastAsia" w:ascii="仿宋" w:hAnsi="仿宋" w:eastAsia="仿宋" w:cs="仿宋"/>
          <w:snapToGrid/>
          <w:kern w:val="2"/>
          <w:sz w:val="25"/>
          <w:szCs w:val="25"/>
          <w:lang w:val="en-US" w:eastAsia="zh-CN"/>
        </w:rPr>
        <w:t>应有一定的垫资能力，</w:t>
      </w:r>
      <w:r>
        <w:rPr>
          <w:rFonts w:hint="eastAsia" w:ascii="仿宋" w:hAnsi="仿宋" w:eastAsia="仿宋" w:cs="仿宋"/>
          <w:snapToGrid/>
          <w:kern w:val="2"/>
          <w:sz w:val="25"/>
          <w:szCs w:val="25"/>
          <w:lang w:eastAsia="zh-CN"/>
        </w:rPr>
        <w:t>必须保证工程施工的正常进行，不得以此为由向甲方提出任何索赔。</w:t>
      </w:r>
    </w:p>
    <w:p w14:paraId="6848191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2" w:name="_Toc8254"/>
      <w:r>
        <w:rPr>
          <w:rFonts w:hint="eastAsia" w:ascii="仿宋" w:hAnsi="仿宋" w:eastAsia="仿宋" w:cs="仿宋"/>
          <w:b/>
          <w:bCs/>
          <w:snapToGrid/>
          <w:kern w:val="2"/>
          <w:sz w:val="25"/>
          <w:szCs w:val="25"/>
          <w:lang w:eastAsia="zh-CN"/>
        </w:rPr>
        <w:t>五、施工辅助设施</w:t>
      </w:r>
      <w:bookmarkEnd w:id="12"/>
    </w:p>
    <w:p w14:paraId="2981BB7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3" w:name="bookmark7"/>
      <w:bookmarkEnd w:id="13"/>
      <w:r>
        <w:rPr>
          <w:rFonts w:hint="eastAsia" w:ascii="仿宋" w:hAnsi="仿宋" w:eastAsia="仿宋" w:cs="仿宋"/>
          <w:b/>
          <w:bCs/>
          <w:snapToGrid/>
          <w:kern w:val="2"/>
          <w:sz w:val="25"/>
          <w:szCs w:val="25"/>
          <w:lang w:eastAsia="zh-CN"/>
        </w:rPr>
        <w:t>1、施工供水</w:t>
      </w:r>
    </w:p>
    <w:p w14:paraId="76F4E3C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甲方提供</w:t>
      </w:r>
      <w:r>
        <w:rPr>
          <w:rFonts w:hint="eastAsia" w:ascii="仿宋" w:hAnsi="仿宋" w:eastAsia="仿宋" w:cs="仿宋"/>
          <w:snapToGrid/>
          <w:kern w:val="2"/>
          <w:sz w:val="25"/>
          <w:szCs w:val="25"/>
          <w:lang w:val="en-US" w:eastAsia="zh-CN"/>
        </w:rPr>
        <w:t>临水环网及</w:t>
      </w:r>
      <w:r>
        <w:rPr>
          <w:rFonts w:hint="eastAsia" w:ascii="仿宋" w:hAnsi="仿宋" w:eastAsia="仿宋" w:cs="仿宋"/>
          <w:snapToGrid/>
          <w:kern w:val="2"/>
          <w:sz w:val="25"/>
          <w:szCs w:val="25"/>
          <w:lang w:eastAsia="zh-CN"/>
        </w:rPr>
        <w:t>临水接驳点，乙方负责完成从临水接驳点往下至各个工作面的管路接入及养护工作(含材料),施工用水费用由</w:t>
      </w:r>
      <w:r>
        <w:rPr>
          <w:rFonts w:hint="eastAsia" w:ascii="仿宋" w:hAnsi="仿宋" w:eastAsia="仿宋" w:cs="仿宋"/>
          <w:snapToGrid/>
          <w:kern w:val="2"/>
          <w:sz w:val="25"/>
          <w:szCs w:val="25"/>
          <w:lang w:val="en-US" w:eastAsia="zh-CN"/>
        </w:rPr>
        <w:t>乙</w:t>
      </w:r>
      <w:r>
        <w:rPr>
          <w:rFonts w:hint="eastAsia" w:ascii="仿宋" w:hAnsi="仿宋" w:eastAsia="仿宋" w:cs="仿宋"/>
          <w:snapToGrid/>
          <w:kern w:val="2"/>
          <w:sz w:val="25"/>
          <w:szCs w:val="25"/>
          <w:lang w:eastAsia="zh-CN"/>
        </w:rPr>
        <w:t xml:space="preserve">方承担。  </w:t>
      </w:r>
    </w:p>
    <w:p w14:paraId="6764D8C0">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2、施工供电</w:t>
      </w:r>
    </w:p>
    <w:p w14:paraId="302D888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乙方提供一、二、三级配电箱至甲方指定区域并完成一、二、三级配电箱进线通电，一、二、三级配电箱外的三级配电箱所有的进、出线均由乙方接线完成并维护，配电箱接线以及所有电源箱、电源线、灯具、开关、插座、设备、机械(不包含塔吊)由乙方提供，乙方应配备专业电工进行现场用电维护，电工应满足持证上岗要求，施工用电费用由甲方承担。</w:t>
      </w:r>
    </w:p>
    <w:p w14:paraId="4232FFC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3、施工排水</w:t>
      </w:r>
    </w:p>
    <w:p w14:paraId="0C5689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为确保工程正常施工，乙方应自费完成因降雨等原因导致集水坑及基坑排水、施工现场抽排水等施工工作。</w:t>
      </w:r>
    </w:p>
    <w:p w14:paraId="1DA31B7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5、现场施工道路</w:t>
      </w:r>
    </w:p>
    <w:p w14:paraId="1CA257E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由甲方提供现场主</w:t>
      </w:r>
      <w:r>
        <w:rPr>
          <w:rFonts w:hint="eastAsia" w:ascii="仿宋" w:hAnsi="仿宋" w:eastAsia="仿宋" w:cs="仿宋"/>
          <w:snapToGrid/>
          <w:kern w:val="2"/>
          <w:sz w:val="25"/>
          <w:szCs w:val="25"/>
          <w:lang w:val="en-US" w:eastAsia="zh-CN"/>
        </w:rPr>
        <w:t>要</w:t>
      </w:r>
      <w:r>
        <w:rPr>
          <w:rFonts w:hint="eastAsia" w:ascii="仿宋" w:hAnsi="仿宋" w:eastAsia="仿宋" w:cs="仿宋"/>
          <w:snapToGrid/>
          <w:kern w:val="2"/>
          <w:sz w:val="25"/>
          <w:szCs w:val="25"/>
          <w:lang w:eastAsia="zh-CN"/>
        </w:rPr>
        <w:t>施工道路，场地内临时道路由乙方自行规划，选择正确合理的运输路线、运输工具，并限制和分配运载重量，避免其任何运输对现场周围或通往现场的道路或桥梁造成破坏或损伤。由于乙方运输问题造成任何桥梁或道路损坏而引起的一切索赔均由乙方自行承担。乙方应遵守当地交通管理部门限制通行的有关规定，并做好道路清洁工作。</w:t>
      </w:r>
    </w:p>
    <w:p w14:paraId="510D2C7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6、施工住房</w:t>
      </w:r>
    </w:p>
    <w:p w14:paraId="575EB52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乙方生活营地建设及生产辅助临时设施建设由乙方自行考虑，该营房或营地的安全责任、文明建设和生活排污由乙方负责并接受甲方监督、检查，</w:t>
      </w:r>
      <w:r>
        <w:rPr>
          <w:rFonts w:hint="eastAsia" w:ascii="仿宋" w:hAnsi="仿宋" w:eastAsia="仿宋" w:cs="仿宋"/>
          <w:snapToGrid/>
          <w:kern w:val="2"/>
          <w:sz w:val="25"/>
          <w:szCs w:val="25"/>
          <w:lang w:val="en-US" w:eastAsia="zh-CN"/>
        </w:rPr>
        <w:t>费用已包含在合同单价中，甲方不另行支付</w:t>
      </w:r>
      <w:r>
        <w:rPr>
          <w:rFonts w:hint="eastAsia" w:ascii="仿宋" w:hAnsi="仿宋" w:eastAsia="仿宋" w:cs="仿宋"/>
          <w:snapToGrid/>
          <w:kern w:val="2"/>
          <w:sz w:val="25"/>
          <w:szCs w:val="25"/>
          <w:lang w:eastAsia="zh-CN"/>
        </w:rPr>
        <w:t>。（</w:t>
      </w:r>
      <w:r>
        <w:rPr>
          <w:rFonts w:hint="eastAsia" w:ascii="仿宋" w:hAnsi="仿宋" w:eastAsia="仿宋" w:cs="仿宋"/>
          <w:snapToGrid/>
          <w:kern w:val="2"/>
          <w:sz w:val="25"/>
          <w:szCs w:val="25"/>
          <w:lang w:val="en-US" w:eastAsia="zh-CN"/>
        </w:rPr>
        <w:t>若甲方统一安排活动板房的单独写</w:t>
      </w:r>
      <w:r>
        <w:rPr>
          <w:rFonts w:hint="eastAsia" w:ascii="仿宋" w:hAnsi="仿宋" w:eastAsia="仿宋" w:cs="仿宋"/>
          <w:snapToGrid/>
          <w:kern w:val="2"/>
          <w:sz w:val="25"/>
          <w:szCs w:val="25"/>
          <w:lang w:eastAsia="zh-CN"/>
        </w:rPr>
        <w:t>）</w:t>
      </w:r>
    </w:p>
    <w:p w14:paraId="634257B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7、</w:t>
      </w:r>
      <w:r>
        <w:rPr>
          <w:rFonts w:hint="eastAsia" w:ascii="仿宋" w:hAnsi="仿宋" w:eastAsia="仿宋" w:cs="仿宋"/>
          <w:b/>
          <w:bCs/>
          <w:snapToGrid/>
          <w:kern w:val="2"/>
          <w:sz w:val="25"/>
          <w:szCs w:val="25"/>
          <w:lang w:val="en-US" w:eastAsia="zh-CN"/>
        </w:rPr>
        <w:t>季节性</w:t>
      </w:r>
      <w:r>
        <w:rPr>
          <w:rFonts w:hint="eastAsia" w:ascii="仿宋" w:hAnsi="仿宋" w:eastAsia="仿宋" w:cs="仿宋"/>
          <w:b/>
          <w:bCs/>
          <w:snapToGrid/>
          <w:kern w:val="2"/>
          <w:sz w:val="25"/>
          <w:szCs w:val="25"/>
          <w:lang w:eastAsia="zh-CN"/>
        </w:rPr>
        <w:t>施工措施</w:t>
      </w:r>
    </w:p>
    <w:p w14:paraId="012C240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季节性</w:t>
      </w:r>
      <w:r>
        <w:rPr>
          <w:rFonts w:hint="eastAsia" w:ascii="仿宋" w:hAnsi="仿宋" w:eastAsia="仿宋" w:cs="仿宋"/>
          <w:snapToGrid/>
          <w:kern w:val="2"/>
          <w:sz w:val="25"/>
          <w:szCs w:val="25"/>
          <w:lang w:eastAsia="zh-CN"/>
        </w:rPr>
        <w:t>施工增加的人工费、材料费及其他发生的</w:t>
      </w:r>
      <w:r>
        <w:rPr>
          <w:rFonts w:hint="eastAsia" w:ascii="仿宋" w:hAnsi="仿宋" w:eastAsia="仿宋" w:cs="仿宋"/>
          <w:snapToGrid/>
          <w:kern w:val="2"/>
          <w:sz w:val="25"/>
          <w:szCs w:val="25"/>
          <w:lang w:val="en-US" w:eastAsia="zh-CN"/>
        </w:rPr>
        <w:t>相关</w:t>
      </w:r>
      <w:r>
        <w:rPr>
          <w:rFonts w:hint="eastAsia" w:ascii="仿宋" w:hAnsi="仿宋" w:eastAsia="仿宋" w:cs="仿宋"/>
          <w:snapToGrid/>
          <w:kern w:val="2"/>
          <w:sz w:val="25"/>
          <w:szCs w:val="25"/>
          <w:lang w:eastAsia="zh-CN"/>
        </w:rPr>
        <w:t>措施费均由乙方承担，费用已包含在合同单价中，甲方不再另行支付。</w:t>
      </w:r>
    </w:p>
    <w:p w14:paraId="5BFFBBC8">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4" w:name="_Toc26255"/>
      <w:r>
        <w:rPr>
          <w:rFonts w:hint="eastAsia" w:ascii="仿宋" w:hAnsi="仿宋" w:eastAsia="仿宋" w:cs="仿宋"/>
          <w:b/>
          <w:bCs/>
          <w:snapToGrid/>
          <w:kern w:val="2"/>
          <w:sz w:val="25"/>
          <w:szCs w:val="25"/>
          <w:lang w:eastAsia="zh-CN"/>
        </w:rPr>
        <w:t>六 、材料供应</w:t>
      </w:r>
      <w:bookmarkEnd w:id="14"/>
    </w:p>
    <w:p w14:paraId="7FDCDA4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(一)甲供材料</w:t>
      </w:r>
    </w:p>
    <w:p w14:paraId="0907892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本项目</w:t>
      </w:r>
      <w:r>
        <w:rPr>
          <w:rFonts w:hint="eastAsia" w:ascii="仿宋" w:hAnsi="仿宋" w:eastAsia="仿宋" w:cs="仿宋"/>
          <w:snapToGrid/>
          <w:kern w:val="2"/>
          <w:sz w:val="25"/>
          <w:szCs w:val="25"/>
          <w:lang w:val="en-US" w:eastAsia="zh-CN"/>
        </w:rPr>
        <w:t>甲供材料</w:t>
      </w:r>
      <w:r>
        <w:rPr>
          <w:rFonts w:hint="eastAsia" w:ascii="仿宋" w:hAnsi="仿宋" w:eastAsia="仿宋" w:cs="仿宋"/>
          <w:snapToGrid/>
          <w:kern w:val="2"/>
          <w:sz w:val="25"/>
          <w:szCs w:val="25"/>
          <w:lang w:eastAsia="zh-CN"/>
        </w:rPr>
        <w:t>：</w:t>
      </w:r>
      <w:r>
        <w:rPr>
          <w:rFonts w:hint="eastAsia" w:ascii="仿宋" w:hAnsi="仿宋" w:eastAsia="仿宋" w:cs="仿宋"/>
          <w:snapToGrid/>
          <w:kern w:val="2"/>
          <w:sz w:val="25"/>
          <w:szCs w:val="25"/>
          <w:u w:val="single"/>
          <w:lang w:val="en-US" w:eastAsia="zh-CN"/>
        </w:rPr>
        <w:t xml:space="preserve">xxxxxx </w:t>
      </w:r>
    </w:p>
    <w:p w14:paraId="322E405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(二)甲供材损耗控制</w:t>
      </w:r>
    </w:p>
    <w:p w14:paraId="1F78822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甲供材料的损耗实行限额控制，超过损耗率限额外的由乙方按甲方材料采购 合同价赔偿，损耗率约定如下：</w:t>
      </w:r>
    </w:p>
    <w:p w14:paraId="5858B70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tbl>
      <w:tblPr>
        <w:tblStyle w:val="16"/>
        <w:tblW w:w="894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3"/>
        <w:gridCol w:w="1019"/>
        <w:gridCol w:w="1249"/>
        <w:gridCol w:w="5289"/>
      </w:tblGrid>
      <w:tr w14:paraId="03A736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jc w:val="center"/>
        </w:trPr>
        <w:tc>
          <w:tcPr>
            <w:tcW w:w="1383" w:type="dxa"/>
            <w:vAlign w:val="center"/>
          </w:tcPr>
          <w:p w14:paraId="09CFBE1B">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材料名称</w:t>
            </w:r>
          </w:p>
        </w:tc>
        <w:tc>
          <w:tcPr>
            <w:tcW w:w="1019" w:type="dxa"/>
            <w:tcBorders>
              <w:bottom w:val="single" w:color="auto" w:sz="4" w:space="0"/>
            </w:tcBorders>
            <w:vAlign w:val="center"/>
          </w:tcPr>
          <w:p w14:paraId="7912CC60">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损耗率</w:t>
            </w:r>
          </w:p>
        </w:tc>
        <w:tc>
          <w:tcPr>
            <w:tcW w:w="1249" w:type="dxa"/>
            <w:tcBorders>
              <w:bottom w:val="single" w:color="auto" w:sz="4" w:space="0"/>
            </w:tcBorders>
            <w:vAlign w:val="center"/>
          </w:tcPr>
          <w:p w14:paraId="5AD214DB">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赔偿价</w:t>
            </w:r>
          </w:p>
        </w:tc>
        <w:tc>
          <w:tcPr>
            <w:tcW w:w="5289" w:type="dxa"/>
            <w:tcBorders>
              <w:bottom w:val="single" w:color="auto" w:sz="4" w:space="0"/>
            </w:tcBorders>
            <w:vAlign w:val="center"/>
          </w:tcPr>
          <w:p w14:paraId="04593759">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损耗率的计算</w:t>
            </w:r>
          </w:p>
        </w:tc>
      </w:tr>
      <w:tr w14:paraId="45B2CD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383" w:type="dxa"/>
            <w:tcBorders>
              <w:right w:val="single" w:color="auto" w:sz="4" w:space="0"/>
            </w:tcBorders>
            <w:vAlign w:val="center"/>
          </w:tcPr>
          <w:p w14:paraId="714530DA">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xxx</w:t>
            </w:r>
          </w:p>
        </w:tc>
        <w:tc>
          <w:tcPr>
            <w:tcW w:w="1019" w:type="dxa"/>
            <w:tcBorders>
              <w:top w:val="single" w:color="auto" w:sz="4" w:space="0"/>
              <w:left w:val="single" w:color="auto" w:sz="4" w:space="0"/>
            </w:tcBorders>
            <w:vAlign w:val="center"/>
          </w:tcPr>
          <w:p w14:paraId="52998950">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249" w:type="dxa"/>
            <w:vMerge w:val="restart"/>
            <w:tcBorders>
              <w:top w:val="single" w:color="auto" w:sz="4" w:space="0"/>
            </w:tcBorders>
            <w:vAlign w:val="center"/>
          </w:tcPr>
          <w:p w14:paraId="715AECF8">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p>
          <w:p w14:paraId="25E9D7FE">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根据甲方材料采购价</w:t>
            </w:r>
          </w:p>
        </w:tc>
        <w:tc>
          <w:tcPr>
            <w:tcW w:w="5289" w:type="dxa"/>
            <w:tcBorders>
              <w:top w:val="single" w:color="auto" w:sz="4" w:space="0"/>
              <w:right w:val="single" w:color="auto" w:sz="4" w:space="0"/>
            </w:tcBorders>
            <w:vAlign w:val="center"/>
          </w:tcPr>
          <w:p w14:paraId="23B36F6A">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(领用量-甲方审核确定的图算量)/甲方审核确定的图算量</w:t>
            </w:r>
          </w:p>
        </w:tc>
      </w:tr>
      <w:tr w14:paraId="46E01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383" w:type="dxa"/>
            <w:tcBorders>
              <w:right w:val="single" w:color="auto" w:sz="4" w:space="0"/>
            </w:tcBorders>
            <w:vAlign w:val="center"/>
          </w:tcPr>
          <w:p w14:paraId="00F1B7E8">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xxx</w:t>
            </w:r>
          </w:p>
        </w:tc>
        <w:tc>
          <w:tcPr>
            <w:tcW w:w="1019" w:type="dxa"/>
            <w:tcBorders>
              <w:top w:val="single" w:color="auto" w:sz="4" w:space="0"/>
              <w:left w:val="single" w:color="auto" w:sz="4" w:space="0"/>
            </w:tcBorders>
            <w:vAlign w:val="center"/>
          </w:tcPr>
          <w:p w14:paraId="0D42E178">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249" w:type="dxa"/>
            <w:vMerge w:val="continue"/>
            <w:vAlign w:val="center"/>
          </w:tcPr>
          <w:p w14:paraId="2CBB80BE">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p>
        </w:tc>
        <w:tc>
          <w:tcPr>
            <w:tcW w:w="5289" w:type="dxa"/>
            <w:tcBorders>
              <w:top w:val="single" w:color="auto" w:sz="4" w:space="0"/>
              <w:right w:val="single" w:color="auto" w:sz="4" w:space="0"/>
            </w:tcBorders>
            <w:vAlign w:val="center"/>
          </w:tcPr>
          <w:p w14:paraId="2B909A14">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(领用量-甲方审核确定的图算量)/甲方审核确定的图算量</w:t>
            </w:r>
          </w:p>
        </w:tc>
      </w:tr>
      <w:tr w14:paraId="6AF6A9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383" w:type="dxa"/>
            <w:tcBorders>
              <w:right w:val="single" w:color="auto" w:sz="4" w:space="0"/>
            </w:tcBorders>
            <w:vAlign w:val="center"/>
          </w:tcPr>
          <w:p w14:paraId="29BD89C1">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019" w:type="dxa"/>
            <w:tcBorders>
              <w:left w:val="single" w:color="auto" w:sz="4" w:space="0"/>
            </w:tcBorders>
            <w:vAlign w:val="center"/>
          </w:tcPr>
          <w:p w14:paraId="45EDC757">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249" w:type="dxa"/>
            <w:vMerge w:val="continue"/>
            <w:vAlign w:val="center"/>
          </w:tcPr>
          <w:p w14:paraId="63CEF3F1">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5289" w:type="dxa"/>
            <w:tcBorders>
              <w:right w:val="single" w:color="auto" w:sz="4" w:space="0"/>
            </w:tcBorders>
            <w:vAlign w:val="center"/>
          </w:tcPr>
          <w:p w14:paraId="0AD4549E">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(领用量-甲方审核确定的图算量)/甲方审核确定的图算量</w:t>
            </w:r>
          </w:p>
        </w:tc>
      </w:tr>
      <w:tr w14:paraId="0C856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1383" w:type="dxa"/>
            <w:tcBorders>
              <w:right w:val="single" w:color="auto" w:sz="4" w:space="0"/>
            </w:tcBorders>
            <w:vAlign w:val="center"/>
          </w:tcPr>
          <w:p w14:paraId="1CD8F50C">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019" w:type="dxa"/>
            <w:tcBorders>
              <w:left w:val="single" w:color="auto" w:sz="4" w:space="0"/>
            </w:tcBorders>
            <w:vAlign w:val="center"/>
          </w:tcPr>
          <w:p w14:paraId="63046BE1">
            <w:pPr>
              <w:keepNext w:val="0"/>
              <w:keepLines w:val="0"/>
              <w:pageBreakBefore w:val="0"/>
              <w:widowControl w:val="0"/>
              <w:kinsoku/>
              <w:overflowPunct/>
              <w:autoSpaceDE/>
              <w:autoSpaceDN/>
              <w:bidi w:val="0"/>
              <w:adjustRightInd w:val="0"/>
              <w:snapToGrid w:val="0"/>
              <w:spacing w:afterLines="0" w:line="360" w:lineRule="auto"/>
              <w:ind w:firstLine="250" w:firstLineChars="100"/>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1249" w:type="dxa"/>
            <w:vMerge w:val="continue"/>
            <w:vAlign w:val="center"/>
          </w:tcPr>
          <w:p w14:paraId="00EFB78D">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5289" w:type="dxa"/>
            <w:tcBorders>
              <w:right w:val="single" w:color="auto" w:sz="4" w:space="0"/>
            </w:tcBorders>
            <w:vAlign w:val="center"/>
          </w:tcPr>
          <w:p w14:paraId="6D7B6B18">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(领用量-甲方审核确定的图算量)/甲方审核确定的图算量</w:t>
            </w:r>
          </w:p>
        </w:tc>
      </w:tr>
    </w:tbl>
    <w:p w14:paraId="0475EC6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p>
    <w:p w14:paraId="6E900EB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(三)甲供材管理</w:t>
      </w:r>
    </w:p>
    <w:p w14:paraId="5F7F1B7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乙方授权</w:t>
      </w:r>
      <w:r>
        <w:rPr>
          <w:rFonts w:hint="eastAsia" w:ascii="仿宋" w:hAnsi="仿宋" w:eastAsia="仿宋" w:cs="仿宋"/>
          <w:snapToGrid/>
          <w:kern w:val="2"/>
          <w:sz w:val="25"/>
          <w:szCs w:val="25"/>
          <w:u w:val="single"/>
          <w:lang w:val="en-US" w:eastAsia="zh-CN"/>
        </w:rPr>
        <w:t xml:space="preserve"> xxxx  </w:t>
      </w:r>
      <w:r>
        <w:rPr>
          <w:rFonts w:hint="eastAsia" w:ascii="仿宋" w:hAnsi="仿宋" w:eastAsia="仿宋" w:cs="仿宋"/>
          <w:snapToGrid/>
          <w:kern w:val="2"/>
          <w:sz w:val="25"/>
          <w:szCs w:val="25"/>
          <w:lang w:eastAsia="zh-CN"/>
        </w:rPr>
        <w:t>(身份证号码：</w:t>
      </w:r>
      <w:r>
        <w:rPr>
          <w:rFonts w:hint="eastAsia" w:ascii="仿宋" w:hAnsi="仿宋" w:eastAsia="仿宋" w:cs="仿宋"/>
          <w:snapToGrid/>
          <w:kern w:val="2"/>
          <w:sz w:val="25"/>
          <w:szCs w:val="25"/>
          <w:u w:val="single"/>
          <w:lang w:val="en-US" w:eastAsia="zh-CN"/>
        </w:rPr>
        <w:t xml:space="preserve"> xxxxx </w:t>
      </w:r>
      <w:r>
        <w:rPr>
          <w:rFonts w:hint="eastAsia" w:ascii="仿宋" w:hAnsi="仿宋" w:eastAsia="仿宋" w:cs="仿宋"/>
          <w:snapToGrid/>
          <w:kern w:val="2"/>
          <w:sz w:val="25"/>
          <w:szCs w:val="25"/>
          <w:lang w:eastAsia="zh-CN"/>
        </w:rPr>
        <w:t>、联系方式：</w:t>
      </w:r>
      <w:r>
        <w:rPr>
          <w:rFonts w:hint="eastAsia" w:ascii="仿宋" w:hAnsi="仿宋" w:eastAsia="仿宋" w:cs="仿宋"/>
          <w:snapToGrid/>
          <w:kern w:val="2"/>
          <w:sz w:val="25"/>
          <w:szCs w:val="25"/>
          <w:u w:val="single"/>
          <w:lang w:val="en-US" w:eastAsia="zh-CN"/>
        </w:rPr>
        <w:t xml:space="preserve">    xxxxxx </w:t>
      </w:r>
      <w:r>
        <w:rPr>
          <w:rFonts w:hint="eastAsia" w:ascii="仿宋" w:hAnsi="仿宋" w:eastAsia="仿宋" w:cs="仿宋"/>
          <w:snapToGrid/>
          <w:kern w:val="2"/>
          <w:sz w:val="25"/>
          <w:szCs w:val="25"/>
          <w:lang w:eastAsia="zh-CN"/>
        </w:rPr>
        <w:t>)为材料联络人员，负责对甲方项目部组织进场的材料进行质量检查、点验数量并签字确认。乙方应对相应授权人员出具授权委托书，明确授权人和被授权人信息、授权时间、授权范围等信息。</w:t>
      </w:r>
    </w:p>
    <w:p w14:paraId="58063D6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施工人员须佩戴统一的安全帽、穿着统一的反光背心，安全帽及反光背心由甲方根据乙方进场施工人员数量进行提供，施工过程中由乙方负责使用及保管，</w:t>
      </w:r>
      <w:r>
        <w:rPr>
          <w:rFonts w:hint="eastAsia" w:ascii="仿宋" w:hAnsi="仿宋" w:eastAsia="仿宋" w:cs="仿宋"/>
          <w:snapToGrid/>
          <w:kern w:val="2"/>
          <w:sz w:val="25"/>
          <w:szCs w:val="25"/>
          <w:lang w:val="en-US" w:eastAsia="zh-CN"/>
        </w:rPr>
        <w:t>完工后按照发放数量统一交回甲方，不足部分甲方按照采购价在乙方计量款中扣除</w:t>
      </w:r>
      <w:r>
        <w:rPr>
          <w:rFonts w:hint="eastAsia" w:ascii="仿宋" w:hAnsi="仿宋" w:eastAsia="仿宋" w:cs="仿宋"/>
          <w:snapToGrid/>
          <w:kern w:val="2"/>
          <w:sz w:val="25"/>
          <w:szCs w:val="25"/>
          <w:lang w:eastAsia="zh-CN"/>
        </w:rPr>
        <w:t>。</w:t>
      </w:r>
    </w:p>
    <w:p w14:paraId="228BB0B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(四)周转性材料的管理</w:t>
      </w:r>
    </w:p>
    <w:p w14:paraId="6C83C90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乙方自备周转性材料必须在</w:t>
      </w:r>
      <w:r>
        <w:rPr>
          <w:rFonts w:hint="eastAsia" w:ascii="仿宋" w:hAnsi="仿宋" w:eastAsia="仿宋" w:cs="仿宋"/>
          <w:snapToGrid/>
          <w:kern w:val="2"/>
          <w:sz w:val="25"/>
          <w:szCs w:val="25"/>
          <w:lang w:val="en-US" w:eastAsia="zh-CN"/>
        </w:rPr>
        <w:t>进场前报甲方物资、安全、工程等部门共同验收并</w:t>
      </w:r>
      <w:r>
        <w:rPr>
          <w:rFonts w:hint="eastAsia" w:ascii="仿宋" w:hAnsi="仿宋" w:eastAsia="仿宋" w:cs="仿宋"/>
          <w:snapToGrid/>
          <w:kern w:val="2"/>
          <w:sz w:val="25"/>
          <w:szCs w:val="25"/>
          <w:lang w:eastAsia="zh-CN"/>
        </w:rPr>
        <w:t>备案，退场时由甲方物资部门对其周转性材料进行核实，办理周转性材料退场的相关手续，乙方使用甲方周转性材料另行签订租赁协议。</w:t>
      </w:r>
    </w:p>
    <w:p w14:paraId="1B79F25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5" w:name="bookmark31"/>
      <w:bookmarkEnd w:id="15"/>
      <w:bookmarkStart w:id="16" w:name="_Toc6244"/>
      <w:r>
        <w:rPr>
          <w:rFonts w:hint="eastAsia" w:ascii="仿宋" w:hAnsi="仿宋" w:eastAsia="仿宋" w:cs="仿宋"/>
          <w:b/>
          <w:bCs/>
          <w:snapToGrid/>
          <w:kern w:val="2"/>
          <w:sz w:val="25"/>
          <w:szCs w:val="25"/>
          <w:lang w:eastAsia="zh-CN"/>
        </w:rPr>
        <w:t>七、施工设备</w:t>
      </w:r>
      <w:bookmarkEnd w:id="16"/>
    </w:p>
    <w:p w14:paraId="24FCE4E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w:t>
      </w:r>
      <w:r>
        <w:rPr>
          <w:rFonts w:hint="eastAsia" w:ascii="仿宋" w:hAnsi="仿宋" w:eastAsia="仿宋" w:cs="仿宋"/>
          <w:snapToGrid/>
          <w:kern w:val="2"/>
          <w:sz w:val="25"/>
          <w:szCs w:val="25"/>
          <w:lang w:val="en-US" w:eastAsia="zh-CN"/>
        </w:rPr>
        <w:t>设备</w:t>
      </w:r>
      <w:r>
        <w:rPr>
          <w:rFonts w:hint="eastAsia" w:ascii="仿宋" w:hAnsi="仿宋" w:eastAsia="仿宋" w:cs="仿宋"/>
          <w:snapToGrid/>
          <w:kern w:val="2"/>
          <w:sz w:val="25"/>
          <w:szCs w:val="25"/>
          <w:lang w:eastAsia="zh-CN"/>
        </w:rPr>
        <w:t xml:space="preserve">乙方根据项目要求自行考虑。 </w:t>
      </w:r>
    </w:p>
    <w:p w14:paraId="775DC4D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2、乙方所投入设备的型号与数量，必须满足甲方对机械设备的要求，必须提供设备的相关证件等，并保证所有相关证照持续有效。如果乙方不能保证证件的持续有效，甲方有权</w:t>
      </w:r>
      <w:r>
        <w:rPr>
          <w:rFonts w:hint="eastAsia" w:ascii="仿宋" w:hAnsi="仿宋" w:eastAsia="仿宋" w:cs="仿宋"/>
          <w:snapToGrid/>
          <w:kern w:val="2"/>
          <w:sz w:val="25"/>
          <w:szCs w:val="25"/>
          <w:lang w:val="en-US" w:eastAsia="zh-CN"/>
        </w:rPr>
        <w:t>要求更换，直至终止协议</w:t>
      </w:r>
      <w:r>
        <w:rPr>
          <w:rFonts w:hint="eastAsia" w:ascii="仿宋" w:hAnsi="仿宋" w:eastAsia="仿宋" w:cs="仿宋"/>
          <w:snapToGrid/>
          <w:kern w:val="2"/>
          <w:sz w:val="25"/>
          <w:szCs w:val="25"/>
          <w:lang w:eastAsia="zh-CN"/>
        </w:rPr>
        <w:t>。</w:t>
      </w:r>
    </w:p>
    <w:p w14:paraId="094CF7E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租赁或自购的机具设备，由甲乙双方共同或委托有资质的鉴定机构对机具设备及周转材料的安全性能和状态进行鉴定，鉴定结果由双方签字确认，安全性能或状态不符合要求的机具设备及周转材料在鉴定后3日内清理出场，进出场费用由乙方承担。合格机械设备手续复印件必须报甲方物资部、</w:t>
      </w:r>
      <w:r>
        <w:rPr>
          <w:rFonts w:hint="eastAsia" w:ascii="仿宋" w:hAnsi="仿宋" w:eastAsia="仿宋" w:cs="仿宋"/>
          <w:snapToGrid/>
          <w:kern w:val="2"/>
          <w:sz w:val="25"/>
          <w:szCs w:val="25"/>
          <w:lang w:val="en-US" w:eastAsia="zh-CN"/>
        </w:rPr>
        <w:t>安全部</w:t>
      </w:r>
      <w:r>
        <w:rPr>
          <w:rFonts w:hint="eastAsia" w:ascii="仿宋" w:hAnsi="仿宋" w:eastAsia="仿宋" w:cs="仿宋"/>
          <w:snapToGrid/>
          <w:kern w:val="2"/>
          <w:sz w:val="25"/>
          <w:szCs w:val="25"/>
          <w:lang w:eastAsia="zh-CN"/>
        </w:rPr>
        <w:t>备案，物资部、</w:t>
      </w:r>
      <w:r>
        <w:rPr>
          <w:rFonts w:hint="eastAsia" w:ascii="仿宋" w:hAnsi="仿宋" w:eastAsia="仿宋" w:cs="仿宋"/>
          <w:snapToGrid/>
          <w:kern w:val="2"/>
          <w:sz w:val="25"/>
          <w:szCs w:val="25"/>
          <w:lang w:val="en-US" w:eastAsia="zh-CN"/>
        </w:rPr>
        <w:t>安全部</w:t>
      </w:r>
      <w:r>
        <w:rPr>
          <w:rFonts w:hint="eastAsia" w:ascii="仿宋" w:hAnsi="仿宋" w:eastAsia="仿宋" w:cs="仿宋"/>
          <w:snapToGrid/>
          <w:kern w:val="2"/>
          <w:sz w:val="25"/>
          <w:szCs w:val="25"/>
          <w:lang w:eastAsia="zh-CN"/>
        </w:rPr>
        <w:t>进行登记核实。</w:t>
      </w:r>
    </w:p>
    <w:p w14:paraId="06B02E8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4、乙方设备停放与管理要服从甲方现场总体要求，不得随意进出特定区域和乱停乱放。否则甲方有权自行移动相关设备并不承担任何责任，由此产生的一切费用由乙方承担。</w:t>
      </w:r>
    </w:p>
    <w:p w14:paraId="2135143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5、乙方使用甲方设备，必须书面申请，由甲方统一安排，零星使用甲方设备由甲乙双方协商确认计量方式及台时费标准，费用在工程款结算时扣除，使用甲方施工设备造成损坏的，应负相应的赔偿责任。</w:t>
      </w:r>
    </w:p>
    <w:p w14:paraId="53C9625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6、乙方每月应将自有主要设备的完好、使用、维修等情况上报甲方设备物资部门，供甲方对施工资源、生产进度</w:t>
      </w:r>
      <w:r>
        <w:rPr>
          <w:rFonts w:hint="eastAsia" w:ascii="仿宋" w:hAnsi="仿宋" w:eastAsia="仿宋" w:cs="仿宋"/>
          <w:snapToGrid/>
          <w:kern w:val="2"/>
          <w:sz w:val="25"/>
          <w:szCs w:val="25"/>
          <w:lang w:val="en-US" w:eastAsia="zh-CN"/>
        </w:rPr>
        <w:t>及设备安全性能</w:t>
      </w:r>
      <w:r>
        <w:rPr>
          <w:rFonts w:hint="eastAsia" w:ascii="仿宋" w:hAnsi="仿宋" w:eastAsia="仿宋" w:cs="仿宋"/>
          <w:snapToGrid/>
          <w:kern w:val="2"/>
          <w:sz w:val="25"/>
          <w:szCs w:val="25"/>
          <w:lang w:eastAsia="zh-CN"/>
        </w:rPr>
        <w:t>进行及时分析和掌握。</w:t>
      </w:r>
    </w:p>
    <w:p w14:paraId="53EDF43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7、乙方施工设备应安全装置齐全、性能可靠，其施工设备的安全责任由乙方负责。</w:t>
      </w:r>
    </w:p>
    <w:p w14:paraId="706EEDF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8、乙方进场的机械设备应自行办理相关设备险。</w:t>
      </w:r>
    </w:p>
    <w:p w14:paraId="37BDBFB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9、乙方履约完成、退场(含履约完毕退场及中途退场)或乙方违约被清退时，乙方投入本工程的所有</w:t>
      </w:r>
      <w:r>
        <w:rPr>
          <w:rFonts w:hint="eastAsia" w:ascii="仿宋" w:hAnsi="仿宋" w:eastAsia="仿宋" w:cs="仿宋"/>
          <w:snapToGrid/>
          <w:kern w:val="2"/>
          <w:sz w:val="25"/>
          <w:szCs w:val="25"/>
          <w:lang w:val="en-US" w:eastAsia="zh-CN"/>
        </w:rPr>
        <w:t>小型</w:t>
      </w:r>
      <w:r>
        <w:rPr>
          <w:rFonts w:hint="eastAsia" w:ascii="仿宋" w:hAnsi="仿宋" w:eastAsia="仿宋" w:cs="仿宋"/>
          <w:snapToGrid/>
          <w:kern w:val="2"/>
          <w:sz w:val="25"/>
          <w:szCs w:val="25"/>
          <w:lang w:eastAsia="zh-CN"/>
        </w:rPr>
        <w:t>设备由乙方自行妥善处理，不得以任何理由要求由甲方收购该设备或要求甲方以任何形式承担任何费用及责任。</w:t>
      </w:r>
    </w:p>
    <w:p w14:paraId="2E45D0BE">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7" w:name="_Toc21308"/>
      <w:r>
        <w:rPr>
          <w:rFonts w:hint="eastAsia" w:ascii="仿宋" w:hAnsi="仿宋" w:eastAsia="仿宋" w:cs="仿宋"/>
          <w:b/>
          <w:bCs/>
          <w:snapToGrid/>
          <w:kern w:val="2"/>
          <w:sz w:val="25"/>
          <w:szCs w:val="25"/>
          <w:lang w:eastAsia="zh-CN"/>
        </w:rPr>
        <w:t>八、质量要求</w:t>
      </w:r>
      <w:bookmarkEnd w:id="17"/>
    </w:p>
    <w:p w14:paraId="7F56ACC9">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1、质量目标与要求</w:t>
      </w:r>
    </w:p>
    <w:p w14:paraId="5D4EDFF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本项目质量要求为合格，需达到国家施工及验收规范规定合格标准、工序验收标准及</w:t>
      </w:r>
      <w:r>
        <w:rPr>
          <w:rFonts w:hint="eastAsia" w:ascii="仿宋" w:hAnsi="仿宋" w:eastAsia="仿宋" w:cs="仿宋"/>
          <w:snapToGrid/>
          <w:kern w:val="2"/>
          <w:sz w:val="25"/>
          <w:szCs w:val="25"/>
          <w:lang w:val="en-US" w:eastAsia="zh-CN"/>
        </w:rPr>
        <w:t>水运工程</w:t>
      </w:r>
      <w:r>
        <w:rPr>
          <w:rFonts w:hint="eastAsia" w:ascii="仿宋" w:hAnsi="仿宋" w:eastAsia="仿宋" w:cs="仿宋"/>
          <w:snapToGrid/>
          <w:kern w:val="2"/>
          <w:sz w:val="25"/>
          <w:szCs w:val="25"/>
          <w:lang w:eastAsia="zh-CN"/>
        </w:rPr>
        <w:t>相关规定标准和甲方质量目标要求。乙方不能按本合同工期竣工或工程质量达不到约定的质量标准或发生合同列举的健康、环境、安全等事故或不按合同约定履行其他义务、责任的，将按主合同中</w:t>
      </w:r>
      <w:r>
        <w:rPr>
          <w:rFonts w:hint="eastAsia" w:ascii="仿宋" w:hAnsi="仿宋" w:eastAsia="仿宋" w:cs="仿宋"/>
          <w:snapToGrid/>
          <w:kern w:val="2"/>
          <w:sz w:val="25"/>
          <w:szCs w:val="25"/>
          <w:lang w:val="en-US" w:eastAsia="zh-CN"/>
        </w:rPr>
        <w:t>业主及行政主管部门</w:t>
      </w:r>
      <w:r>
        <w:rPr>
          <w:rFonts w:hint="eastAsia" w:ascii="仿宋" w:hAnsi="仿宋" w:eastAsia="仿宋" w:cs="仿宋"/>
          <w:snapToGrid/>
          <w:kern w:val="2"/>
          <w:sz w:val="25"/>
          <w:szCs w:val="25"/>
          <w:lang w:eastAsia="zh-CN"/>
        </w:rPr>
        <w:t>对</w:t>
      </w:r>
      <w:r>
        <w:rPr>
          <w:rFonts w:hint="eastAsia" w:ascii="仿宋" w:hAnsi="仿宋" w:eastAsia="仿宋" w:cs="仿宋"/>
          <w:snapToGrid/>
          <w:kern w:val="2"/>
          <w:sz w:val="25"/>
          <w:szCs w:val="25"/>
          <w:lang w:val="en-US" w:eastAsia="zh-CN"/>
        </w:rPr>
        <w:t>甲</w:t>
      </w:r>
      <w:r>
        <w:rPr>
          <w:rFonts w:hint="eastAsia" w:ascii="仿宋" w:hAnsi="仿宋" w:eastAsia="仿宋" w:cs="仿宋"/>
          <w:snapToGrid/>
          <w:kern w:val="2"/>
          <w:sz w:val="25"/>
          <w:szCs w:val="25"/>
          <w:lang w:eastAsia="zh-CN"/>
        </w:rPr>
        <w:t>方规定的标准和业主的处罚方式进行处理。</w:t>
      </w:r>
    </w:p>
    <w:p w14:paraId="1E0C7DA7">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18" w:name="bookmark32"/>
      <w:bookmarkEnd w:id="18"/>
      <w:r>
        <w:rPr>
          <w:rFonts w:hint="eastAsia" w:ascii="仿宋" w:hAnsi="仿宋" w:eastAsia="仿宋" w:cs="仿宋"/>
          <w:b/>
          <w:bCs/>
          <w:snapToGrid/>
          <w:kern w:val="2"/>
          <w:sz w:val="25"/>
          <w:szCs w:val="25"/>
          <w:lang w:eastAsia="zh-CN"/>
        </w:rPr>
        <w:t>2、质量检查与验收</w:t>
      </w:r>
    </w:p>
    <w:p w14:paraId="1CEC8CA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(1)乙方必须按设计文件、现行国家的标准技术规范规定的验收标准及</w:t>
      </w:r>
      <w:r>
        <w:rPr>
          <w:rFonts w:hint="eastAsia" w:ascii="仿宋" w:hAnsi="仿宋" w:eastAsia="仿宋" w:cs="仿宋"/>
          <w:snapToGrid/>
          <w:kern w:val="2"/>
          <w:sz w:val="25"/>
          <w:szCs w:val="25"/>
          <w:lang w:val="en-US" w:eastAsia="zh-CN"/>
        </w:rPr>
        <w:t>公路工程</w:t>
      </w:r>
      <w:r>
        <w:rPr>
          <w:rFonts w:hint="eastAsia" w:ascii="仿宋" w:hAnsi="仿宋" w:eastAsia="仿宋" w:cs="仿宋"/>
          <w:snapToGrid/>
          <w:kern w:val="2"/>
          <w:sz w:val="25"/>
          <w:szCs w:val="25"/>
          <w:lang w:eastAsia="zh-CN"/>
        </w:rPr>
        <w:t>相关规定、甲方质量要求进行施工，并接受甲方、</w:t>
      </w:r>
      <w:r>
        <w:rPr>
          <w:rFonts w:hint="eastAsia" w:ascii="仿宋" w:hAnsi="仿宋" w:eastAsia="仿宋" w:cs="仿宋"/>
          <w:snapToGrid/>
          <w:kern w:val="2"/>
          <w:sz w:val="25"/>
          <w:szCs w:val="25"/>
          <w:lang w:val="en-US" w:eastAsia="zh-CN"/>
        </w:rPr>
        <w:t>监理、业主</w:t>
      </w:r>
      <w:r>
        <w:rPr>
          <w:rFonts w:hint="eastAsia" w:ascii="仿宋" w:hAnsi="仿宋" w:eastAsia="仿宋" w:cs="仿宋"/>
          <w:snapToGrid/>
          <w:kern w:val="2"/>
          <w:sz w:val="25"/>
          <w:szCs w:val="25"/>
          <w:lang w:eastAsia="zh-CN"/>
        </w:rPr>
        <w:t>质检人员的监督、管理。</w:t>
      </w:r>
    </w:p>
    <w:p w14:paraId="161B8C2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(2)如乙方在施工过程中发现</w:t>
      </w:r>
      <w:r>
        <w:rPr>
          <w:rFonts w:hint="eastAsia" w:ascii="仿宋" w:hAnsi="仿宋" w:eastAsia="仿宋" w:cs="仿宋"/>
          <w:b/>
          <w:bCs/>
          <w:snapToGrid/>
          <w:kern w:val="2"/>
          <w:sz w:val="25"/>
          <w:szCs w:val="25"/>
          <w:u w:val="single"/>
          <w:lang w:eastAsia="zh-CN"/>
        </w:rPr>
        <w:t>甲供材</w:t>
      </w:r>
      <w:r>
        <w:rPr>
          <w:rFonts w:hint="eastAsia" w:ascii="仿宋" w:hAnsi="仿宋" w:eastAsia="仿宋" w:cs="仿宋"/>
          <w:snapToGrid/>
          <w:kern w:val="2"/>
          <w:sz w:val="25"/>
          <w:szCs w:val="25"/>
          <w:lang w:eastAsia="zh-CN"/>
        </w:rPr>
        <w:t>质量问题，应</w:t>
      </w:r>
      <w:r>
        <w:rPr>
          <w:rFonts w:hint="eastAsia" w:ascii="仿宋" w:hAnsi="仿宋" w:eastAsia="仿宋" w:cs="仿宋"/>
          <w:snapToGrid/>
          <w:kern w:val="2"/>
          <w:sz w:val="25"/>
          <w:szCs w:val="25"/>
          <w:lang w:val="en-US" w:eastAsia="zh-CN"/>
        </w:rPr>
        <w:t>立即</w:t>
      </w:r>
      <w:r>
        <w:rPr>
          <w:rFonts w:hint="eastAsia" w:ascii="仿宋" w:hAnsi="仿宋" w:eastAsia="仿宋" w:cs="仿宋"/>
          <w:snapToGrid/>
          <w:kern w:val="2"/>
          <w:sz w:val="25"/>
          <w:szCs w:val="25"/>
          <w:lang w:eastAsia="zh-CN"/>
        </w:rPr>
        <w:t>通知甲方技术员及生产经理，在甲方提出处理意见以前，乙方应及时采取有效措施使损失降至最小。经确认确实为</w:t>
      </w:r>
      <w:r>
        <w:rPr>
          <w:rFonts w:hint="eastAsia" w:ascii="仿宋" w:hAnsi="仿宋" w:eastAsia="仿宋" w:cs="仿宋"/>
          <w:b/>
          <w:bCs/>
          <w:snapToGrid/>
          <w:kern w:val="2"/>
          <w:sz w:val="25"/>
          <w:szCs w:val="25"/>
          <w:u w:val="single"/>
          <w:lang w:eastAsia="zh-CN"/>
        </w:rPr>
        <w:t>甲供材</w:t>
      </w:r>
      <w:r>
        <w:rPr>
          <w:rFonts w:hint="eastAsia" w:ascii="仿宋" w:hAnsi="仿宋" w:eastAsia="仿宋" w:cs="仿宋"/>
          <w:snapToGrid/>
          <w:kern w:val="2"/>
          <w:sz w:val="25"/>
          <w:szCs w:val="25"/>
          <w:lang w:eastAsia="zh-CN"/>
        </w:rPr>
        <w:t>质量问题导致的损失，甲方可就损失情况经协商后进行补偿。</w:t>
      </w:r>
    </w:p>
    <w:p w14:paraId="67A9651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en-US"/>
        </w:rPr>
      </w:pPr>
      <w:r>
        <w:rPr>
          <w:rFonts w:hint="eastAsia" w:ascii="仿宋" w:hAnsi="仿宋" w:eastAsia="仿宋" w:cs="仿宋"/>
          <w:snapToGrid/>
          <w:kern w:val="2"/>
          <w:sz w:val="25"/>
          <w:szCs w:val="25"/>
          <w:lang w:val="en-US" w:eastAsia="zh-CN"/>
        </w:rPr>
        <w:t>（3）因乙方</w:t>
      </w:r>
      <w:r>
        <w:rPr>
          <w:rFonts w:hint="eastAsia" w:ascii="仿宋" w:hAnsi="仿宋" w:eastAsia="仿宋" w:cs="仿宋"/>
          <w:snapToGrid/>
          <w:kern w:val="2"/>
          <w:sz w:val="25"/>
          <w:szCs w:val="25"/>
          <w:lang w:val="en-US" w:eastAsia="en-US"/>
        </w:rPr>
        <w:t>原因导致的</w:t>
      </w:r>
      <w:r>
        <w:rPr>
          <w:rFonts w:hint="eastAsia" w:ascii="仿宋" w:hAnsi="仿宋" w:eastAsia="仿宋" w:cs="仿宋"/>
          <w:snapToGrid/>
          <w:kern w:val="2"/>
          <w:sz w:val="25"/>
          <w:szCs w:val="25"/>
          <w:lang w:val="en-US" w:eastAsia="zh-CN"/>
        </w:rPr>
        <w:t>施工质量问题</w:t>
      </w:r>
      <w:r>
        <w:rPr>
          <w:rFonts w:hint="eastAsia" w:ascii="仿宋" w:hAnsi="仿宋" w:eastAsia="仿宋" w:cs="仿宋"/>
          <w:snapToGrid/>
          <w:kern w:val="2"/>
          <w:sz w:val="25"/>
          <w:szCs w:val="25"/>
          <w:lang w:val="en-US" w:eastAsia="en-US"/>
        </w:rPr>
        <w:t>均属于乙方责任，乙方</w:t>
      </w:r>
      <w:r>
        <w:rPr>
          <w:rFonts w:hint="eastAsia" w:ascii="仿宋" w:hAnsi="仿宋" w:eastAsia="仿宋" w:cs="仿宋"/>
          <w:snapToGrid/>
          <w:kern w:val="2"/>
          <w:sz w:val="25"/>
          <w:szCs w:val="25"/>
          <w:lang w:val="en-US" w:eastAsia="zh-CN"/>
        </w:rPr>
        <w:t>除需对问题部位进行返工或修理</w:t>
      </w:r>
      <w:r>
        <w:rPr>
          <w:rFonts w:hint="eastAsia" w:ascii="仿宋" w:hAnsi="仿宋" w:eastAsia="仿宋" w:cs="仿宋"/>
          <w:snapToGrid/>
          <w:kern w:val="2"/>
          <w:sz w:val="25"/>
          <w:szCs w:val="25"/>
          <w:lang w:val="en-US" w:eastAsia="en-US"/>
        </w:rPr>
        <w:t>外，还应补偿甲方损失，如乙方拒绝，甲方有权委托第三方处理并从乙方结算款中扣除相关费用。</w:t>
      </w:r>
    </w:p>
    <w:p w14:paraId="5CE1994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w:t>
      </w:r>
      <w:r>
        <w:rPr>
          <w:rFonts w:hint="eastAsia" w:ascii="仿宋" w:hAnsi="仿宋" w:eastAsia="仿宋" w:cs="仿宋"/>
          <w:snapToGrid/>
          <w:kern w:val="2"/>
          <w:sz w:val="25"/>
          <w:szCs w:val="25"/>
          <w:lang w:val="en-US" w:eastAsia="zh-CN"/>
        </w:rPr>
        <w:t>4</w:t>
      </w:r>
      <w:r>
        <w:rPr>
          <w:rFonts w:hint="eastAsia" w:ascii="仿宋" w:hAnsi="仿宋" w:eastAsia="仿宋" w:cs="仿宋"/>
          <w:snapToGrid/>
          <w:kern w:val="2"/>
          <w:sz w:val="25"/>
          <w:szCs w:val="25"/>
          <w:lang w:eastAsia="zh-CN"/>
        </w:rPr>
        <w:t>)因乙方原因造成工程质量不合格，乙方应无条件进行返工或修理，使工程达到合同约定的质量标准，乙方承担所有费用，并赔偿甲方损失，且工期不予顺延。如乙方在甲方指定的时间内未进行整改或经整改仍不能达到甲方要求的，则甲方有权指定第三方整改，并有权将发生的全部费用直接从乙方结算款项内扣除。</w:t>
      </w:r>
    </w:p>
    <w:p w14:paraId="18B0FDB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(5)乙方须按照合同及甲方的管理要求，及时向甲方提供施工技术措施、施工报表、施工原始资料等应由乙方提供的相关资料。如不能按时提供资料，甲方有权暂停给乙方的工程款结算和支付。</w:t>
      </w:r>
    </w:p>
    <w:p w14:paraId="5369AAE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(6)工程经甲方验收后，仍需业主、</w:t>
      </w:r>
      <w:r>
        <w:rPr>
          <w:rFonts w:hint="eastAsia" w:ascii="仿宋" w:hAnsi="仿宋" w:eastAsia="仿宋" w:cs="仿宋"/>
          <w:snapToGrid/>
          <w:kern w:val="2"/>
          <w:sz w:val="25"/>
          <w:szCs w:val="25"/>
          <w:lang w:val="en-US" w:eastAsia="zh-CN"/>
        </w:rPr>
        <w:t>监理、</w:t>
      </w:r>
      <w:r>
        <w:rPr>
          <w:rFonts w:hint="eastAsia" w:ascii="仿宋" w:hAnsi="仿宋" w:eastAsia="仿宋" w:cs="仿宋"/>
          <w:snapToGrid/>
          <w:kern w:val="2"/>
          <w:sz w:val="25"/>
          <w:szCs w:val="25"/>
          <w:lang w:eastAsia="zh-CN"/>
        </w:rPr>
        <w:t>国家或地方质检部门验收合格后方视为正式验收。</w:t>
      </w:r>
    </w:p>
    <w:p w14:paraId="3625B63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(7)乙方必须服从甲方对本工程质量管理的规章制度。</w:t>
      </w:r>
    </w:p>
    <w:p w14:paraId="5A6E498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(8)本合同提前解除的，不免除乙方应承担的工程质量责任。</w:t>
      </w:r>
    </w:p>
    <w:p w14:paraId="01A9EB5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(9)隐蔽工程在甲方现场技术人员、安全、质量部门会同监理进行现场验收合格，并在验收记录上进行签字确认后，方可进行下一道工序施工。验收不合格，乙方应在限定的时间内整改，重新验收。无论甲方是否已对隐蔽工程进行验收，当甲方应建设单位或监理要求重新检验时，乙方应按要求进行剥离或开孔，并在检验合格后重新覆盖和修复，</w:t>
      </w:r>
      <w:r>
        <w:rPr>
          <w:rFonts w:hint="eastAsia" w:ascii="仿宋" w:hAnsi="仿宋" w:eastAsia="仿宋" w:cs="仿宋"/>
          <w:snapToGrid/>
          <w:kern w:val="2"/>
          <w:sz w:val="25"/>
          <w:szCs w:val="25"/>
          <w:lang w:val="en-US" w:eastAsia="zh-CN"/>
        </w:rPr>
        <w:t>验收不合格的，相关</w:t>
      </w:r>
      <w:r>
        <w:rPr>
          <w:rFonts w:hint="eastAsia" w:ascii="仿宋" w:hAnsi="仿宋" w:eastAsia="仿宋" w:cs="仿宋"/>
          <w:snapToGrid/>
          <w:kern w:val="2"/>
          <w:sz w:val="25"/>
          <w:szCs w:val="25"/>
          <w:lang w:eastAsia="zh-CN"/>
        </w:rPr>
        <w:t>费用由乙方承担，</w:t>
      </w:r>
      <w:r>
        <w:rPr>
          <w:rFonts w:hint="eastAsia" w:ascii="仿宋" w:hAnsi="仿宋" w:eastAsia="仿宋" w:cs="仿宋"/>
          <w:snapToGrid/>
          <w:kern w:val="2"/>
          <w:sz w:val="25"/>
          <w:szCs w:val="25"/>
          <w:lang w:val="en-US" w:eastAsia="zh-CN"/>
        </w:rPr>
        <w:t>验收合格的相关费用由甲方承担。</w:t>
      </w:r>
    </w:p>
    <w:p w14:paraId="518A0C8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(10)工程照管与成品、半成品保护</w:t>
      </w:r>
      <w:bookmarkStart w:id="19" w:name="bookmark33"/>
      <w:bookmarkEnd w:id="19"/>
    </w:p>
    <w:p w14:paraId="76154CF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1)自甲方向乙方移交施工工作面之日起，乙方应负责照管工程及工程相关的材料、工程设备，直到相应工程经建设单位验收合格之日止。</w:t>
      </w:r>
    </w:p>
    <w:p w14:paraId="5A3FE47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2)在乙方负责照管期间，因乙方原因造成工程、材料、工程设备损坏的，由乙方负责修复或更换，并承担由此增加的费用和(或)延误的工期。</w:t>
      </w:r>
    </w:p>
    <w:p w14:paraId="5A1F45E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3)对合同内分期完成的成品和半成品，在相应工程经</w:t>
      </w:r>
      <w:r>
        <w:rPr>
          <w:rFonts w:hint="eastAsia" w:ascii="仿宋" w:hAnsi="仿宋" w:eastAsia="仿宋" w:cs="仿宋"/>
          <w:snapToGrid/>
          <w:kern w:val="2"/>
          <w:sz w:val="25"/>
          <w:szCs w:val="25"/>
          <w:lang w:val="en-US" w:eastAsia="zh-CN"/>
        </w:rPr>
        <w:t>业主单位</w:t>
      </w:r>
      <w:r>
        <w:rPr>
          <w:rFonts w:hint="eastAsia" w:ascii="仿宋" w:hAnsi="仿宋" w:eastAsia="仿宋" w:cs="仿宋"/>
          <w:snapToGrid/>
          <w:kern w:val="2"/>
          <w:sz w:val="25"/>
          <w:szCs w:val="25"/>
          <w:lang w:eastAsia="zh-CN"/>
        </w:rPr>
        <w:t>验收合格前， 由乙方承担保护责任。因乙方原因造成成品或半成品损坏的，由乙方负责修复或 更换，并承担由此增加的费用和(或)延误的工期。</w:t>
      </w:r>
    </w:p>
    <w:p w14:paraId="2D942B4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0" w:name="_Toc21915"/>
      <w:r>
        <w:rPr>
          <w:rFonts w:hint="eastAsia" w:ascii="仿宋" w:hAnsi="仿宋" w:eastAsia="仿宋" w:cs="仿宋"/>
          <w:b/>
          <w:bCs/>
          <w:snapToGrid/>
          <w:kern w:val="2"/>
          <w:sz w:val="25"/>
          <w:szCs w:val="25"/>
          <w:lang w:eastAsia="zh-CN"/>
        </w:rPr>
        <w:t>九、安全生产与文明施工</w:t>
      </w:r>
      <w:bookmarkEnd w:id="20"/>
    </w:p>
    <w:p w14:paraId="4A47BE4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1、乙方应严格遵守国家安全生产的法律法规、规程规范、标准，遵守甲方的安全规章制度和现场防护要求，签订《环境与职业健康安全管理责任书》及项目总分包安全管理协议，以确保施工安全。</w:t>
      </w:r>
    </w:p>
    <w:p w14:paraId="4CB8FAF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2、乙方必须对</w:t>
      </w:r>
      <w:r>
        <w:rPr>
          <w:rFonts w:hint="eastAsia" w:ascii="仿宋" w:hAnsi="仿宋" w:eastAsia="仿宋" w:cs="仿宋"/>
          <w:snapToGrid/>
          <w:kern w:val="2"/>
          <w:sz w:val="25"/>
          <w:szCs w:val="25"/>
          <w:lang w:val="en-US" w:eastAsia="zh-CN"/>
        </w:rPr>
        <w:t>本单位</w:t>
      </w:r>
      <w:r>
        <w:rPr>
          <w:rFonts w:hint="eastAsia" w:ascii="仿宋" w:hAnsi="仿宋" w:eastAsia="仿宋" w:cs="仿宋"/>
          <w:snapToGrid/>
          <w:kern w:val="2"/>
          <w:sz w:val="25"/>
          <w:szCs w:val="25"/>
          <w:lang w:eastAsia="zh-CN"/>
        </w:rPr>
        <w:t>全体施工人员的安全负责，开工前必须进行岗前培训和安全 教育，特殊工种必须按国家法律、法规要求持证上岗。乙方必须将岗前培训、安全教育记录以及特殊工种操作证复印件报甲方备案；由于乙方违章作业或安全措施不力等原因造成伤亡事故的责任和因此而发生的费用(包括给第三人造成的人身、财产损失赔偿),由乙方承担。</w:t>
      </w:r>
    </w:p>
    <w:p w14:paraId="3E4F0B8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3、乙方必须严格按照国家有关安全规定及操作规程组织施工，教育、督促全体施工人员认真落实各项安全制度、措施和要求，特别是要遵守针对本工程施工特点的施工安全规定。</w:t>
      </w:r>
    </w:p>
    <w:p w14:paraId="5CA695E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4、乙方在施工过程中，必须制定出严密的安全防范措施及应急预案，配置齐全安全防护用品，对危险源和重大事故隐患进行</w:t>
      </w:r>
      <w:r>
        <w:rPr>
          <w:rFonts w:hint="eastAsia" w:ascii="仿宋" w:hAnsi="仿宋" w:eastAsia="仿宋" w:cs="仿宋"/>
          <w:snapToGrid/>
          <w:kern w:val="2"/>
          <w:sz w:val="25"/>
          <w:szCs w:val="25"/>
          <w:lang w:val="en-US" w:eastAsia="zh-CN"/>
        </w:rPr>
        <w:t>排查</w:t>
      </w:r>
      <w:r>
        <w:rPr>
          <w:rFonts w:hint="eastAsia" w:ascii="仿宋" w:hAnsi="仿宋" w:eastAsia="仿宋" w:cs="仿宋"/>
          <w:snapToGrid/>
          <w:kern w:val="2"/>
          <w:sz w:val="25"/>
          <w:szCs w:val="25"/>
          <w:lang w:eastAsia="zh-CN"/>
        </w:rPr>
        <w:t>，加强对人员驻地、施工现场的安全管理及各项措施和设施落实，消除事故隐患，杜绝各种事故，确保人员、设备、物资、工程的安全。乙方应承担因管理不善、违章操作等原因造成进现场的施工人员、非施工人员伤亡事故责任及费用。</w:t>
      </w:r>
    </w:p>
    <w:p w14:paraId="56F94A5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应严格执行国家和地方有关部门的法规、法令、政策、职业健康及环保条例，按规定为作业人员配备必要的劳动保护用品，按施工操作规程文明施工；制定合理的环境保护措施，做好现场的管理及布置，开工前应做好防止污染和扬尘的环保设施，施工中制定专人负责监督，对施工产生的废水、废渣、废浆等废料进行集中处理，砼拌和场应有除尘设备，如发生各种环境污染，人身伤亡、</w:t>
      </w:r>
      <w:bookmarkStart w:id="21" w:name="bookmark34"/>
      <w:bookmarkEnd w:id="21"/>
      <w:r>
        <w:rPr>
          <w:rFonts w:hint="eastAsia" w:ascii="仿宋" w:hAnsi="仿宋" w:eastAsia="仿宋" w:cs="仿宋"/>
          <w:snapToGrid/>
          <w:kern w:val="2"/>
          <w:sz w:val="25"/>
          <w:szCs w:val="25"/>
          <w:lang w:eastAsia="zh-CN"/>
        </w:rPr>
        <w:t>生态破坏、机械设备及其他事故均由乙方自行负责处理并承担费用。</w:t>
      </w:r>
    </w:p>
    <w:p w14:paraId="76AE840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6、职业病防治：乙方应按照国家、省地有关规定承担对从业人员进行职业健康预防和检查，承担因从事本工程而引发职业病人员的治疗和康复，由此而产生的一切费用由乙方承担。</w:t>
      </w:r>
    </w:p>
    <w:p w14:paraId="65F9E7C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7、乙方负责管理本合同工程的施工作业安全以及消防、防汛和抗灾等工作。乙方必须配备</w:t>
      </w:r>
      <w:r>
        <w:rPr>
          <w:rFonts w:hint="eastAsia" w:ascii="仿宋" w:hAnsi="仿宋" w:eastAsia="仿宋" w:cs="仿宋"/>
          <w:snapToGrid/>
          <w:kern w:val="2"/>
          <w:sz w:val="25"/>
          <w:szCs w:val="25"/>
          <w:u w:val="single"/>
          <w:lang w:val="en-US" w:eastAsia="zh-CN"/>
        </w:rPr>
        <w:t>2-3</w:t>
      </w:r>
      <w:r>
        <w:rPr>
          <w:rFonts w:hint="eastAsia" w:ascii="仿宋" w:hAnsi="仿宋" w:eastAsia="仿宋" w:cs="仿宋"/>
          <w:snapToGrid/>
          <w:kern w:val="2"/>
          <w:sz w:val="25"/>
          <w:szCs w:val="25"/>
          <w:lang w:eastAsia="zh-CN"/>
        </w:rPr>
        <w:t>名（</w:t>
      </w:r>
      <w:r>
        <w:rPr>
          <w:rFonts w:hint="eastAsia" w:ascii="仿宋" w:hAnsi="仿宋" w:eastAsia="仿宋" w:cs="仿宋"/>
          <w:snapToGrid/>
          <w:kern w:val="2"/>
          <w:sz w:val="25"/>
          <w:szCs w:val="25"/>
          <w:lang w:val="en-US" w:eastAsia="zh-CN"/>
        </w:rPr>
        <w:t>按工程实际体量调整人员配备数量</w:t>
      </w:r>
      <w:r>
        <w:rPr>
          <w:rFonts w:hint="eastAsia" w:ascii="仿宋" w:hAnsi="仿宋" w:eastAsia="仿宋" w:cs="仿宋"/>
          <w:snapToGrid/>
          <w:kern w:val="2"/>
          <w:sz w:val="25"/>
          <w:szCs w:val="25"/>
          <w:lang w:eastAsia="zh-CN"/>
        </w:rPr>
        <w:t>）专职安全员(必须持有建筑施工企业三类人员C证) , 报甲方备案；加强施工作业的安全管理，并应服从甲方安全工程师指挥安排。</w:t>
      </w:r>
    </w:p>
    <w:p w14:paraId="1C434A5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8、甲方安全管理人员有权对乙方人员进行安全培训及安全生产作出指导，并对其安全生产管理进行监督、检查以及按甲方有关规定进行处理。</w:t>
      </w:r>
    </w:p>
    <w:p w14:paraId="2B57A69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9、乙方有权拒绝甲方的违章指挥。若甲方原因导致的安全事故，由甲方承担相应责任及发生的费用。</w:t>
      </w:r>
    </w:p>
    <w:p w14:paraId="1547F51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乙方在施工现场内必须配置和使用合格的安全保护用品，费用已包含在合同价格中。进入施工现场的所有与施工有关的人员必须正确佩戴安全帽，高空作业人员必须正确佩戴安全绳，电工必须正确佩戴穿戴绝缘鞋、绝缘手套等绝缘防护用品，禁止穿拖鞋</w:t>
      </w:r>
      <w:r>
        <w:rPr>
          <w:rFonts w:hint="eastAsia" w:ascii="仿宋" w:hAnsi="仿宋" w:eastAsia="仿宋" w:cs="仿宋"/>
          <w:snapToGrid/>
          <w:kern w:val="2"/>
          <w:sz w:val="25"/>
          <w:szCs w:val="25"/>
          <w:lang w:val="en-US" w:eastAsia="zh-CN"/>
        </w:rPr>
        <w:t>进入</w:t>
      </w:r>
      <w:r>
        <w:rPr>
          <w:rFonts w:hint="eastAsia" w:ascii="仿宋" w:hAnsi="仿宋" w:eastAsia="仿宋" w:cs="仿宋"/>
          <w:snapToGrid/>
          <w:kern w:val="2"/>
          <w:sz w:val="25"/>
          <w:szCs w:val="25"/>
          <w:lang w:eastAsia="zh-CN"/>
        </w:rPr>
        <w:t>施工</w:t>
      </w:r>
      <w:r>
        <w:rPr>
          <w:rFonts w:hint="eastAsia" w:ascii="仿宋" w:hAnsi="仿宋" w:eastAsia="仿宋" w:cs="仿宋"/>
          <w:snapToGrid/>
          <w:kern w:val="2"/>
          <w:sz w:val="25"/>
          <w:szCs w:val="25"/>
          <w:lang w:val="en-US" w:eastAsia="zh-CN"/>
        </w:rPr>
        <w:t>场地</w:t>
      </w:r>
      <w:r>
        <w:rPr>
          <w:rFonts w:hint="eastAsia" w:ascii="仿宋" w:hAnsi="仿宋" w:eastAsia="仿宋" w:cs="仿宋"/>
          <w:snapToGrid/>
          <w:kern w:val="2"/>
          <w:sz w:val="25"/>
          <w:szCs w:val="25"/>
          <w:lang w:eastAsia="zh-CN"/>
        </w:rPr>
        <w:t>，一经发现，处以违约金500元/人.次，同一人两次以上被安全员处以违约金的，乙方必须将该工人清</w:t>
      </w:r>
      <w:r>
        <w:rPr>
          <w:rFonts w:hint="eastAsia" w:ascii="仿宋" w:hAnsi="仿宋" w:eastAsia="仿宋" w:cs="仿宋"/>
          <w:snapToGrid/>
          <w:kern w:val="2"/>
          <w:sz w:val="25"/>
          <w:szCs w:val="25"/>
          <w:lang w:val="en-US" w:eastAsia="zh-CN"/>
        </w:rPr>
        <w:t>出</w:t>
      </w:r>
      <w:r>
        <w:rPr>
          <w:rFonts w:hint="eastAsia" w:ascii="仿宋" w:hAnsi="仿宋" w:eastAsia="仿宋" w:cs="仿宋"/>
          <w:snapToGrid/>
          <w:kern w:val="2"/>
          <w:sz w:val="25"/>
          <w:szCs w:val="25"/>
          <w:lang w:eastAsia="zh-CN"/>
        </w:rPr>
        <w:t>现场。</w:t>
      </w:r>
    </w:p>
    <w:p w14:paraId="3A0E95A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11、发生重大伤亡及其他安全事故时，乙方应采取必要的措施，及时抢救伤员，并防止事态进一步扩大、减少损失，同时须立即报告甲方。对因乙方延报、漏报或采取的措施不当而引起的损失扩大部分的责任由乙方自行承担。</w:t>
      </w:r>
    </w:p>
    <w:p w14:paraId="03ADD2B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12、乙方应教育其施工及管理人员遵纪守法，服从工地各种管理规定，严禁打架斗殴、酒后上岗、偷盗等行为，共同维护工地的社会治安，协助现场</w:t>
      </w:r>
      <w:r>
        <w:rPr>
          <w:rFonts w:hint="eastAsia" w:ascii="仿宋" w:hAnsi="仿宋" w:eastAsia="仿宋" w:cs="仿宋"/>
          <w:snapToGrid/>
          <w:kern w:val="2"/>
          <w:sz w:val="25"/>
          <w:szCs w:val="25"/>
          <w:lang w:val="en-US" w:eastAsia="zh-CN"/>
        </w:rPr>
        <w:t>管理人员</w:t>
      </w:r>
      <w:r>
        <w:rPr>
          <w:rFonts w:hint="eastAsia" w:ascii="仿宋" w:hAnsi="仿宋" w:eastAsia="仿宋" w:cs="仿宋"/>
          <w:snapToGrid/>
          <w:kern w:val="2"/>
          <w:sz w:val="25"/>
          <w:szCs w:val="25"/>
          <w:lang w:eastAsia="zh-CN"/>
        </w:rPr>
        <w:t>做好施工工地和生活区的治安保卫工作。</w:t>
      </w:r>
    </w:p>
    <w:p w14:paraId="4EEFEAB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13、乙方必须遵守甲方有关文明施工的管理制度。乙方应保持自己生活区及施工区内的环境卫生，并做好环境保护工作。本合同工程</w:t>
      </w:r>
      <w:r>
        <w:rPr>
          <w:rFonts w:hint="eastAsia" w:ascii="仿宋" w:hAnsi="仿宋" w:eastAsia="仿宋" w:cs="仿宋"/>
          <w:snapToGrid/>
          <w:kern w:val="2"/>
          <w:sz w:val="25"/>
          <w:szCs w:val="25"/>
          <w:lang w:val="en-US" w:eastAsia="zh-CN"/>
        </w:rPr>
        <w:t>施工过程中及</w:t>
      </w:r>
      <w:r>
        <w:rPr>
          <w:rFonts w:hint="eastAsia" w:ascii="仿宋" w:hAnsi="仿宋" w:eastAsia="仿宋" w:cs="仿宋"/>
          <w:snapToGrid/>
          <w:kern w:val="2"/>
          <w:sz w:val="25"/>
          <w:szCs w:val="25"/>
          <w:lang w:eastAsia="zh-CN"/>
        </w:rPr>
        <w:t>完工退场时，要清理施工场地和生活</w:t>
      </w:r>
      <w:r>
        <w:rPr>
          <w:rFonts w:hint="eastAsia" w:ascii="仿宋" w:hAnsi="仿宋" w:eastAsia="仿宋" w:cs="仿宋"/>
          <w:snapToGrid/>
          <w:kern w:val="2"/>
          <w:sz w:val="25"/>
          <w:szCs w:val="25"/>
          <w:lang w:val="en-US" w:eastAsia="zh-CN"/>
        </w:rPr>
        <w:t>驻</w:t>
      </w:r>
      <w:r>
        <w:rPr>
          <w:rFonts w:hint="eastAsia" w:ascii="仿宋" w:hAnsi="仿宋" w:eastAsia="仿宋" w:cs="仿宋"/>
          <w:snapToGrid/>
          <w:kern w:val="2"/>
          <w:sz w:val="25"/>
          <w:szCs w:val="25"/>
          <w:lang w:eastAsia="zh-CN"/>
        </w:rPr>
        <w:t>地的垃圾，</w:t>
      </w:r>
      <w:r>
        <w:rPr>
          <w:rFonts w:hint="eastAsia" w:ascii="仿宋" w:hAnsi="仿宋" w:eastAsia="仿宋" w:cs="仿宋"/>
          <w:snapToGrid/>
          <w:kern w:val="2"/>
          <w:sz w:val="25"/>
          <w:szCs w:val="25"/>
          <w:lang w:val="en-US" w:eastAsia="zh-CN"/>
        </w:rPr>
        <w:t>确保</w:t>
      </w:r>
      <w:r>
        <w:rPr>
          <w:rFonts w:hint="eastAsia" w:ascii="仿宋" w:hAnsi="仿宋" w:eastAsia="仿宋" w:cs="仿宋"/>
          <w:snapToGrid/>
          <w:kern w:val="2"/>
          <w:sz w:val="25"/>
          <w:szCs w:val="25"/>
          <w:lang w:eastAsia="zh-CN"/>
        </w:rPr>
        <w:t>环境卫生干净、整洁。</w:t>
      </w:r>
    </w:p>
    <w:p w14:paraId="48BB466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14、非甲方原因，乙方遭受到财产和人员(包括乙方雇员、乙方施工范围内其他人员)生命、健康损失由乙方自行承担。如果因此给甲方或第三方造成损失，由乙方负责赔偿。由第三者造成乙方的生命财产损失的由第三者负责，由不可抗</w:t>
      </w:r>
      <w:bookmarkStart w:id="22" w:name="bookmark35"/>
      <w:bookmarkEnd w:id="22"/>
      <w:r>
        <w:rPr>
          <w:rFonts w:hint="eastAsia" w:ascii="仿宋" w:hAnsi="仿宋" w:eastAsia="仿宋" w:cs="仿宋"/>
          <w:snapToGrid/>
          <w:kern w:val="2"/>
          <w:sz w:val="25"/>
          <w:szCs w:val="25"/>
          <w:lang w:eastAsia="zh-CN"/>
        </w:rPr>
        <w:t>力造成乙方的生命财产损失的由乙方从保险公司的赔偿中补偿，保险不能补偿的由乙方自行承担。</w:t>
      </w:r>
    </w:p>
    <w:p w14:paraId="04A02EC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15、安全文明施工费已</w:t>
      </w:r>
      <w:r>
        <w:rPr>
          <w:rFonts w:hint="eastAsia" w:ascii="仿宋" w:hAnsi="仿宋" w:eastAsia="仿宋" w:cs="仿宋"/>
          <w:snapToGrid/>
          <w:kern w:val="2"/>
          <w:sz w:val="25"/>
          <w:szCs w:val="25"/>
          <w:lang w:val="en-US" w:eastAsia="zh-CN"/>
        </w:rPr>
        <w:t>在清单单价</w:t>
      </w:r>
      <w:r>
        <w:rPr>
          <w:rFonts w:hint="eastAsia" w:ascii="仿宋" w:hAnsi="仿宋" w:eastAsia="仿宋" w:cs="仿宋"/>
          <w:snapToGrid/>
          <w:kern w:val="2"/>
          <w:sz w:val="25"/>
          <w:szCs w:val="25"/>
          <w:lang w:eastAsia="zh-CN"/>
        </w:rPr>
        <w:t>中，乙方必须按照所有相关安全文明标准化要求进行施工，采取的安全文明标准化各项措施费用均</w:t>
      </w:r>
      <w:r>
        <w:rPr>
          <w:rFonts w:hint="eastAsia" w:ascii="仿宋" w:hAnsi="仿宋" w:eastAsia="仿宋" w:cs="仿宋"/>
          <w:snapToGrid/>
          <w:kern w:val="2"/>
          <w:sz w:val="25"/>
          <w:szCs w:val="25"/>
          <w:lang w:val="en-US" w:eastAsia="zh-CN"/>
        </w:rPr>
        <w:t>在清单单价中</w:t>
      </w:r>
      <w:r>
        <w:rPr>
          <w:rFonts w:hint="eastAsia" w:ascii="仿宋" w:hAnsi="仿宋" w:eastAsia="仿宋" w:cs="仿宋"/>
          <w:snapToGrid/>
          <w:kern w:val="2"/>
          <w:sz w:val="25"/>
          <w:szCs w:val="25"/>
          <w:lang w:eastAsia="zh-CN"/>
        </w:rPr>
        <w:t>，甲方不再另行支付相关费用。施工过程中，乙方不以任何理由向甲方索赔任何增加的标准化费用。</w:t>
      </w:r>
    </w:p>
    <w:p w14:paraId="1F83CDF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3" w:name="_Toc2552"/>
      <w:r>
        <w:rPr>
          <w:rFonts w:hint="eastAsia" w:ascii="仿宋" w:hAnsi="仿宋" w:eastAsia="仿宋" w:cs="仿宋"/>
          <w:b/>
          <w:bCs/>
          <w:snapToGrid/>
          <w:kern w:val="2"/>
          <w:sz w:val="25"/>
          <w:szCs w:val="25"/>
          <w:lang w:eastAsia="zh-CN"/>
        </w:rPr>
        <w:t>十、职业健康与环境保护</w:t>
      </w:r>
      <w:bookmarkEnd w:id="23"/>
    </w:p>
    <w:p w14:paraId="393E42AD">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(一)职业健康</w:t>
      </w:r>
    </w:p>
    <w:p w14:paraId="13D6A76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1、乙方在签订本合同时须与甲方签订《环境与职业健康安全管理责任书》, 作为本合同的组成部分。</w:t>
      </w:r>
    </w:p>
    <w:p w14:paraId="7B7ED37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2、乙方应为自己雇用人员配置劳动防护用品，如安全带、安全网、防尘面罩、雨衣、雨鞋等劳动防护用品。其费用</w:t>
      </w:r>
      <w:r>
        <w:rPr>
          <w:rFonts w:hint="eastAsia" w:ascii="仿宋" w:hAnsi="仿宋" w:eastAsia="仿宋" w:cs="仿宋"/>
          <w:snapToGrid/>
          <w:kern w:val="2"/>
          <w:sz w:val="25"/>
          <w:szCs w:val="25"/>
          <w:lang w:val="en-US" w:eastAsia="zh-CN"/>
        </w:rPr>
        <w:t>清单单价</w:t>
      </w:r>
      <w:r>
        <w:rPr>
          <w:rFonts w:hint="eastAsia" w:ascii="仿宋" w:hAnsi="仿宋" w:eastAsia="仿宋" w:cs="仿宋"/>
          <w:snapToGrid/>
          <w:kern w:val="2"/>
          <w:sz w:val="25"/>
          <w:szCs w:val="25"/>
          <w:lang w:eastAsia="zh-CN"/>
        </w:rPr>
        <w:t>中，甲方不再另行支付。</w:t>
      </w:r>
    </w:p>
    <w:p w14:paraId="50F8CBC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应遵守工程建设安全生产有关管理规定，严格按照安全防护标准和防止污染环境的要求组织施工，按国家有关规定保障安全投入的有效实施，并承担由于自身有关措施不力造成事故的责任和因此发生的一切费用。</w:t>
      </w:r>
    </w:p>
    <w:p w14:paraId="31EF087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(二)环境保护</w:t>
      </w:r>
    </w:p>
    <w:p w14:paraId="16B610A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1、在施工场地涉及危险区域或有害因素等环境问题需要安全防护、环境保护措施实施时，乙方应提出安全、环境防护措施方案，经甲方批准后实施，发生的相应费用由乙方承担。</w:t>
      </w:r>
    </w:p>
    <w:p w14:paraId="26E229D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2、乙方对固体废弃物进行控制，工业垃圾按照指定要求进行堆放，弃渣、生产生活产生的废弃物分类收集，统一处理，减少对环境的影响，危险废弃物/不可回收的废物/可回收废物分类收集、按规定统一处理。</w:t>
      </w:r>
    </w:p>
    <w:p w14:paraId="7F09938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3、乙方对危险化学品、放射源实行有效管理、专人负责，放射源实行有效存放，专人负责，有效控制。</w:t>
      </w:r>
    </w:p>
    <w:p w14:paraId="6FBF232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4、乙方对生产生活废水做到规划管理，污水排放符合国家排放标准和满足当地环保部门的要求，不污染河域环境，生产生活废水必须经沉淀池、化粪池、隔油池处理。</w:t>
      </w:r>
    </w:p>
    <w:p w14:paraId="17CE4BE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5、乙方在工程项目设计要求范围内进行施工，不发生施工设计规划以外的破</w:t>
      </w:r>
      <w:bookmarkStart w:id="24" w:name="bookmark36"/>
      <w:bookmarkEnd w:id="24"/>
      <w:r>
        <w:rPr>
          <w:rFonts w:hint="eastAsia" w:ascii="仿宋" w:hAnsi="仿宋" w:eastAsia="仿宋" w:cs="仿宋"/>
          <w:snapToGrid/>
          <w:kern w:val="2"/>
          <w:sz w:val="25"/>
          <w:szCs w:val="25"/>
          <w:lang w:eastAsia="zh-CN"/>
        </w:rPr>
        <w:t>坏环境保护性质的施工行为。</w:t>
      </w:r>
    </w:p>
    <w:p w14:paraId="0A40FE0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6、乙方对工作生活场所大气污染环境因素(源)进行控制管理，大气污染物排放符合国家排放标准。</w:t>
      </w:r>
    </w:p>
    <w:p w14:paraId="0424570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7、乙方生产、施工场界噪声控制指标应符合《建筑施工场界噪声限值》 GB12523-90标准。</w:t>
      </w:r>
    </w:p>
    <w:p w14:paraId="0267C7F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8、乙方应加强节能降耗，控制高能耗设备和超产品能耗设计性能设备的使用。</w:t>
      </w:r>
    </w:p>
    <w:p w14:paraId="4911904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9、乙方应确保本单位在施工活动中遵守国家、地方有关环境保护方面的法律和法规。</w:t>
      </w:r>
    </w:p>
    <w:p w14:paraId="57C4DEA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10、乙方应遵守甲方环境管理规定，适时接受并配合甲方对环境管理工作实施的监督检查活动。</w:t>
      </w:r>
    </w:p>
    <w:p w14:paraId="4051D382">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(三)责任划分</w:t>
      </w:r>
    </w:p>
    <w:p w14:paraId="2F821E8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乙方如发生职业健康安全、环境污染等事故时，应立即通知甲方，同时接受甲方、当地政府有关部门的调查处理。乙方承担由此发生的一切费用，包括承担当地政府有关部门对此作出的责任追究及处罚。</w:t>
      </w:r>
    </w:p>
    <w:p w14:paraId="2E937437">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5" w:name="_Toc32227"/>
      <w:r>
        <w:rPr>
          <w:rFonts w:hint="eastAsia" w:ascii="仿宋" w:hAnsi="仿宋" w:eastAsia="仿宋" w:cs="仿宋"/>
          <w:b/>
          <w:bCs/>
          <w:snapToGrid/>
          <w:kern w:val="2"/>
          <w:sz w:val="25"/>
          <w:szCs w:val="25"/>
          <w:lang w:eastAsia="zh-CN"/>
        </w:rPr>
        <w:t>十一、技术条款</w:t>
      </w:r>
      <w:bookmarkEnd w:id="25"/>
    </w:p>
    <w:p w14:paraId="2687999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本工程技术条款以</w:t>
      </w:r>
      <w:r>
        <w:rPr>
          <w:rFonts w:hint="eastAsia" w:ascii="仿宋" w:hAnsi="仿宋" w:eastAsia="仿宋" w:cs="仿宋"/>
          <w:snapToGrid/>
          <w:kern w:val="2"/>
          <w:sz w:val="25"/>
          <w:szCs w:val="25"/>
          <w:lang w:val="en-US" w:eastAsia="zh-CN"/>
        </w:rPr>
        <w:t>设计要求（施工图纸及设计变更）及国家相关标准规范</w:t>
      </w:r>
      <w:r>
        <w:rPr>
          <w:rFonts w:hint="eastAsia" w:ascii="仿宋" w:hAnsi="仿宋" w:eastAsia="仿宋" w:cs="仿宋"/>
          <w:snapToGrid/>
          <w:kern w:val="2"/>
          <w:sz w:val="25"/>
          <w:szCs w:val="25"/>
          <w:lang w:eastAsia="zh-CN"/>
        </w:rPr>
        <w:t>要求以及</w:t>
      </w:r>
      <w:r>
        <w:rPr>
          <w:rFonts w:hint="eastAsia" w:ascii="仿宋" w:hAnsi="仿宋" w:eastAsia="仿宋" w:cs="仿宋"/>
          <w:snapToGrid/>
          <w:kern w:val="2"/>
          <w:sz w:val="25"/>
          <w:szCs w:val="25"/>
          <w:lang w:val="en-US" w:eastAsia="zh-CN"/>
        </w:rPr>
        <w:t>甲方</w:t>
      </w:r>
      <w:r>
        <w:rPr>
          <w:rFonts w:hint="eastAsia" w:ascii="仿宋" w:hAnsi="仿宋" w:eastAsia="仿宋" w:cs="仿宋"/>
          <w:snapToGrid/>
          <w:kern w:val="2"/>
          <w:sz w:val="25"/>
          <w:szCs w:val="25"/>
          <w:lang w:eastAsia="zh-CN"/>
        </w:rPr>
        <w:t>与业主主合同有关本合同项目的技术要求为准。</w:t>
      </w:r>
    </w:p>
    <w:p w14:paraId="616A396D">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6" w:name="_Toc25806"/>
      <w:r>
        <w:rPr>
          <w:rFonts w:hint="eastAsia" w:ascii="仿宋" w:hAnsi="仿宋" w:eastAsia="仿宋" w:cs="仿宋"/>
          <w:b/>
          <w:bCs/>
          <w:snapToGrid/>
          <w:kern w:val="2"/>
          <w:sz w:val="25"/>
          <w:szCs w:val="25"/>
          <w:lang w:eastAsia="zh-CN"/>
        </w:rPr>
        <w:t>十二、乙方人员工资保障措施</w:t>
      </w:r>
      <w:bookmarkEnd w:id="26"/>
    </w:p>
    <w:p w14:paraId="1AADCE1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乙方应严格遵守国家有关解决拖欠工程款和民工工资的法律、法规，及相关文件要求，乙方必须</w:t>
      </w:r>
      <w:r>
        <w:rPr>
          <w:rFonts w:hint="eastAsia" w:ascii="仿宋" w:hAnsi="仿宋" w:eastAsia="仿宋" w:cs="仿宋"/>
          <w:snapToGrid/>
          <w:kern w:val="2"/>
          <w:sz w:val="25"/>
          <w:szCs w:val="25"/>
          <w:lang w:val="en-US" w:eastAsia="zh-CN"/>
        </w:rPr>
        <w:t>按甲方要求</w:t>
      </w:r>
      <w:r>
        <w:rPr>
          <w:rFonts w:hint="eastAsia" w:ascii="仿宋" w:hAnsi="仿宋" w:eastAsia="仿宋" w:cs="仿宋"/>
          <w:snapToGrid/>
          <w:kern w:val="2"/>
          <w:sz w:val="25"/>
          <w:szCs w:val="25"/>
          <w:lang w:eastAsia="zh-CN"/>
        </w:rPr>
        <w:t>建立农民工管理台账，</w:t>
      </w:r>
      <w:r>
        <w:rPr>
          <w:rFonts w:hint="eastAsia" w:ascii="仿宋" w:hAnsi="仿宋" w:eastAsia="仿宋" w:cs="仿宋"/>
          <w:snapToGrid/>
          <w:kern w:val="2"/>
          <w:sz w:val="25"/>
          <w:szCs w:val="25"/>
          <w:lang w:val="en-US" w:eastAsia="zh-CN"/>
        </w:rPr>
        <w:t>并报甲方存档，</w:t>
      </w:r>
      <w:r>
        <w:rPr>
          <w:rFonts w:hint="eastAsia" w:ascii="仿宋" w:hAnsi="仿宋" w:eastAsia="仿宋" w:cs="仿宋"/>
          <w:snapToGrid/>
          <w:kern w:val="2"/>
          <w:sz w:val="25"/>
          <w:szCs w:val="25"/>
          <w:lang w:eastAsia="zh-CN"/>
        </w:rPr>
        <w:t>真实、准确记录工人名册、工时和工人工资支付情况等信息。</w:t>
      </w:r>
    </w:p>
    <w:p w14:paraId="0A2C49C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不得以任何借口拖欠材料、设备款及民工工资等费用，如果出现此种现象，甲方有权代为支付其拖欠的材料、设备款及民工工资，并从应付给乙方的工程款中扣除相应款项。对恶意拖欠和拒不按计划支付的，作为不良记录纳入履约评价考核。</w:t>
      </w:r>
    </w:p>
    <w:p w14:paraId="06AD1A6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若因乙方原因造成民工工资未及时发放，造成民工上访事件的，甲方根据民工上访影响程度有权要求乙方支付</w:t>
      </w:r>
      <w:r>
        <w:rPr>
          <w:rFonts w:hint="eastAsia" w:ascii="仿宋" w:hAnsi="仿宋" w:eastAsia="仿宋" w:cs="仿宋"/>
          <w:snapToGrid/>
          <w:kern w:val="2"/>
          <w:sz w:val="25"/>
          <w:szCs w:val="25"/>
          <w:u w:val="single"/>
          <w:lang w:val="en-US" w:eastAsia="zh-CN"/>
        </w:rPr>
        <w:t>1-10</w:t>
      </w:r>
      <w:r>
        <w:rPr>
          <w:rFonts w:hint="eastAsia" w:ascii="仿宋" w:hAnsi="仿宋" w:eastAsia="仿宋" w:cs="仿宋"/>
          <w:snapToGrid/>
          <w:kern w:val="2"/>
          <w:sz w:val="25"/>
          <w:szCs w:val="25"/>
          <w:lang w:val="en-US" w:eastAsia="zh-CN"/>
        </w:rPr>
        <w:t>万元每次违约金，不按实支付的，甲方有权从工程结算款中扣除。</w:t>
      </w:r>
    </w:p>
    <w:p w14:paraId="093DE6E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1、乙方施工人员工资发放形式</w:t>
      </w:r>
    </w:p>
    <w:p w14:paraId="0D308C0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为确保乙方施工人员工资及时发放，乙方应按月向甲方提供经审核无误的农</w:t>
      </w:r>
      <w:bookmarkStart w:id="27" w:name="bookmark37"/>
      <w:bookmarkEnd w:id="27"/>
      <w:r>
        <w:rPr>
          <w:rFonts w:hint="eastAsia" w:ascii="仿宋" w:hAnsi="仿宋" w:eastAsia="仿宋" w:cs="仿宋"/>
          <w:snapToGrid/>
          <w:kern w:val="2"/>
          <w:sz w:val="25"/>
          <w:szCs w:val="25"/>
          <w:lang w:eastAsia="zh-CN"/>
        </w:rPr>
        <w:t>民工工资表(签字盖章)。甲方在对乙方办理完结算后，应先通过农民工工资专户代发农民工工资(发放至农民工个人银行卡),剩余结算款作为工程款支付至乙方基本户。不提交“员工工资表”或提交表格不合格、不真实的，甲方有权暂时拒绝支付工程款。</w:t>
      </w:r>
    </w:p>
    <w:p w14:paraId="29E3F42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8" w:name="_Toc18170"/>
      <w:r>
        <w:rPr>
          <w:rFonts w:hint="eastAsia" w:ascii="仿宋" w:hAnsi="仿宋" w:eastAsia="仿宋" w:cs="仿宋"/>
          <w:b/>
          <w:bCs/>
          <w:snapToGrid/>
          <w:kern w:val="2"/>
          <w:sz w:val="25"/>
          <w:szCs w:val="25"/>
          <w:lang w:eastAsia="zh-CN"/>
        </w:rPr>
        <w:t>十三、资源配置</w:t>
      </w:r>
      <w:bookmarkEnd w:id="28"/>
    </w:p>
    <w:p w14:paraId="685E6A7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乙方投入的人员必须满足工程进度的要求，并为其承诺投入的人员负责。当乙方资源配置影响承包项目实施时，甲方有权要求增加人员及设备等资源的配置，相关费用由乙方承担。</w:t>
      </w:r>
    </w:p>
    <w:p w14:paraId="4517608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1、人力资源投入</w:t>
      </w:r>
    </w:p>
    <w:p w14:paraId="6818751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确保合同履行，乙方施工队伍必须是成建制的，具有与所承担施工任务相匹配的技术、质量、安全等管理人员及专业施工班组。乙方进场前，应将具体承担工程施工及管理的负责人、总工、技术岗位人员、特殊工种人员等有关身份证明及资格证明复印件(经与原件核对一致)等报甲方备案。</w:t>
      </w:r>
    </w:p>
    <w:p w14:paraId="1B45DDE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乙方计划投入主要技术、管理人员及工班长如下(必填): 《主要进场人员一览表》:</w:t>
      </w:r>
    </w:p>
    <w:tbl>
      <w:tblPr>
        <w:tblStyle w:val="16"/>
        <w:tblW w:w="881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84"/>
        <w:gridCol w:w="1429"/>
        <w:gridCol w:w="1189"/>
        <w:gridCol w:w="1458"/>
        <w:gridCol w:w="3156"/>
        <w:gridCol w:w="994"/>
      </w:tblGrid>
      <w:tr w14:paraId="6884A1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584" w:type="dxa"/>
            <w:vAlign w:val="center"/>
          </w:tcPr>
          <w:p w14:paraId="24C0AC0C">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序号</w:t>
            </w:r>
          </w:p>
        </w:tc>
        <w:tc>
          <w:tcPr>
            <w:tcW w:w="1429" w:type="dxa"/>
            <w:vAlign w:val="center"/>
          </w:tcPr>
          <w:p w14:paraId="6C09639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岗位</w:t>
            </w:r>
          </w:p>
        </w:tc>
        <w:tc>
          <w:tcPr>
            <w:tcW w:w="1189" w:type="dxa"/>
            <w:vAlign w:val="center"/>
          </w:tcPr>
          <w:p w14:paraId="128F2EEF">
            <w:pPr>
              <w:keepNext w:val="0"/>
              <w:keepLines w:val="0"/>
              <w:pageBreakBefore w:val="0"/>
              <w:widowControl w:val="0"/>
              <w:kinsoku/>
              <w:overflowPunct/>
              <w:autoSpaceDE/>
              <w:autoSpaceDN/>
              <w:bidi w:val="0"/>
              <w:adjustRightInd w:val="0"/>
              <w:snapToGrid w:val="0"/>
              <w:spacing w:afterLines="0" w:line="360" w:lineRule="auto"/>
              <w:ind w:firstLine="250" w:firstLineChars="1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数量</w:t>
            </w:r>
          </w:p>
        </w:tc>
        <w:tc>
          <w:tcPr>
            <w:tcW w:w="1458" w:type="dxa"/>
            <w:vAlign w:val="center"/>
          </w:tcPr>
          <w:p w14:paraId="5104A65C">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进场日期</w:t>
            </w:r>
          </w:p>
        </w:tc>
        <w:tc>
          <w:tcPr>
            <w:tcW w:w="3156" w:type="dxa"/>
            <w:vAlign w:val="center"/>
          </w:tcPr>
          <w:p w14:paraId="1F68CEF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简要工作业绩</w:t>
            </w:r>
          </w:p>
        </w:tc>
        <w:tc>
          <w:tcPr>
            <w:tcW w:w="994" w:type="dxa"/>
            <w:vAlign w:val="center"/>
          </w:tcPr>
          <w:p w14:paraId="1CD330EF">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备注</w:t>
            </w:r>
          </w:p>
        </w:tc>
      </w:tr>
      <w:tr w14:paraId="3B4512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jc w:val="center"/>
        </w:trPr>
        <w:tc>
          <w:tcPr>
            <w:tcW w:w="584" w:type="dxa"/>
            <w:vAlign w:val="center"/>
          </w:tcPr>
          <w:p w14:paraId="1D6B9201">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w:t>
            </w:r>
          </w:p>
        </w:tc>
        <w:tc>
          <w:tcPr>
            <w:tcW w:w="1429" w:type="dxa"/>
            <w:vAlign w:val="center"/>
          </w:tcPr>
          <w:p w14:paraId="10FB62D0">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技术负责人</w:t>
            </w:r>
          </w:p>
        </w:tc>
        <w:tc>
          <w:tcPr>
            <w:tcW w:w="1189" w:type="dxa"/>
            <w:vAlign w:val="center"/>
          </w:tcPr>
          <w:p w14:paraId="2A7E38E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w:t>
            </w:r>
          </w:p>
        </w:tc>
        <w:tc>
          <w:tcPr>
            <w:tcW w:w="1458" w:type="dxa"/>
            <w:vAlign w:val="center"/>
          </w:tcPr>
          <w:p w14:paraId="618FADA3">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3156" w:type="dxa"/>
            <w:vAlign w:val="center"/>
          </w:tcPr>
          <w:p w14:paraId="4498CCAF">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994" w:type="dxa"/>
            <w:vAlign w:val="center"/>
          </w:tcPr>
          <w:p w14:paraId="409C24FF">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r>
      <w:tr w14:paraId="03830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584" w:type="dxa"/>
            <w:vAlign w:val="center"/>
          </w:tcPr>
          <w:p w14:paraId="092089AD">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2</w:t>
            </w:r>
          </w:p>
        </w:tc>
        <w:tc>
          <w:tcPr>
            <w:tcW w:w="1429" w:type="dxa"/>
            <w:vAlign w:val="center"/>
          </w:tcPr>
          <w:p w14:paraId="4AF734DF">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安全员</w:t>
            </w:r>
          </w:p>
        </w:tc>
        <w:tc>
          <w:tcPr>
            <w:tcW w:w="1189" w:type="dxa"/>
            <w:vAlign w:val="center"/>
          </w:tcPr>
          <w:p w14:paraId="06164FC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w:t>
            </w:r>
          </w:p>
        </w:tc>
        <w:tc>
          <w:tcPr>
            <w:tcW w:w="1458" w:type="dxa"/>
            <w:vAlign w:val="center"/>
          </w:tcPr>
          <w:p w14:paraId="2A348500">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3156" w:type="dxa"/>
            <w:vAlign w:val="center"/>
          </w:tcPr>
          <w:p w14:paraId="702CEF9D">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994" w:type="dxa"/>
            <w:vAlign w:val="center"/>
          </w:tcPr>
          <w:p w14:paraId="27B291E8">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r>
      <w:tr w14:paraId="3DE28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0941E87F">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3</w:t>
            </w:r>
          </w:p>
        </w:tc>
        <w:tc>
          <w:tcPr>
            <w:tcW w:w="1429" w:type="dxa"/>
            <w:vAlign w:val="center"/>
          </w:tcPr>
          <w:p w14:paraId="58A14837">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施工员</w:t>
            </w:r>
          </w:p>
        </w:tc>
        <w:tc>
          <w:tcPr>
            <w:tcW w:w="1189" w:type="dxa"/>
            <w:vAlign w:val="center"/>
          </w:tcPr>
          <w:p w14:paraId="4FEE86A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w:t>
            </w:r>
          </w:p>
        </w:tc>
        <w:tc>
          <w:tcPr>
            <w:tcW w:w="1458" w:type="dxa"/>
            <w:vAlign w:val="center"/>
          </w:tcPr>
          <w:p w14:paraId="3D4B3D0F">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x</w:t>
            </w:r>
          </w:p>
        </w:tc>
        <w:tc>
          <w:tcPr>
            <w:tcW w:w="3156" w:type="dxa"/>
            <w:vAlign w:val="center"/>
          </w:tcPr>
          <w:p w14:paraId="4B871933">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c>
          <w:tcPr>
            <w:tcW w:w="994" w:type="dxa"/>
            <w:vAlign w:val="center"/>
          </w:tcPr>
          <w:p w14:paraId="23D84684">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r>
      <w:tr w14:paraId="062CA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584" w:type="dxa"/>
            <w:vAlign w:val="center"/>
          </w:tcPr>
          <w:p w14:paraId="1690BB15">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4</w:t>
            </w:r>
          </w:p>
        </w:tc>
        <w:tc>
          <w:tcPr>
            <w:tcW w:w="1429" w:type="dxa"/>
            <w:vAlign w:val="center"/>
          </w:tcPr>
          <w:p w14:paraId="5682F9E7">
            <w:pPr>
              <w:keepNext w:val="0"/>
              <w:keepLines w:val="0"/>
              <w:pageBreakBefore w:val="0"/>
              <w:widowControl w:val="0"/>
              <w:kinsoku/>
              <w:overflowPunct/>
              <w:autoSpaceDE/>
              <w:autoSpaceDN/>
              <w:bidi w:val="0"/>
              <w:adjustRightInd w:val="0"/>
              <w:snapToGrid w:val="0"/>
              <w:spacing w:afterLines="0" w:line="360" w:lineRule="auto"/>
              <w:jc w:val="center"/>
              <w:textAlignment w:val="auto"/>
              <w:rPr>
                <w:rFonts w:hint="eastAsia" w:ascii="仿宋" w:hAnsi="仿宋" w:eastAsia="仿宋" w:cs="仿宋"/>
                <w:snapToGrid/>
                <w:kern w:val="2"/>
                <w:sz w:val="25"/>
                <w:szCs w:val="25"/>
                <w:lang w:val="en-US" w:eastAsia="zh-CN"/>
              </w:rPr>
            </w:pPr>
          </w:p>
        </w:tc>
        <w:tc>
          <w:tcPr>
            <w:tcW w:w="1189" w:type="dxa"/>
            <w:vAlign w:val="center"/>
          </w:tcPr>
          <w:p w14:paraId="71D258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pPr>
          </w:p>
        </w:tc>
        <w:tc>
          <w:tcPr>
            <w:tcW w:w="1458" w:type="dxa"/>
            <w:vAlign w:val="center"/>
          </w:tcPr>
          <w:p w14:paraId="1890B55E">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p>
        </w:tc>
        <w:tc>
          <w:tcPr>
            <w:tcW w:w="3156" w:type="dxa"/>
            <w:vAlign w:val="center"/>
          </w:tcPr>
          <w:p w14:paraId="1C223725">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default" w:ascii="仿宋" w:hAnsi="仿宋" w:eastAsia="仿宋" w:cs="仿宋"/>
                <w:snapToGrid/>
                <w:kern w:val="2"/>
                <w:sz w:val="25"/>
                <w:szCs w:val="25"/>
                <w:lang w:val="en-US" w:eastAsia="zh-CN"/>
              </w:rPr>
            </w:pPr>
          </w:p>
        </w:tc>
        <w:tc>
          <w:tcPr>
            <w:tcW w:w="994" w:type="dxa"/>
            <w:vAlign w:val="center"/>
          </w:tcPr>
          <w:p w14:paraId="1E334C36">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eastAsia="zh-CN"/>
              </w:rPr>
            </w:pPr>
          </w:p>
        </w:tc>
      </w:tr>
    </w:tbl>
    <w:p w14:paraId="5652F6B1">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29" w:name="bookmark38"/>
      <w:bookmarkEnd w:id="29"/>
      <w:bookmarkStart w:id="30" w:name="_Toc32475"/>
      <w:r>
        <w:rPr>
          <w:rFonts w:hint="eastAsia" w:ascii="仿宋" w:hAnsi="仿宋" w:eastAsia="仿宋" w:cs="仿宋"/>
          <w:b/>
          <w:bCs/>
          <w:snapToGrid/>
          <w:kern w:val="2"/>
          <w:sz w:val="25"/>
          <w:szCs w:val="25"/>
          <w:lang w:eastAsia="zh-CN"/>
        </w:rPr>
        <w:t>2、机械设备资源投入</w:t>
      </w:r>
    </w:p>
    <w:p w14:paraId="279D9E5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b w:val="0"/>
          <w:bCs w:val="0"/>
          <w:snapToGrid/>
          <w:kern w:val="2"/>
          <w:sz w:val="25"/>
          <w:szCs w:val="25"/>
          <w:lang w:eastAsia="zh-CN"/>
        </w:rPr>
      </w:pPr>
      <w:r>
        <w:rPr>
          <w:rFonts w:hint="eastAsia" w:ascii="仿宋" w:hAnsi="仿宋" w:eastAsia="仿宋" w:cs="仿宋"/>
          <w:b w:val="0"/>
          <w:bCs w:val="0"/>
          <w:snapToGrid/>
          <w:kern w:val="2"/>
          <w:sz w:val="25"/>
          <w:szCs w:val="25"/>
          <w:lang w:eastAsia="zh-CN"/>
        </w:rPr>
        <w:t>乙方必须于</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u w:val="single"/>
          <w:lang w:val="en-US" w:eastAsia="zh-CN"/>
        </w:rPr>
        <w:t>2026</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lang w:eastAsia="zh-CN"/>
        </w:rPr>
        <w:t>年</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u w:val="single"/>
          <w:lang w:val="en-US" w:eastAsia="zh-CN"/>
        </w:rPr>
        <w:t>x</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lang w:eastAsia="zh-CN"/>
        </w:rPr>
        <w:t>月</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u w:val="single"/>
          <w:lang w:val="en-US" w:eastAsia="zh-CN"/>
        </w:rPr>
        <w:t>x</w:t>
      </w:r>
      <w:r>
        <w:rPr>
          <w:rFonts w:hint="eastAsia" w:ascii="仿宋" w:hAnsi="仿宋" w:eastAsia="仿宋" w:cs="仿宋"/>
          <w:b w:val="0"/>
          <w:bCs w:val="0"/>
          <w:snapToGrid/>
          <w:kern w:val="2"/>
          <w:sz w:val="25"/>
          <w:szCs w:val="25"/>
          <w:u w:val="single"/>
          <w:lang w:eastAsia="zh-CN"/>
        </w:rPr>
        <w:t xml:space="preserve"> </w:t>
      </w:r>
      <w:r>
        <w:rPr>
          <w:rFonts w:hint="eastAsia" w:ascii="仿宋" w:hAnsi="仿宋" w:eastAsia="仿宋" w:cs="仿宋"/>
          <w:b w:val="0"/>
          <w:bCs w:val="0"/>
          <w:snapToGrid/>
          <w:kern w:val="2"/>
          <w:sz w:val="25"/>
          <w:szCs w:val="25"/>
          <w:lang w:eastAsia="zh-CN"/>
        </w:rPr>
        <w:t>日前安排进场设备（根据工程部计划填写），并保证进场设备完好。在设备进场后3日内及退场前7日内，乙方均须将设备情况书面报送甲方，便于甲方组织现场检查验收。</w:t>
      </w:r>
    </w:p>
    <w:p w14:paraId="3705560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十四、施工协作</w:t>
      </w:r>
      <w:bookmarkEnd w:id="30"/>
    </w:p>
    <w:p w14:paraId="41FBC6D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应配合甲方的验收工作，以及甲方按业主、监理要求的涉及乙方工作内容、施工场地的检查、隐蔽工程验收及工程竣工验收；甲方或施工场地内第三方的工作必须乙方配合时，乙方应按甲方的指令予以配合。</w:t>
      </w:r>
    </w:p>
    <w:p w14:paraId="7518B66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2、乙方按约定完成施工作业，必须由甲方或施工场地内的第三方进行配合时，甲方应配合乙方工作或确保乙方获得第三方的配合。</w:t>
      </w:r>
    </w:p>
    <w:p w14:paraId="24CD1C9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3、乙方必须服从甲方现场有关管理制度。甲方制定下发的管理制度视为合同组成部分。</w:t>
      </w:r>
    </w:p>
    <w:p w14:paraId="77A566D6">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1" w:name="_Toc4734"/>
      <w:r>
        <w:rPr>
          <w:rFonts w:hint="eastAsia" w:ascii="仿宋" w:hAnsi="仿宋" w:eastAsia="仿宋" w:cs="仿宋"/>
          <w:b/>
          <w:bCs/>
          <w:snapToGrid/>
          <w:kern w:val="2"/>
          <w:sz w:val="25"/>
          <w:szCs w:val="25"/>
          <w:lang w:eastAsia="zh-CN"/>
        </w:rPr>
        <w:t>十五、计量、结算与支付</w:t>
      </w:r>
      <w:bookmarkEnd w:id="31"/>
    </w:p>
    <w:p w14:paraId="11C8D7DA">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(一)工程计量与结算</w:t>
      </w:r>
    </w:p>
    <w:p w14:paraId="7DCD4AA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1、以施工图纸、设计变更通知、甲方技术交底为依据，按乙方实际完成的并经建设单位、监理验收合格，甲方签认的合格工程量计算，其他任何人、任何形式的施工工作量的证明材料均不能作为结算依据。</w:t>
      </w:r>
    </w:p>
    <w:p w14:paraId="33EB5B0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每月25日前，由甲方工程部门组织甲乙双方共同对乙方所完成的劳务作业项目进行验收，并对符合计量支付要求的劳务作业项目编制中间计量表。甲方物资部门、安全部门、质量部门同时提交当月的物资领用情况、安全生产奖罚、现场施工质量奖罚给合同部，以便在当期结算中扣除。</w:t>
      </w:r>
    </w:p>
    <w:p w14:paraId="0B467BB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3、对因乙方原因造成的返工工程量不予计量，责任由乙方自行承担，且不免除承担因此造成甲方的损失的责任(含业主、监理的罚款等)。</w:t>
      </w:r>
    </w:p>
    <w:p w14:paraId="797AF12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4、依据甲方最后签认的工程数量对乙方进行计量。因乙方原因导致监理及主管单位验收不合格，甲方不予计量，并追究因乙方原因造成返工导致甲方的材料损失。下列情况之一者不予签认和支付：</w:t>
      </w:r>
    </w:p>
    <w:p w14:paraId="7371BFE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(1)劳务作业量未经监理工程师、甲方质检人员检查签认的(工程质量未经检查验收或检查验收不合格需返工或待其它处理者);</w:t>
      </w:r>
    </w:p>
    <w:p w14:paraId="350D8E4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(2)乙方未按或超设计图纸、施工规范、甲方技术交底要求施工的劳务作业量及无甲方变更设计通知单、乙方自行变更设计而增加的劳务作业量，设计有误或多余，甲方指令不要求施工而乙方自行完成的工程；</w:t>
      </w:r>
    </w:p>
    <w:p w14:paraId="655B09F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(3)由于乙方施工原因，造成的工程质量不合格或未经确认的劳务作业量；</w:t>
      </w:r>
    </w:p>
    <w:p w14:paraId="742D74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(4)由于乙方施工错误造成的质量、安全、环境污染事故而增加的劳务作业量；</w:t>
      </w:r>
    </w:p>
    <w:p w14:paraId="115D8B1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(5)由于乙方施工错误或施工组织安排失误而增加的工程量。</w:t>
      </w:r>
    </w:p>
    <w:p w14:paraId="51BD478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2" w:name="bookmark39"/>
      <w:bookmarkEnd w:id="32"/>
      <w:r>
        <w:rPr>
          <w:rFonts w:hint="eastAsia" w:ascii="仿宋" w:hAnsi="仿宋" w:eastAsia="仿宋" w:cs="仿宋"/>
          <w:b/>
          <w:bCs/>
          <w:snapToGrid/>
          <w:kern w:val="2"/>
          <w:sz w:val="25"/>
          <w:szCs w:val="25"/>
          <w:lang w:eastAsia="zh-CN"/>
        </w:rPr>
        <w:t>(二)工程款支付</w:t>
      </w:r>
    </w:p>
    <w:p w14:paraId="1539C8A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1、工程款支付</w:t>
      </w:r>
    </w:p>
    <w:p w14:paraId="1412875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(1)进度款拨付(包含变更、签字):甲方应在结算办理完毕并收到乙方提供合格的增值税专用发票后的</w:t>
      </w:r>
      <w:r>
        <w:rPr>
          <w:rFonts w:hint="eastAsia" w:ascii="仿宋" w:hAnsi="仿宋" w:eastAsia="仿宋" w:cs="仿宋"/>
          <w:snapToGrid/>
          <w:kern w:val="2"/>
          <w:sz w:val="25"/>
          <w:szCs w:val="25"/>
          <w:u w:val="single"/>
          <w:lang w:eastAsia="zh-CN"/>
        </w:rPr>
        <w:t>14</w:t>
      </w:r>
      <w:r>
        <w:rPr>
          <w:rFonts w:hint="eastAsia" w:ascii="仿宋" w:hAnsi="仿宋" w:eastAsia="仿宋" w:cs="仿宋"/>
          <w:snapToGrid/>
          <w:kern w:val="2"/>
          <w:sz w:val="25"/>
          <w:szCs w:val="25"/>
          <w:lang w:eastAsia="zh-CN"/>
        </w:rPr>
        <w:t>天内向乙方支付进度款，进度款支付比例为当期结算扣除各项应扣款后的</w:t>
      </w:r>
      <w:r>
        <w:rPr>
          <w:rFonts w:hint="eastAsia" w:ascii="仿宋" w:hAnsi="仿宋" w:eastAsia="仿宋" w:cs="仿宋"/>
          <w:snapToGrid/>
          <w:kern w:val="2"/>
          <w:sz w:val="25"/>
          <w:szCs w:val="25"/>
          <w:u w:val="single"/>
          <w:lang w:val="en-US" w:eastAsia="zh-CN"/>
        </w:rPr>
        <w:t>85</w:t>
      </w:r>
      <w:r>
        <w:rPr>
          <w:rFonts w:hint="eastAsia" w:ascii="仿宋" w:hAnsi="仿宋" w:eastAsia="仿宋" w:cs="仿宋"/>
          <w:snapToGrid/>
          <w:kern w:val="2"/>
          <w:sz w:val="25"/>
          <w:szCs w:val="25"/>
          <w:lang w:eastAsia="zh-CN"/>
        </w:rPr>
        <w:t>%;</w:t>
      </w:r>
    </w:p>
    <w:p w14:paraId="53F0240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w:t>
      </w:r>
      <w:r>
        <w:rPr>
          <w:rFonts w:hint="eastAsia" w:ascii="仿宋" w:hAnsi="仿宋" w:eastAsia="仿宋" w:cs="仿宋"/>
          <w:snapToGrid/>
          <w:kern w:val="2"/>
          <w:sz w:val="25"/>
          <w:szCs w:val="25"/>
          <w:lang w:val="en-US" w:eastAsia="zh-CN"/>
        </w:rPr>
        <w:t>工程交工验收合格后，按照暂定合同价（相应综合单价）及实际完成工程量（设计工程量范围内）进行结算并支付至扣除各项应扣款后的应付款金额的</w:t>
      </w:r>
      <w:r>
        <w:rPr>
          <w:rFonts w:hint="eastAsia" w:ascii="仿宋" w:hAnsi="仿宋" w:eastAsia="仿宋" w:cs="仿宋"/>
          <w:snapToGrid/>
          <w:kern w:val="2"/>
          <w:sz w:val="25"/>
          <w:szCs w:val="25"/>
          <w:u w:val="single"/>
          <w:lang w:val="en-US" w:eastAsia="zh-CN"/>
        </w:rPr>
        <w:t>95</w:t>
      </w:r>
      <w:r>
        <w:rPr>
          <w:rFonts w:hint="eastAsia" w:ascii="仿宋" w:hAnsi="仿宋" w:eastAsia="仿宋" w:cs="仿宋"/>
          <w:snapToGrid/>
          <w:kern w:val="2"/>
          <w:sz w:val="25"/>
          <w:szCs w:val="25"/>
          <w:lang w:val="en-US" w:eastAsia="zh-CN"/>
        </w:rPr>
        <w:t>%；</w:t>
      </w:r>
    </w:p>
    <w:p w14:paraId="1B17D1F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lang w:eastAsia="zh-CN"/>
        </w:rPr>
      </w:pPr>
      <w:r>
        <w:rPr>
          <w:rFonts w:hint="eastAsia" w:ascii="仿宋" w:hAnsi="仿宋" w:eastAsia="仿宋" w:cs="仿宋"/>
          <w:snapToGrid/>
          <w:kern w:val="2"/>
          <w:sz w:val="25"/>
          <w:szCs w:val="25"/>
          <w:lang w:val="en-US" w:eastAsia="en-US"/>
        </w:rPr>
        <w:t>(</w:t>
      </w:r>
      <w:r>
        <w:rPr>
          <w:rFonts w:hint="eastAsia" w:ascii="仿宋" w:hAnsi="仿宋" w:eastAsia="仿宋" w:cs="仿宋"/>
          <w:snapToGrid/>
          <w:kern w:val="2"/>
          <w:sz w:val="25"/>
          <w:szCs w:val="25"/>
          <w:lang w:val="en-US" w:eastAsia="zh-CN"/>
        </w:rPr>
        <w:t>3</w:t>
      </w:r>
      <w:r>
        <w:rPr>
          <w:rFonts w:hint="eastAsia" w:ascii="仿宋" w:hAnsi="仿宋" w:eastAsia="仿宋" w:cs="仿宋"/>
          <w:snapToGrid/>
          <w:kern w:val="2"/>
          <w:sz w:val="25"/>
          <w:szCs w:val="25"/>
          <w:lang w:val="en-US" w:eastAsia="en-US"/>
        </w:rPr>
        <w:t>)工程结算时每期扣留结算价款的</w:t>
      </w:r>
      <w:r>
        <w:rPr>
          <w:rFonts w:hint="eastAsia" w:ascii="仿宋" w:hAnsi="仿宋" w:eastAsia="仿宋" w:cs="仿宋"/>
          <w:snapToGrid/>
          <w:kern w:val="2"/>
          <w:sz w:val="25"/>
          <w:szCs w:val="25"/>
          <w:u w:val="single"/>
          <w:lang w:val="en-US" w:eastAsia="zh-CN"/>
        </w:rPr>
        <w:t xml:space="preserve"> 5 </w:t>
      </w:r>
      <w:r>
        <w:rPr>
          <w:rFonts w:hint="eastAsia" w:ascii="仿宋" w:hAnsi="仿宋" w:eastAsia="仿宋" w:cs="仿宋"/>
          <w:snapToGrid/>
          <w:kern w:val="2"/>
          <w:sz w:val="25"/>
          <w:szCs w:val="25"/>
          <w:lang w:val="en-US" w:eastAsia="en-US"/>
        </w:rPr>
        <w:t>%作为工程质保金，经双方验收合格且缺陷责任期满后，待发包人返还甲方质保金，扣除乙方原因造成的整修、赔偿（含材料在内的全部费用），且乙方已全部履行完质保义务后，甲方将余额支付乙方甲方无息支付余款。</w:t>
      </w:r>
    </w:p>
    <w:p w14:paraId="5F7051A4">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3" w:name="_Toc25199"/>
      <w:r>
        <w:rPr>
          <w:rFonts w:hint="eastAsia" w:ascii="仿宋" w:hAnsi="仿宋" w:eastAsia="仿宋" w:cs="仿宋"/>
          <w:b/>
          <w:bCs/>
          <w:snapToGrid/>
          <w:kern w:val="2"/>
          <w:sz w:val="25"/>
          <w:szCs w:val="25"/>
          <w:lang w:eastAsia="zh-CN"/>
        </w:rPr>
        <w:t>十六、变更</w:t>
      </w:r>
      <w:bookmarkEnd w:id="33"/>
    </w:p>
    <w:p w14:paraId="6A7D6E6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1、施工中如需对原工作内容进行变更，甲方应提前</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lang w:eastAsia="zh-CN"/>
        </w:rPr>
        <w:t>天以书面形式向乙方发出变更通知，并提供变更的相应图纸和说明。乙方按照甲方发出的变更通知及有 关要求进行施工。</w:t>
      </w:r>
    </w:p>
    <w:p w14:paraId="45572C0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2、在紧急(防洪、抢险、救灾等)情况下，乙方应立即执行甲方的变更指令。</w:t>
      </w:r>
    </w:p>
    <w:p w14:paraId="745A137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3、施工中乙方不得擅自对原工程设计进行变更。确需变更的，应当经甲方书面同意；否则，由此发生的费用和导致甲方的损失，由乙方承担。</w:t>
      </w:r>
    </w:p>
    <w:p w14:paraId="3F78A0C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4、若变更</w:t>
      </w:r>
      <w:r>
        <w:rPr>
          <w:rFonts w:hint="eastAsia" w:ascii="仿宋" w:hAnsi="仿宋" w:eastAsia="仿宋" w:cs="仿宋"/>
          <w:snapToGrid/>
          <w:kern w:val="2"/>
          <w:sz w:val="25"/>
          <w:szCs w:val="25"/>
          <w:lang w:val="en-US" w:eastAsia="zh-CN"/>
        </w:rPr>
        <w:t>导致新增清单项目</w:t>
      </w:r>
      <w:r>
        <w:rPr>
          <w:rFonts w:hint="eastAsia" w:ascii="仿宋" w:hAnsi="仿宋" w:eastAsia="仿宋" w:cs="仿宋"/>
          <w:snapToGrid/>
          <w:kern w:val="2"/>
          <w:sz w:val="25"/>
          <w:szCs w:val="25"/>
          <w:lang w:eastAsia="zh-CN"/>
        </w:rPr>
        <w:t>时，则由双方协商确定新的单价，并签订补充协议，原则上参照合同内单价水平。</w:t>
      </w:r>
    </w:p>
    <w:p w14:paraId="371F285E">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4" w:name="_Toc23552"/>
      <w:r>
        <w:rPr>
          <w:rFonts w:hint="eastAsia" w:ascii="仿宋" w:hAnsi="仿宋" w:eastAsia="仿宋" w:cs="仿宋"/>
          <w:b/>
          <w:bCs/>
          <w:snapToGrid/>
          <w:kern w:val="2"/>
          <w:sz w:val="25"/>
          <w:szCs w:val="25"/>
          <w:lang w:eastAsia="zh-CN"/>
        </w:rPr>
        <w:t>十七、竣工验收与完工结算</w:t>
      </w:r>
      <w:bookmarkEnd w:id="34"/>
    </w:p>
    <w:p w14:paraId="4EE10A3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(一)竣工验收</w:t>
      </w:r>
    </w:p>
    <w:p w14:paraId="52AA6A4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1、乙方施工完毕，应向甲方提出书面验收申请，由甲方在</w:t>
      </w:r>
      <w:r>
        <w:rPr>
          <w:rFonts w:hint="eastAsia" w:ascii="仿宋" w:hAnsi="仿宋" w:eastAsia="仿宋" w:cs="仿宋"/>
          <w:snapToGrid/>
          <w:kern w:val="2"/>
          <w:sz w:val="25"/>
          <w:szCs w:val="25"/>
          <w:u w:val="single"/>
          <w:lang w:eastAsia="zh-CN"/>
        </w:rPr>
        <w:t>7</w:t>
      </w:r>
      <w:r>
        <w:rPr>
          <w:rFonts w:hint="eastAsia" w:ascii="仿宋" w:hAnsi="仿宋" w:eastAsia="仿宋" w:cs="仿宋"/>
          <w:snapToGrid/>
          <w:kern w:val="2"/>
          <w:sz w:val="25"/>
          <w:szCs w:val="25"/>
          <w:lang w:eastAsia="zh-CN"/>
        </w:rPr>
        <w:t>日内组织验收。若由于业主、监理原因不能及时验收，乙方应予充分理解，不能以此要求增加任何费用，但甲方应该积极协调，尽快组织验收。</w:t>
      </w:r>
    </w:p>
    <w:p w14:paraId="3775EF6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如乙方所完成工程质量，经验收不符合本合同约定，乙方应负责无偿返工或修复。乙方如未在甲方规定的时间内返工或修复时，由甲方组织人员返工或修复，由此发生的费用由乙方承担。在质量保修期内发生的质量问题，由乙方负责处理，直至符合合同约定标准；否则，由甲方组织人员修复，费用由乙方承担。</w:t>
      </w:r>
    </w:p>
    <w:p w14:paraId="74E69D5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3、乙方应注意成品的防护工作，不以中间交工验收免除乙方成品的保护责任。</w:t>
      </w:r>
    </w:p>
    <w:p w14:paraId="54CD4BF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(二)完工结算</w:t>
      </w:r>
    </w:p>
    <w:p w14:paraId="24A104B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1、完工结算时，乙方须递交证明不拖欠</w:t>
      </w:r>
      <w:r>
        <w:rPr>
          <w:rFonts w:hint="eastAsia" w:ascii="仿宋" w:hAnsi="仿宋" w:eastAsia="仿宋" w:cs="仿宋"/>
          <w:snapToGrid/>
          <w:kern w:val="2"/>
          <w:sz w:val="25"/>
          <w:szCs w:val="25"/>
          <w:lang w:val="en-US" w:eastAsia="zh-CN"/>
        </w:rPr>
        <w:t>工人</w:t>
      </w:r>
      <w:r>
        <w:rPr>
          <w:rFonts w:hint="eastAsia" w:ascii="仿宋" w:hAnsi="仿宋" w:eastAsia="仿宋" w:cs="仿宋"/>
          <w:snapToGrid/>
          <w:kern w:val="2"/>
          <w:sz w:val="25"/>
          <w:szCs w:val="25"/>
          <w:lang w:eastAsia="zh-CN"/>
        </w:rPr>
        <w:t>工资的文件、已完成与工程有关债务的清算文件、与项目部各部门手续清理文件、质量证明文件、完工工程量统计表、完工结算统计表、</w:t>
      </w:r>
      <w:r>
        <w:rPr>
          <w:rFonts w:hint="eastAsia" w:ascii="仿宋" w:hAnsi="仿宋" w:eastAsia="仿宋" w:cs="仿宋"/>
          <w:snapToGrid/>
          <w:kern w:val="2"/>
          <w:sz w:val="25"/>
          <w:szCs w:val="25"/>
          <w:lang w:val="en-US" w:eastAsia="zh-CN"/>
        </w:rPr>
        <w:t>完工结算协议书</w:t>
      </w:r>
      <w:r>
        <w:rPr>
          <w:rFonts w:hint="eastAsia" w:ascii="仿宋" w:hAnsi="仿宋" w:eastAsia="仿宋" w:cs="仿宋"/>
          <w:snapToGrid/>
          <w:kern w:val="2"/>
          <w:sz w:val="25"/>
          <w:szCs w:val="25"/>
          <w:lang w:eastAsia="zh-CN"/>
        </w:rPr>
        <w:t>等其他甲方认为应该递交的相关文件。</w:t>
      </w:r>
    </w:p>
    <w:p w14:paraId="60174BB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2、甲方收到乙方递交的相关文件，审查无误后再进行完工结算，乙方递交的工程量统计表经乙方签字、甲方审核后生效，方可作为结算依据。</w:t>
      </w:r>
    </w:p>
    <w:p w14:paraId="6CD444F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3、经完工验收合格后，</w:t>
      </w:r>
      <w:r>
        <w:rPr>
          <w:rFonts w:hint="eastAsia" w:ascii="仿宋" w:hAnsi="仿宋" w:eastAsia="仿宋" w:cs="仿宋"/>
          <w:snapToGrid/>
          <w:kern w:val="2"/>
          <w:sz w:val="25"/>
          <w:szCs w:val="25"/>
          <w:u w:val="single"/>
          <w:lang w:eastAsia="zh-CN"/>
        </w:rPr>
        <w:t>30</w:t>
      </w:r>
      <w:r>
        <w:rPr>
          <w:rFonts w:hint="eastAsia" w:ascii="仿宋" w:hAnsi="仿宋" w:eastAsia="仿宋" w:cs="仿宋"/>
          <w:snapToGrid/>
          <w:kern w:val="2"/>
          <w:sz w:val="25"/>
          <w:szCs w:val="25"/>
          <w:lang w:eastAsia="zh-CN"/>
        </w:rPr>
        <w:t>天内双方完成完工结算。</w:t>
      </w:r>
    </w:p>
    <w:p w14:paraId="1F307BD3">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default" w:ascii="仿宋" w:hAnsi="仿宋" w:eastAsia="仿宋" w:cs="仿宋"/>
          <w:b/>
          <w:bCs/>
          <w:snapToGrid/>
          <w:kern w:val="2"/>
          <w:sz w:val="25"/>
          <w:szCs w:val="25"/>
          <w:lang w:val="en-US" w:eastAsia="zh-CN"/>
        </w:rPr>
      </w:pPr>
      <w:bookmarkStart w:id="35" w:name="_Toc21844"/>
      <w:r>
        <w:rPr>
          <w:rFonts w:hint="eastAsia" w:ascii="仿宋" w:hAnsi="仿宋" w:eastAsia="仿宋" w:cs="仿宋"/>
          <w:b/>
          <w:bCs/>
          <w:snapToGrid/>
          <w:kern w:val="2"/>
          <w:sz w:val="25"/>
          <w:szCs w:val="25"/>
          <w:lang w:eastAsia="zh-CN"/>
        </w:rPr>
        <w:t>十八、</w:t>
      </w:r>
      <w:r>
        <w:rPr>
          <w:rFonts w:hint="eastAsia" w:ascii="仿宋" w:hAnsi="仿宋" w:eastAsia="仿宋" w:cs="仿宋"/>
          <w:b/>
          <w:bCs/>
          <w:snapToGrid/>
          <w:kern w:val="2"/>
          <w:sz w:val="25"/>
          <w:szCs w:val="25"/>
          <w:lang w:val="en-US" w:eastAsia="zh-CN"/>
        </w:rPr>
        <w:t>质保</w:t>
      </w:r>
      <w:r>
        <w:rPr>
          <w:rFonts w:hint="eastAsia" w:ascii="仿宋" w:hAnsi="仿宋" w:eastAsia="仿宋" w:cs="仿宋"/>
          <w:b/>
          <w:bCs/>
          <w:snapToGrid/>
          <w:kern w:val="2"/>
          <w:sz w:val="25"/>
          <w:szCs w:val="25"/>
          <w:lang w:eastAsia="zh-CN"/>
        </w:rPr>
        <w:t>期</w:t>
      </w:r>
      <w:r>
        <w:rPr>
          <w:rFonts w:hint="eastAsia" w:ascii="仿宋" w:hAnsi="仿宋" w:eastAsia="仿宋" w:cs="仿宋"/>
          <w:b/>
          <w:bCs/>
          <w:snapToGrid/>
          <w:kern w:val="2"/>
          <w:sz w:val="25"/>
          <w:szCs w:val="25"/>
          <w:lang w:val="en-US" w:eastAsia="zh-CN"/>
        </w:rPr>
        <w:t>及缺陷责任期</w:t>
      </w:r>
      <w:bookmarkEnd w:id="35"/>
    </w:p>
    <w:p w14:paraId="1E09474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本合同</w:t>
      </w:r>
      <w:r>
        <w:rPr>
          <w:rFonts w:hint="eastAsia" w:ascii="仿宋" w:hAnsi="仿宋" w:eastAsia="仿宋" w:cs="仿宋"/>
          <w:snapToGrid/>
          <w:kern w:val="2"/>
          <w:sz w:val="25"/>
          <w:szCs w:val="25"/>
          <w:lang w:val="en-US" w:eastAsia="zh-CN"/>
        </w:rPr>
        <w:t>质保期同甲方与发包人签订的总包合同一致，</w:t>
      </w:r>
      <w:r>
        <w:rPr>
          <w:rFonts w:hint="eastAsia" w:ascii="仿宋" w:hAnsi="仿宋" w:eastAsia="仿宋" w:cs="仿宋"/>
          <w:snapToGrid/>
          <w:kern w:val="2"/>
          <w:sz w:val="25"/>
          <w:szCs w:val="25"/>
          <w:lang w:eastAsia="zh-CN"/>
        </w:rPr>
        <w:t>缺陷责任期2年，自竣工验收合格之日起算。</w:t>
      </w:r>
    </w:p>
    <w:p w14:paraId="3CF45BD0">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6" w:name="_Toc4274"/>
      <w:r>
        <w:rPr>
          <w:rFonts w:hint="eastAsia" w:ascii="仿宋" w:hAnsi="仿宋" w:eastAsia="仿宋" w:cs="仿宋"/>
          <w:b/>
          <w:bCs/>
          <w:snapToGrid/>
          <w:kern w:val="2"/>
          <w:sz w:val="25"/>
          <w:szCs w:val="25"/>
          <w:lang w:eastAsia="zh-CN"/>
        </w:rPr>
        <w:t>十九、保险及损失</w:t>
      </w:r>
      <w:bookmarkEnd w:id="36"/>
    </w:p>
    <w:p w14:paraId="347FB52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1、建筑工程一切险及第三者责任险：由甲方统一购买</w:t>
      </w:r>
      <w:r>
        <w:rPr>
          <w:rFonts w:hint="eastAsia" w:ascii="仿宋" w:hAnsi="仿宋" w:eastAsia="仿宋" w:cs="仿宋"/>
          <w:snapToGrid/>
          <w:kern w:val="2"/>
          <w:sz w:val="25"/>
          <w:szCs w:val="25"/>
          <w:lang w:val="en-US" w:eastAsia="zh-CN"/>
        </w:rPr>
        <w:t>并承担相应费用</w:t>
      </w:r>
      <w:r>
        <w:rPr>
          <w:rFonts w:hint="eastAsia" w:ascii="仿宋" w:hAnsi="仿宋" w:eastAsia="仿宋" w:cs="仿宋"/>
          <w:snapToGrid/>
          <w:kern w:val="2"/>
          <w:sz w:val="25"/>
          <w:szCs w:val="25"/>
          <w:lang w:eastAsia="zh-CN"/>
        </w:rPr>
        <w:t>。</w:t>
      </w:r>
    </w:p>
    <w:p w14:paraId="1E1986E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2</w:t>
      </w:r>
      <w:r>
        <w:rPr>
          <w:rFonts w:hint="eastAsia" w:ascii="仿宋" w:hAnsi="仿宋" w:eastAsia="仿宋" w:cs="仿宋"/>
          <w:snapToGrid/>
          <w:kern w:val="2"/>
          <w:sz w:val="25"/>
          <w:szCs w:val="25"/>
          <w:lang w:eastAsia="zh-CN"/>
        </w:rPr>
        <w:t>、因安全事故造成的人员致残或意外死亡，由乙方承担</w:t>
      </w:r>
      <w:r>
        <w:rPr>
          <w:rFonts w:hint="eastAsia" w:ascii="仿宋" w:hAnsi="仿宋" w:eastAsia="仿宋" w:cs="仿宋"/>
          <w:snapToGrid/>
          <w:kern w:val="2"/>
          <w:sz w:val="25"/>
          <w:szCs w:val="25"/>
          <w:lang w:val="en-US" w:eastAsia="zh-CN"/>
        </w:rPr>
        <w:t>全部责任</w:t>
      </w:r>
      <w:r>
        <w:rPr>
          <w:rFonts w:hint="eastAsia" w:ascii="仿宋" w:hAnsi="仿宋" w:eastAsia="仿宋" w:cs="仿宋"/>
          <w:snapToGrid/>
          <w:kern w:val="2"/>
          <w:sz w:val="25"/>
          <w:szCs w:val="25"/>
          <w:lang w:eastAsia="zh-CN"/>
        </w:rPr>
        <w:t>。乙方应充分考虑现场施工风险，为其雇佣的管理人员、劳务作业人员、机具等购买相应的补充保险。</w:t>
      </w:r>
    </w:p>
    <w:p w14:paraId="1010A1D7">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7" w:name="_Toc7229"/>
      <w:r>
        <w:rPr>
          <w:rFonts w:hint="eastAsia" w:ascii="仿宋" w:hAnsi="仿宋" w:eastAsia="仿宋" w:cs="仿宋"/>
          <w:b/>
          <w:bCs/>
          <w:snapToGrid/>
          <w:kern w:val="2"/>
          <w:sz w:val="25"/>
          <w:szCs w:val="25"/>
          <w:lang w:eastAsia="zh-CN"/>
        </w:rPr>
        <w:t>二十、违约责任</w:t>
      </w:r>
      <w:bookmarkEnd w:id="37"/>
    </w:p>
    <w:p w14:paraId="2286EB81">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(一)甲方违约责任</w:t>
      </w:r>
    </w:p>
    <w:p w14:paraId="05C917D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1、若由于甲方原因，未按照本合同约定的条件和期限付款，承担延期付款部分的同期银行存款利息。若由于业主原因造成甲方不能按期支付，甲方不承担任何责任，乙方应予充分理解。</w:t>
      </w:r>
    </w:p>
    <w:p w14:paraId="5288C0D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2、由于甲方原因造成乙方损失的，甲方应承担乙方直接经济损失的赔偿责任。</w:t>
      </w:r>
    </w:p>
    <w:p w14:paraId="74D5C01B">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(二)乙方违约责任</w:t>
      </w:r>
    </w:p>
    <w:p w14:paraId="72B848F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 xml:space="preserve">1、由于乙方原因导致施工进度滞后，甲方将以书面通知乙方加大资源投入、加强现场管理；如乙方仍未采取有力措施，甲方将再次以书面形式通知乙方限期 整改；如按照整改期限仍未采取有力措施，乙方在收到甲方通知后3日内必须无 条件退出工作面，甲方没收乙方履约保证金；如乙方原因给甲方造成损失的，损失由乙方承担。如乙方延迟交出工作面，乙方按 </w:t>
      </w:r>
      <w:r>
        <w:rPr>
          <w:rFonts w:hint="eastAsia" w:ascii="仿宋" w:hAnsi="仿宋" w:eastAsia="仿宋" w:cs="仿宋"/>
          <w:snapToGrid/>
          <w:kern w:val="2"/>
          <w:sz w:val="25"/>
          <w:szCs w:val="25"/>
          <w:u w:val="single"/>
          <w:lang w:eastAsia="zh-CN"/>
        </w:rPr>
        <w:t>10000</w:t>
      </w:r>
      <w:r>
        <w:rPr>
          <w:rFonts w:hint="eastAsia" w:ascii="仿宋" w:hAnsi="仿宋" w:eastAsia="仿宋" w:cs="仿宋"/>
          <w:snapToGrid/>
          <w:kern w:val="2"/>
          <w:sz w:val="25"/>
          <w:szCs w:val="25"/>
          <w:lang w:eastAsia="zh-CN"/>
        </w:rPr>
        <w:t>元/天的标准承担违约金，甲方保留追究乙方违约责任的权利。</w:t>
      </w:r>
    </w:p>
    <w:p w14:paraId="437CE9C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承诺签订合同后，需按甲方要求完成合同施工内容及工程量计价清单范围内的所有工作内容，如仅部分履行且在甲方要求完全履行合同义务后仍拒不履行的，甲方有权另行安排人员施工，且对乙方未履行部分处以该部分双倍合同额的罚款，自结算款中扣除，并没收乙方履约保证金，甲方保留追究乙方违约责任的权利。</w:t>
      </w:r>
    </w:p>
    <w:p w14:paraId="025B4A9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3、乙方不得转包本合同范围内工程。否则，甲方有权解除合同，没收乙方履约保证金，同时乙方还应承担由此造成甲方的全部损失。</w:t>
      </w:r>
    </w:p>
    <w:p w14:paraId="51A614B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4、乙方在施工中发生并被业主或监理认定、且具有充足证据的偷工减料行为时，甲方有权单方面解除合同，没收</w:t>
      </w:r>
      <w:r>
        <w:rPr>
          <w:rFonts w:hint="eastAsia" w:ascii="仿宋" w:hAnsi="仿宋" w:eastAsia="仿宋" w:cs="仿宋"/>
          <w:snapToGrid/>
          <w:kern w:val="2"/>
          <w:sz w:val="25"/>
          <w:szCs w:val="25"/>
          <w:lang w:val="en-US" w:eastAsia="zh-CN"/>
        </w:rPr>
        <w:t>乙方</w:t>
      </w:r>
      <w:r>
        <w:rPr>
          <w:rFonts w:hint="eastAsia" w:ascii="仿宋" w:hAnsi="仿宋" w:eastAsia="仿宋" w:cs="仿宋"/>
          <w:snapToGrid/>
          <w:kern w:val="2"/>
          <w:sz w:val="25"/>
          <w:szCs w:val="25"/>
          <w:lang w:eastAsia="zh-CN"/>
        </w:rPr>
        <w:t>履约保证金，同时乙方应承担由此给甲方造成的一切经济损失。</w:t>
      </w:r>
    </w:p>
    <w:p w14:paraId="19A0B9E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5、如发生乙方拖欠</w:t>
      </w:r>
      <w:r>
        <w:rPr>
          <w:rFonts w:hint="eastAsia" w:ascii="仿宋" w:hAnsi="仿宋" w:eastAsia="仿宋" w:cs="仿宋"/>
          <w:snapToGrid/>
          <w:kern w:val="2"/>
          <w:sz w:val="25"/>
          <w:szCs w:val="25"/>
          <w:lang w:val="en-US" w:eastAsia="zh-CN"/>
        </w:rPr>
        <w:t>工人</w:t>
      </w:r>
      <w:r>
        <w:rPr>
          <w:rFonts w:hint="eastAsia" w:ascii="仿宋" w:hAnsi="仿宋" w:eastAsia="仿宋" w:cs="仿宋"/>
          <w:snapToGrid/>
          <w:kern w:val="2"/>
          <w:sz w:val="25"/>
          <w:szCs w:val="25"/>
          <w:lang w:eastAsia="zh-CN"/>
        </w:rPr>
        <w:t>工资，乙方同意甲方从其工程款中扣除直接支付给乙方</w:t>
      </w:r>
      <w:r>
        <w:rPr>
          <w:rFonts w:hint="eastAsia" w:ascii="仿宋" w:hAnsi="仿宋" w:eastAsia="仿宋" w:cs="仿宋"/>
          <w:snapToGrid/>
          <w:kern w:val="2"/>
          <w:sz w:val="25"/>
          <w:szCs w:val="25"/>
          <w:lang w:val="en-US" w:eastAsia="zh-CN"/>
        </w:rPr>
        <w:t>工人</w:t>
      </w:r>
      <w:r>
        <w:rPr>
          <w:rFonts w:hint="eastAsia" w:ascii="仿宋" w:hAnsi="仿宋" w:eastAsia="仿宋" w:cs="仿宋"/>
          <w:snapToGrid/>
          <w:kern w:val="2"/>
          <w:sz w:val="25"/>
          <w:szCs w:val="25"/>
          <w:lang w:eastAsia="zh-CN"/>
        </w:rPr>
        <w:t>，不足以支付的部分乙方应当另行支付，同时乙方应承担违约金</w:t>
      </w:r>
      <w:r>
        <w:rPr>
          <w:rFonts w:hint="eastAsia" w:ascii="仿宋" w:hAnsi="仿宋" w:eastAsia="仿宋" w:cs="仿宋"/>
          <w:snapToGrid/>
          <w:kern w:val="2"/>
          <w:sz w:val="25"/>
          <w:szCs w:val="25"/>
          <w:u w:val="single"/>
          <w:lang w:eastAsia="zh-CN"/>
        </w:rPr>
        <w:t>5000</w:t>
      </w:r>
      <w:r>
        <w:rPr>
          <w:rFonts w:hint="eastAsia" w:ascii="仿宋" w:hAnsi="仿宋" w:eastAsia="仿宋" w:cs="仿宋"/>
          <w:snapToGrid/>
          <w:kern w:val="2"/>
          <w:sz w:val="25"/>
          <w:szCs w:val="25"/>
          <w:lang w:eastAsia="zh-CN"/>
        </w:rPr>
        <w:t>元/次。乙方拖欠或挪用农民工工资，造成甲方名誉受到严重影响 的，甲方有权单方面解除合同，没收乙方履约保证金，同时乙方应承担由此给甲 方造成的一切经济损失。</w:t>
      </w:r>
    </w:p>
    <w:p w14:paraId="1D3C1E2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6、甲乙双方终止或解除合同的，依法及依约定应当由乙方承担的一切责任均由其自行承担，由此给甲方造成损失的，甲方有权追究乙方的违约及赔偿责任。</w:t>
      </w:r>
    </w:p>
    <w:p w14:paraId="41464E3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7、乙方不能按合同工期竣工或工程质量达不到合同约定的质量标准或发生合同列举的健康、环境、安全等事故或不按合同约定履行其他义务、责任的，每发生一起承担违约金</w:t>
      </w:r>
      <w:r>
        <w:rPr>
          <w:rFonts w:hint="eastAsia" w:ascii="仿宋" w:hAnsi="仿宋" w:eastAsia="仿宋" w:cs="仿宋"/>
          <w:snapToGrid/>
          <w:kern w:val="2"/>
          <w:sz w:val="25"/>
          <w:szCs w:val="25"/>
          <w:u w:val="single"/>
          <w:lang w:eastAsia="zh-CN"/>
        </w:rPr>
        <w:t>5000</w:t>
      </w:r>
      <w:r>
        <w:rPr>
          <w:rFonts w:hint="eastAsia" w:ascii="仿宋" w:hAnsi="仿宋" w:eastAsia="仿宋" w:cs="仿宋"/>
          <w:snapToGrid/>
          <w:kern w:val="2"/>
          <w:sz w:val="25"/>
          <w:szCs w:val="25"/>
          <w:lang w:eastAsia="zh-CN"/>
        </w:rPr>
        <w:t>元。</w:t>
      </w:r>
    </w:p>
    <w:p w14:paraId="3F6BD7B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8、由于乙方原因不能继续履行合同，经甲、乙双方协商同意可以解除合同，但乙方应承担违约金合同金额的</w:t>
      </w:r>
      <w:r>
        <w:rPr>
          <w:rFonts w:hint="eastAsia" w:ascii="仿宋" w:hAnsi="仿宋" w:eastAsia="仿宋" w:cs="仿宋"/>
          <w:snapToGrid/>
          <w:kern w:val="2"/>
          <w:sz w:val="25"/>
          <w:szCs w:val="25"/>
          <w:u w:val="single"/>
          <w:lang w:val="en-US" w:eastAsia="zh-CN"/>
        </w:rPr>
        <w:t>5</w:t>
      </w:r>
      <w:r>
        <w:rPr>
          <w:rFonts w:hint="eastAsia" w:ascii="仿宋" w:hAnsi="仿宋" w:eastAsia="仿宋" w:cs="仿宋"/>
          <w:snapToGrid/>
          <w:kern w:val="2"/>
          <w:sz w:val="25"/>
          <w:szCs w:val="25"/>
          <w:lang w:val="en-US" w:eastAsia="zh-CN"/>
        </w:rPr>
        <w:t>%</w:t>
      </w:r>
      <w:r>
        <w:rPr>
          <w:rFonts w:hint="eastAsia" w:ascii="仿宋" w:hAnsi="仿宋" w:eastAsia="仿宋" w:cs="仿宋"/>
          <w:snapToGrid/>
          <w:kern w:val="2"/>
          <w:sz w:val="25"/>
          <w:szCs w:val="25"/>
          <w:lang w:eastAsia="zh-CN"/>
        </w:rPr>
        <w:t>及甲方由此发生的全部损失。甲方根据乙方履行情况推断出乙方无力继续履行本合同的，经甲方发出限期整改通知书后</w:t>
      </w:r>
      <w:r>
        <w:rPr>
          <w:rFonts w:hint="eastAsia" w:ascii="仿宋" w:hAnsi="仿宋" w:eastAsia="仿宋" w:cs="仿宋"/>
          <w:snapToGrid/>
          <w:kern w:val="2"/>
          <w:sz w:val="25"/>
          <w:szCs w:val="25"/>
          <w:u w:val="single"/>
          <w:lang w:val="en-US" w:eastAsia="zh-CN"/>
        </w:rPr>
        <w:t>3</w:t>
      </w:r>
      <w:r>
        <w:rPr>
          <w:rFonts w:hint="eastAsia" w:ascii="仿宋" w:hAnsi="仿宋" w:eastAsia="仿宋" w:cs="仿宋"/>
          <w:snapToGrid/>
          <w:kern w:val="2"/>
          <w:sz w:val="25"/>
          <w:szCs w:val="25"/>
          <w:lang w:eastAsia="zh-CN"/>
        </w:rPr>
        <w:t>天内仍未提供确保合同履行的措施、方案的，甲方有权解除合同，同时乙方还应承担违约金合同金额的</w:t>
      </w:r>
      <w:r>
        <w:rPr>
          <w:rFonts w:hint="eastAsia" w:ascii="仿宋" w:hAnsi="仿宋" w:eastAsia="仿宋" w:cs="仿宋"/>
          <w:snapToGrid/>
          <w:kern w:val="2"/>
          <w:sz w:val="25"/>
          <w:szCs w:val="25"/>
          <w:u w:val="single"/>
          <w:lang w:val="en-US" w:eastAsia="zh-CN"/>
        </w:rPr>
        <w:t>5</w:t>
      </w:r>
      <w:r>
        <w:rPr>
          <w:rFonts w:hint="eastAsia" w:ascii="仿宋" w:hAnsi="仿宋" w:eastAsia="仿宋" w:cs="仿宋"/>
          <w:snapToGrid/>
          <w:kern w:val="2"/>
          <w:sz w:val="25"/>
          <w:szCs w:val="25"/>
          <w:lang w:val="en-US" w:eastAsia="zh-CN"/>
        </w:rPr>
        <w:t>%</w:t>
      </w:r>
      <w:r>
        <w:rPr>
          <w:rFonts w:hint="eastAsia" w:ascii="仿宋" w:hAnsi="仿宋" w:eastAsia="仿宋" w:cs="仿宋"/>
          <w:snapToGrid/>
          <w:kern w:val="2"/>
          <w:sz w:val="25"/>
          <w:szCs w:val="25"/>
          <w:lang w:eastAsia="zh-CN"/>
        </w:rPr>
        <w:t>及由此造成甲方的全部损失。</w:t>
      </w:r>
    </w:p>
    <w:p w14:paraId="3874312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9、因乙方欠付第三方的材料款、租赁费等，导致第三方向甲方连带追偿，视为乙方违约，每发生一次乙方应承担违约金</w:t>
      </w:r>
      <w:r>
        <w:rPr>
          <w:rFonts w:hint="eastAsia" w:ascii="仿宋" w:hAnsi="仿宋" w:eastAsia="仿宋" w:cs="仿宋"/>
          <w:snapToGrid/>
          <w:kern w:val="2"/>
          <w:sz w:val="25"/>
          <w:szCs w:val="25"/>
          <w:u w:val="single"/>
          <w:lang w:eastAsia="zh-CN"/>
        </w:rPr>
        <w:t>3</w:t>
      </w:r>
      <w:r>
        <w:rPr>
          <w:rFonts w:hint="eastAsia" w:ascii="仿宋" w:hAnsi="仿宋" w:eastAsia="仿宋" w:cs="仿宋"/>
          <w:snapToGrid/>
          <w:kern w:val="2"/>
          <w:sz w:val="25"/>
          <w:szCs w:val="25"/>
          <w:lang w:eastAsia="zh-CN"/>
        </w:rPr>
        <w:t>万元，因此给甲方造成的损失，由乙方承担，甲方有权直接在劳务分包结算款中扣除。</w:t>
      </w:r>
    </w:p>
    <w:p w14:paraId="3D121D6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如乙方煽动农民工闹事或因乙方拖欠农民工工资、乙方未积极妥善处理所雇佣人员伤亡等原因导致聚众闹事时，均属乙方违约，甲方有权单方面解除合同，乙方承担由此增加的全部费用及因工期延误造成的甲方应当向业主承担的全 部违约及赔偿责任，乙方履约保证金不予退还。同时每发生一起，乙方应向甲方支付违约金</w:t>
      </w:r>
      <w:r>
        <w:rPr>
          <w:rFonts w:hint="eastAsia" w:ascii="仿宋" w:hAnsi="仿宋" w:eastAsia="仿宋" w:cs="仿宋"/>
          <w:i w:val="0"/>
          <w:iCs w:val="0"/>
          <w:snapToGrid/>
          <w:kern w:val="2"/>
          <w:sz w:val="25"/>
          <w:szCs w:val="25"/>
          <w:u w:val="single"/>
          <w:lang w:val="en-US" w:eastAsia="zh-CN"/>
        </w:rPr>
        <w:t>5</w:t>
      </w:r>
      <w:r>
        <w:rPr>
          <w:rFonts w:hint="eastAsia" w:ascii="仿宋" w:hAnsi="仿宋" w:eastAsia="仿宋" w:cs="仿宋"/>
          <w:i w:val="0"/>
          <w:iCs w:val="0"/>
          <w:snapToGrid/>
          <w:kern w:val="2"/>
          <w:sz w:val="25"/>
          <w:szCs w:val="25"/>
          <w:u w:val="single"/>
          <w:lang w:eastAsia="zh-CN"/>
        </w:rPr>
        <w:t>000</w:t>
      </w:r>
      <w:r>
        <w:rPr>
          <w:rFonts w:hint="eastAsia" w:ascii="仿宋" w:hAnsi="仿宋" w:eastAsia="仿宋" w:cs="仿宋"/>
          <w:i w:val="0"/>
          <w:iCs w:val="0"/>
          <w:snapToGrid/>
          <w:kern w:val="2"/>
          <w:sz w:val="25"/>
          <w:szCs w:val="25"/>
          <w:u w:val="single"/>
          <w:lang w:val="en-US" w:eastAsia="zh-CN"/>
        </w:rPr>
        <w:t>0</w:t>
      </w:r>
      <w:r>
        <w:rPr>
          <w:rFonts w:hint="eastAsia" w:ascii="仿宋" w:hAnsi="仿宋" w:eastAsia="仿宋" w:cs="仿宋"/>
          <w:snapToGrid/>
          <w:kern w:val="2"/>
          <w:sz w:val="25"/>
          <w:szCs w:val="25"/>
          <w:lang w:eastAsia="zh-CN"/>
        </w:rPr>
        <w:t>元。</w:t>
      </w:r>
    </w:p>
    <w:p w14:paraId="037B823D">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(三)违约金总额限制</w:t>
      </w:r>
    </w:p>
    <w:p w14:paraId="06D94B2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本合同执行期间对乙方有关的违约金总额不得大于合同额(完工结算总额 ) 的</w:t>
      </w:r>
      <w:r>
        <w:rPr>
          <w:rFonts w:hint="eastAsia" w:ascii="仿宋" w:hAnsi="仿宋" w:eastAsia="仿宋" w:cs="仿宋"/>
          <w:snapToGrid/>
          <w:kern w:val="2"/>
          <w:sz w:val="25"/>
          <w:szCs w:val="25"/>
          <w:u w:val="single"/>
          <w:lang w:val="en-US" w:eastAsia="zh-CN"/>
        </w:rPr>
        <w:t>15</w:t>
      </w:r>
      <w:r>
        <w:rPr>
          <w:rFonts w:hint="eastAsia" w:ascii="仿宋" w:hAnsi="仿宋" w:eastAsia="仿宋" w:cs="仿宋"/>
          <w:snapToGrid/>
          <w:kern w:val="2"/>
          <w:sz w:val="25"/>
          <w:szCs w:val="25"/>
          <w:lang w:eastAsia="zh-CN"/>
        </w:rPr>
        <w:t>%。</w:t>
      </w:r>
    </w:p>
    <w:p w14:paraId="5A114651">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8" w:name="_Toc26014"/>
      <w:r>
        <w:rPr>
          <w:rFonts w:hint="eastAsia" w:ascii="仿宋" w:hAnsi="仿宋" w:eastAsia="仿宋" w:cs="仿宋"/>
          <w:b/>
          <w:bCs/>
          <w:snapToGrid/>
          <w:kern w:val="2"/>
          <w:sz w:val="25"/>
          <w:szCs w:val="25"/>
          <w:lang w:eastAsia="zh-CN"/>
        </w:rPr>
        <w:t>二十一、争议解决</w:t>
      </w:r>
      <w:bookmarkEnd w:id="38"/>
    </w:p>
    <w:p w14:paraId="250CEE1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1、凡因本合同引起的或与本合同有关的任何争议，由双方协商解决；协商未果时，向</w:t>
      </w:r>
      <w:r>
        <w:rPr>
          <w:rFonts w:hint="eastAsia" w:ascii="仿宋" w:hAnsi="仿宋" w:eastAsia="仿宋" w:cs="仿宋"/>
          <w:snapToGrid/>
          <w:kern w:val="2"/>
          <w:sz w:val="25"/>
          <w:szCs w:val="25"/>
          <w:lang w:val="en-US" w:eastAsia="zh-CN"/>
        </w:rPr>
        <w:t>工程</w:t>
      </w:r>
      <w:r>
        <w:rPr>
          <w:rFonts w:hint="eastAsia" w:ascii="仿宋" w:hAnsi="仿宋" w:eastAsia="仿宋" w:cs="仿宋"/>
          <w:snapToGrid/>
          <w:kern w:val="2"/>
          <w:sz w:val="25"/>
          <w:szCs w:val="25"/>
          <w:lang w:eastAsia="zh-CN"/>
        </w:rPr>
        <w:t>所在地的人民法院提起诉讼。</w:t>
      </w:r>
    </w:p>
    <w:p w14:paraId="534269A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合同履行过程中发生争议，不得影响与争议无关或不受影响义务的履行，但经甲方同意的不在此限。若乙方因争议暂停施工，且经调查后被认定为理由不充分的，乙方不得就暂停履行部分要求延长履约期限或免除合同责任，并应承担因此造成甲方的损失。</w:t>
      </w:r>
    </w:p>
    <w:p w14:paraId="734CD2DA">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39" w:name="_Toc5795"/>
      <w:r>
        <w:rPr>
          <w:rFonts w:hint="eastAsia" w:ascii="仿宋" w:hAnsi="仿宋" w:eastAsia="仿宋" w:cs="仿宋"/>
          <w:b/>
          <w:bCs/>
          <w:snapToGrid/>
          <w:kern w:val="2"/>
          <w:sz w:val="25"/>
          <w:szCs w:val="25"/>
          <w:lang w:eastAsia="zh-CN"/>
        </w:rPr>
        <w:t>二十二、特别约定</w:t>
      </w:r>
      <w:bookmarkEnd w:id="39"/>
    </w:p>
    <w:p w14:paraId="4306A72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乙双方的本工程项目负责人必须是各自单位的法定代表人或取得书面授权的委托代理人，在其授权范围内负责履行本合同项目的相关权利义务。未取得书面授权的其他人员或委托代理人超出授权范围签署的文件资料，一律不得作为任何结算及认定事实的依据。</w:t>
      </w:r>
    </w:p>
    <w:p w14:paraId="3BD36B0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2、因甲方企业文化建设需要，乙方人员、设备使用甲方标志时，不代表设备为甲方所有，也不代表乙方人员与甲方有任何劳动关系。</w:t>
      </w:r>
    </w:p>
    <w:p w14:paraId="5584A90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3、乙方应按甲方的质量、环境、健康要求和认证体系运行，执行甲方相关的体系文件和管理办法，并签订《环境与职业健康安全管理责任书》,系本合同 的组成部分，双方须按其规定执行。</w:t>
      </w:r>
    </w:p>
    <w:p w14:paraId="38DCFDB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4、本合同履约中甲乙双方往来的通知、指示、要求、确认、决定等均应以书面函件为准；紧急情况下可以先口头通知，后补充书面材料；并应送达约定地点和办理签收手续。</w:t>
      </w:r>
    </w:p>
    <w:p w14:paraId="36A43137">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40" w:name="_Toc10378"/>
      <w:r>
        <w:rPr>
          <w:rFonts w:hint="eastAsia" w:ascii="仿宋" w:hAnsi="仿宋" w:eastAsia="仿宋" w:cs="仿宋"/>
          <w:b/>
          <w:bCs/>
          <w:snapToGrid/>
          <w:kern w:val="2"/>
          <w:sz w:val="25"/>
          <w:szCs w:val="25"/>
          <w:lang w:eastAsia="zh-CN"/>
        </w:rPr>
        <w:t>二十三、附则</w:t>
      </w:r>
      <w:bookmarkEnd w:id="40"/>
    </w:p>
    <w:p w14:paraId="6C70972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1、本合同未尽事宜由双方友好协商解决，并签订补充协议。</w:t>
      </w:r>
    </w:p>
    <w:p w14:paraId="7F5B8C1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2、本合同一式</w:t>
      </w:r>
      <w:r>
        <w:rPr>
          <w:rFonts w:hint="eastAsia" w:ascii="仿宋" w:hAnsi="仿宋" w:eastAsia="仿宋" w:cs="仿宋"/>
          <w:b/>
          <w:bCs/>
          <w:snapToGrid/>
          <w:kern w:val="2"/>
          <w:sz w:val="25"/>
          <w:szCs w:val="25"/>
          <w:u w:val="single"/>
          <w:lang w:val="en-US" w:eastAsia="zh-CN"/>
        </w:rPr>
        <w:t xml:space="preserve"> 陆 </w:t>
      </w:r>
      <w:r>
        <w:rPr>
          <w:rFonts w:hint="eastAsia" w:ascii="仿宋" w:hAnsi="仿宋" w:eastAsia="仿宋" w:cs="仿宋"/>
          <w:snapToGrid/>
          <w:kern w:val="2"/>
          <w:sz w:val="25"/>
          <w:szCs w:val="25"/>
          <w:lang w:eastAsia="zh-CN"/>
        </w:rPr>
        <w:t>份，其中，甲方执</w:t>
      </w:r>
      <w:r>
        <w:rPr>
          <w:rFonts w:hint="eastAsia" w:ascii="仿宋" w:hAnsi="仿宋" w:eastAsia="仿宋" w:cs="仿宋"/>
          <w:b/>
          <w:bCs/>
          <w:snapToGrid/>
          <w:kern w:val="2"/>
          <w:sz w:val="25"/>
          <w:szCs w:val="25"/>
          <w:u w:val="single"/>
          <w:lang w:eastAsia="zh-CN"/>
        </w:rPr>
        <w:t xml:space="preserve"> 肆 </w:t>
      </w:r>
      <w:r>
        <w:rPr>
          <w:rFonts w:hint="eastAsia" w:ascii="仿宋" w:hAnsi="仿宋" w:eastAsia="仿宋" w:cs="仿宋"/>
          <w:snapToGrid/>
          <w:kern w:val="2"/>
          <w:sz w:val="25"/>
          <w:szCs w:val="25"/>
          <w:lang w:eastAsia="zh-CN"/>
        </w:rPr>
        <w:t>份，乙方执</w:t>
      </w:r>
      <w:r>
        <w:rPr>
          <w:rFonts w:hint="eastAsia" w:ascii="仿宋" w:hAnsi="仿宋" w:eastAsia="仿宋" w:cs="仿宋"/>
          <w:b/>
          <w:bCs/>
          <w:snapToGrid/>
          <w:kern w:val="2"/>
          <w:sz w:val="25"/>
          <w:szCs w:val="25"/>
          <w:u w:val="single"/>
          <w:lang w:eastAsia="zh-CN"/>
        </w:rPr>
        <w:t xml:space="preserve"> </w:t>
      </w:r>
      <w:r>
        <w:rPr>
          <w:rFonts w:hint="eastAsia" w:ascii="仿宋" w:hAnsi="仿宋" w:eastAsia="仿宋" w:cs="仿宋"/>
          <w:b/>
          <w:bCs/>
          <w:snapToGrid/>
          <w:kern w:val="2"/>
          <w:sz w:val="25"/>
          <w:szCs w:val="25"/>
          <w:u w:val="single"/>
          <w:lang w:val="en-US" w:eastAsia="zh-CN"/>
        </w:rPr>
        <w:t xml:space="preserve">贰 </w:t>
      </w:r>
      <w:r>
        <w:rPr>
          <w:rFonts w:hint="eastAsia" w:ascii="仿宋" w:hAnsi="仿宋" w:eastAsia="仿宋" w:cs="仿宋"/>
          <w:snapToGrid/>
          <w:kern w:val="2"/>
          <w:sz w:val="25"/>
          <w:szCs w:val="25"/>
          <w:lang w:eastAsia="zh-CN"/>
        </w:rPr>
        <w:t>份，自双方签字盖章后生效。</w:t>
      </w:r>
    </w:p>
    <w:p w14:paraId="63BD13C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054720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B1D274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95A09C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C6D223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tbl>
      <w:tblPr>
        <w:tblStyle w:val="14"/>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49326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center"/>
          </w:tcPr>
          <w:p w14:paraId="1EC781E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甲方：</w:t>
            </w:r>
            <w:r>
              <w:rPr>
                <w:rFonts w:hint="eastAsia" w:ascii="仿宋" w:hAnsi="仿宋" w:eastAsia="仿宋" w:cs="仿宋"/>
                <w:b/>
                <w:bCs/>
                <w:snapToGrid/>
                <w:kern w:val="2"/>
                <w:sz w:val="25"/>
                <w:szCs w:val="25"/>
                <w:lang w:val="en-US" w:eastAsia="zh-CN"/>
              </w:rPr>
              <w:t>四川振西建设</w:t>
            </w:r>
            <w:r>
              <w:rPr>
                <w:rFonts w:hint="eastAsia" w:ascii="仿宋" w:hAnsi="仿宋" w:eastAsia="仿宋" w:cs="仿宋"/>
                <w:b/>
                <w:bCs/>
                <w:snapToGrid/>
                <w:kern w:val="2"/>
                <w:sz w:val="25"/>
                <w:szCs w:val="25"/>
                <w:lang w:eastAsia="zh-CN"/>
              </w:rPr>
              <w:t>有限公司</w:t>
            </w:r>
          </w:p>
        </w:tc>
        <w:tc>
          <w:tcPr>
            <w:tcW w:w="4332" w:type="dxa"/>
            <w:tcBorders>
              <w:tl2br w:val="nil"/>
              <w:tr2bl w:val="nil"/>
            </w:tcBorders>
            <w:noWrap w:val="0"/>
            <w:vAlign w:val="center"/>
          </w:tcPr>
          <w:p w14:paraId="547C51B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乙方：</w:t>
            </w:r>
            <w:r>
              <w:rPr>
                <w:rFonts w:hint="eastAsia" w:ascii="仿宋" w:hAnsi="仿宋" w:eastAsia="仿宋" w:cs="仿宋"/>
                <w:b/>
                <w:bCs/>
                <w:color w:val="auto"/>
                <w:sz w:val="24"/>
                <w:szCs w:val="24"/>
                <w:lang w:val="en-US" w:eastAsia="zh-CN"/>
              </w:rPr>
              <w:t>xxx</w:t>
            </w:r>
          </w:p>
        </w:tc>
      </w:tr>
      <w:tr w14:paraId="0B77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59A43E0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c>
          <w:tcPr>
            <w:tcW w:w="4332" w:type="dxa"/>
            <w:tcBorders>
              <w:tl2br w:val="nil"/>
              <w:tr2bl w:val="nil"/>
            </w:tcBorders>
            <w:noWrap w:val="0"/>
            <w:vAlign w:val="center"/>
          </w:tcPr>
          <w:p w14:paraId="192DE794">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r>
      <w:tr w14:paraId="1A13F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center"/>
          </w:tcPr>
          <w:p w14:paraId="61E24DFF">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开户银行：四川银行股份有限公司凉山分行营业部</w:t>
            </w:r>
          </w:p>
        </w:tc>
        <w:tc>
          <w:tcPr>
            <w:tcW w:w="4332" w:type="dxa"/>
            <w:tcBorders>
              <w:tl2br w:val="nil"/>
              <w:tr2bl w:val="nil"/>
            </w:tcBorders>
            <w:noWrap w:val="0"/>
            <w:vAlign w:val="center"/>
          </w:tcPr>
          <w:p w14:paraId="4C81CCC9">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开户银行：</w:t>
            </w:r>
            <w:r>
              <w:rPr>
                <w:rFonts w:hint="eastAsia" w:ascii="仿宋" w:hAnsi="仿宋" w:eastAsia="仿宋" w:cs="仿宋"/>
                <w:color w:val="auto"/>
                <w:sz w:val="24"/>
                <w:szCs w:val="24"/>
                <w:lang w:val="en-US" w:eastAsia="zh-CN"/>
              </w:rPr>
              <w:t>xxxx</w:t>
            </w:r>
          </w:p>
        </w:tc>
      </w:tr>
      <w:tr w14:paraId="5BEB4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269DD4A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账号：06010303000007276</w:t>
            </w:r>
          </w:p>
        </w:tc>
        <w:tc>
          <w:tcPr>
            <w:tcW w:w="4332" w:type="dxa"/>
            <w:tcBorders>
              <w:tl2br w:val="nil"/>
              <w:tr2bl w:val="nil"/>
            </w:tcBorders>
            <w:noWrap w:val="0"/>
            <w:vAlign w:val="center"/>
          </w:tcPr>
          <w:p w14:paraId="25138D6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帐号：</w:t>
            </w:r>
            <w:r>
              <w:rPr>
                <w:rFonts w:hint="eastAsia" w:ascii="仿宋" w:hAnsi="仿宋" w:eastAsia="仿宋" w:cs="仿宋"/>
                <w:color w:val="auto"/>
                <w:sz w:val="24"/>
                <w:szCs w:val="24"/>
                <w:lang w:val="en-US" w:eastAsia="zh-CN"/>
              </w:rPr>
              <w:t>xxxx</w:t>
            </w:r>
          </w:p>
        </w:tc>
      </w:tr>
      <w:tr w14:paraId="54602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center"/>
          </w:tcPr>
          <w:p w14:paraId="7BE7C164">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注册地址：西昌市长安东路53号3幢2楼</w:t>
            </w:r>
          </w:p>
        </w:tc>
        <w:tc>
          <w:tcPr>
            <w:tcW w:w="4332" w:type="dxa"/>
            <w:tcBorders>
              <w:tl2br w:val="nil"/>
              <w:tr2bl w:val="nil"/>
            </w:tcBorders>
            <w:noWrap w:val="0"/>
            <w:vAlign w:val="center"/>
          </w:tcPr>
          <w:p w14:paraId="31104B2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w:t>
            </w:r>
            <w:r>
              <w:rPr>
                <w:rFonts w:hint="eastAsia" w:ascii="仿宋" w:hAnsi="仿宋" w:eastAsia="仿宋" w:cs="仿宋"/>
                <w:color w:val="auto"/>
                <w:sz w:val="24"/>
                <w:szCs w:val="24"/>
                <w:lang w:val="en-US" w:eastAsia="zh-CN"/>
              </w:rPr>
              <w:t>xxxx</w:t>
            </w:r>
          </w:p>
        </w:tc>
      </w:tr>
      <w:tr w14:paraId="04C15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center"/>
          </w:tcPr>
          <w:p w14:paraId="3ED57534">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签订地点：</w:t>
            </w:r>
            <w:r>
              <w:rPr>
                <w:rFonts w:hint="eastAsia" w:ascii="仿宋" w:hAnsi="仿宋" w:eastAsia="仿宋" w:cs="仿宋"/>
                <w:snapToGrid/>
                <w:kern w:val="2"/>
                <w:sz w:val="25"/>
                <w:szCs w:val="25"/>
                <w:lang w:val="en-US" w:eastAsia="zh-CN"/>
              </w:rPr>
              <w:t>四川省西昌市</w:t>
            </w:r>
          </w:p>
        </w:tc>
      </w:tr>
      <w:tr w14:paraId="5EAC7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center"/>
          </w:tcPr>
          <w:p w14:paraId="09421050">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签订日期：</w:t>
            </w:r>
            <w:r>
              <w:rPr>
                <w:rFonts w:hint="eastAsia" w:ascii="仿宋" w:hAnsi="仿宋" w:eastAsia="仿宋" w:cs="仿宋"/>
                <w:snapToGrid/>
                <w:kern w:val="2"/>
                <w:sz w:val="25"/>
                <w:szCs w:val="25"/>
                <w:lang w:val="en-US" w:eastAsia="zh-CN"/>
              </w:rPr>
              <w:t>2026</w:t>
            </w:r>
            <w:r>
              <w:rPr>
                <w:rFonts w:hint="eastAsia" w:ascii="仿宋" w:hAnsi="仿宋" w:eastAsia="仿宋" w:cs="仿宋"/>
                <w:snapToGrid/>
                <w:kern w:val="2"/>
                <w:sz w:val="25"/>
                <w:szCs w:val="25"/>
                <w:lang w:eastAsia="zh-CN"/>
              </w:rPr>
              <w:t xml:space="preserve"> 年 </w:t>
            </w:r>
            <w:r>
              <w:rPr>
                <w:rFonts w:hint="eastAsia" w:ascii="仿宋" w:hAnsi="仿宋" w:eastAsia="仿宋" w:cs="仿宋"/>
                <w:snapToGrid/>
                <w:kern w:val="2"/>
                <w:sz w:val="25"/>
                <w:szCs w:val="25"/>
                <w:lang w:val="en-US" w:eastAsia="zh-CN"/>
              </w:rPr>
              <w:t>1</w:t>
            </w:r>
            <w:r>
              <w:rPr>
                <w:rFonts w:hint="eastAsia" w:ascii="仿宋" w:hAnsi="仿宋" w:eastAsia="仿宋" w:cs="仿宋"/>
                <w:snapToGrid/>
                <w:kern w:val="2"/>
                <w:sz w:val="25"/>
                <w:szCs w:val="25"/>
                <w:lang w:eastAsia="zh-CN"/>
              </w:rPr>
              <w:t xml:space="preserve">月 </w:t>
            </w:r>
            <w:r>
              <w:rPr>
                <w:rFonts w:hint="eastAsia" w:ascii="仿宋" w:hAnsi="仿宋" w:eastAsia="仿宋" w:cs="仿宋"/>
                <w:snapToGrid/>
                <w:kern w:val="2"/>
                <w:sz w:val="25"/>
                <w:szCs w:val="25"/>
                <w:lang w:val="en-US" w:eastAsia="zh-CN"/>
              </w:rPr>
              <w:t xml:space="preserve">23 </w:t>
            </w:r>
            <w:r>
              <w:rPr>
                <w:rFonts w:hint="eastAsia" w:ascii="仿宋" w:hAnsi="仿宋" w:eastAsia="仿宋" w:cs="仿宋"/>
                <w:snapToGrid/>
                <w:kern w:val="2"/>
                <w:sz w:val="25"/>
                <w:szCs w:val="25"/>
                <w:lang w:eastAsia="zh-CN"/>
              </w:rPr>
              <w:t>日</w:t>
            </w:r>
          </w:p>
        </w:tc>
      </w:tr>
    </w:tbl>
    <w:p w14:paraId="0D293E98">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mc:AlternateContent>
          <mc:Choice Requires="wps">
            <w:drawing>
              <wp:anchor distT="0" distB="0" distL="114300" distR="114300" simplePos="0" relativeHeight="251660288" behindDoc="0" locked="0" layoutInCell="1" allowOverlap="1">
                <wp:simplePos x="0" y="0"/>
                <wp:positionH relativeFrom="column">
                  <wp:posOffset>2772410</wp:posOffset>
                </wp:positionH>
                <wp:positionV relativeFrom="paragraph">
                  <wp:posOffset>66040</wp:posOffset>
                </wp:positionV>
                <wp:extent cx="355600" cy="21844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355600" cy="218440"/>
                        </a:xfrm>
                        <a:prstGeom prst="rect">
                          <a:avLst/>
                        </a:prstGeom>
                        <a:noFill/>
                        <a:ln>
                          <a:noFill/>
                        </a:ln>
                      </wps:spPr>
                      <wps:txbx>
                        <w:txbxContent>
                          <w:p w14:paraId="2E7D2E7C"/>
                        </w:txbxContent>
                      </wps:txbx>
                      <wps:bodyPr lIns="0" tIns="0" rIns="0" bIns="0" upright="1"/>
                    </wps:wsp>
                  </a:graphicData>
                </a:graphic>
              </wp:anchor>
            </w:drawing>
          </mc:Choice>
          <mc:Fallback>
            <w:pict>
              <v:shape id="_x0000_s1026" o:spid="_x0000_s1026" o:spt="202" type="#_x0000_t202" style="position:absolute;left:0pt;margin-left:218.3pt;margin-top:5.2pt;height:17.2pt;width:28pt;z-index:251660288;mso-width-relative:page;mso-height-relative:page;" filled="f" stroked="f" coordsize="21600,21600" o:gfxdata="UEsDBAoAAAAAAIdO4kAAAAAAAAAAAAAAAAAEAAAAZHJzL1BLAwQUAAAACACHTuJAuj3ZTtcAAAAJ&#10;AQAADwAAAGRycy9kb3ducmV2LnhtbE2PzU7DMBCE70i8g7VI3KjdEkVtiFMhBCckRBoOHJ14m1iN&#10;1yF2f3h7lhPcdndGs9+U24sfxQnn6AJpWC4UCKQuWEe9ho/m5W4NIiZD1oyBUMM3RthW11elKWw4&#10;U42nXeoFh1AsjIYhpamQMnYDehMXYUJibR9mbxKvcy/tbM4c7ke5UiqX3jjiD4OZ8GnA7rA7eg2P&#10;n1Q/u6+39r3e165pNope84PWtzdL9QAi4SX9meEXn9GhYqY2HMlGMWrI7vOcrSyoDAQbss2KDy0P&#10;2RpkVcr/DaofUEsDBBQAAAAIAIdO4kAKRgO5uwEAAHMDAAAOAAAAZHJzL2Uyb0RvYy54bWytU82O&#10;0zAQviPxDpbv1GnZXa2ipiuhahESAqSFB3Adp7HkP824TfoC8AacuHDnufocjN2mC8tlD1ycyczk&#10;m+/7xlnejc6yvQY0wTd8Pqs4016F1vhtw798vn91yxkm6Vtpg9cNP2jkd6uXL5ZDrPUi9MG2GhiB&#10;eKyH2PA+pVgLgarXTuIsRO2p2AVwMtErbEULciB0Z8Wiqm7EEKCNEJRGpOz6VORnRHgOYOg6o/Q6&#10;qJ3TPp1QQVuZSBL2JiJfFbZdp1X62HWoE7MNJ6WpnDSE4k0+xWop6y3I2Bt1piCfQ+GJJieNp6EX&#10;qLVMku3A/APljIKAoUszFZw4CSmOkIp59cSbh15GXbSQ1RgvpuP/g1Uf9p+AmZZuwpwzLx1t/Pj9&#10;2/HHr+PPr4xyZNAQsaa+h0idaXwTRmqe8kjJrHvswOUnKWJUJ3sPF3v1mJii5Ovr65uKKopKi/nt&#10;1VWxXzx+HAHTWx0cy0HDgbZXTJX795iICLVOLXmWD/fG2rJB6/9KUGPOiMz8xDBHadyMZzmb0B5I&#10;jX3nyct8L6YApmAzBbsIZtsTnaK5QNIuCpnzvcnL/vO9DH78V1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o92U7XAAAACQEAAA8AAAAAAAAAAQAgAAAAIgAAAGRycy9kb3ducmV2LnhtbFBLAQIU&#10;ABQAAAAIAIdO4kAKRgO5uwEAAHMDAAAOAAAAAAAAAAEAIAAAACYBAABkcnMvZTJvRG9jLnhtbFBL&#10;BQYAAAAABgAGAFkBAABTBQAAAAA=&#10;">
                <v:fill on="f" focussize="0,0"/>
                <v:stroke on="f"/>
                <v:imagedata o:title=""/>
                <o:lock v:ext="edit" aspectratio="f"/>
                <v:textbox inset="0mm,0mm,0mm,0mm">
                  <w:txbxContent>
                    <w:p w14:paraId="2E7D2E7C"/>
                  </w:txbxContent>
                </v:textbox>
              </v:shape>
            </w:pict>
          </mc:Fallback>
        </mc:AlternateContent>
      </w:r>
      <w:bookmarkStart w:id="41" w:name="_Toc24223"/>
    </w:p>
    <w:p w14:paraId="219DA02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BCB52AF">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p>
    <w:p w14:paraId="12191F7C">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r>
        <w:rPr>
          <w:rFonts w:hint="eastAsia" w:ascii="仿宋" w:hAnsi="仿宋" w:eastAsia="仿宋" w:cs="仿宋"/>
          <w:b/>
          <w:bCs/>
          <w:snapToGrid/>
          <w:kern w:val="2"/>
          <w:sz w:val="25"/>
          <w:szCs w:val="25"/>
          <w:lang w:eastAsia="zh-CN"/>
        </w:rPr>
        <w:t>合同附件</w:t>
      </w:r>
      <w:bookmarkEnd w:id="41"/>
    </w:p>
    <w:p w14:paraId="168CB57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1、授权委托书</w:t>
      </w:r>
    </w:p>
    <w:p w14:paraId="6F976C2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2</w:t>
      </w:r>
      <w:r>
        <w:rPr>
          <w:rFonts w:hint="eastAsia" w:ascii="仿宋" w:hAnsi="仿宋" w:eastAsia="仿宋" w:cs="仿宋"/>
          <w:snapToGrid/>
          <w:kern w:val="2"/>
          <w:sz w:val="25"/>
          <w:szCs w:val="25"/>
          <w:lang w:eastAsia="zh-CN"/>
        </w:rPr>
        <w:t>、工程量计价清单</w:t>
      </w:r>
    </w:p>
    <w:p w14:paraId="03F7928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3</w:t>
      </w:r>
      <w:r>
        <w:rPr>
          <w:rFonts w:hint="eastAsia" w:ascii="仿宋" w:hAnsi="仿宋" w:eastAsia="仿宋" w:cs="仿宋"/>
          <w:snapToGrid/>
          <w:kern w:val="2"/>
          <w:sz w:val="25"/>
          <w:szCs w:val="25"/>
          <w:lang w:eastAsia="zh-CN"/>
        </w:rPr>
        <w:t>、环境与职业健康安全管理责任书</w:t>
      </w:r>
    </w:p>
    <w:p w14:paraId="5851B72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4</w:t>
      </w:r>
      <w:r>
        <w:rPr>
          <w:rFonts w:hint="eastAsia" w:ascii="仿宋" w:hAnsi="仿宋" w:eastAsia="仿宋" w:cs="仿宋"/>
          <w:snapToGrid/>
          <w:kern w:val="2"/>
          <w:sz w:val="25"/>
          <w:szCs w:val="25"/>
          <w:lang w:eastAsia="zh-CN"/>
        </w:rPr>
        <w:t>、保廉合同</w:t>
      </w:r>
    </w:p>
    <w:p w14:paraId="77AF04B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5</w:t>
      </w:r>
      <w:r>
        <w:rPr>
          <w:rFonts w:hint="eastAsia" w:ascii="仿宋" w:hAnsi="仿宋" w:eastAsia="仿宋" w:cs="仿宋"/>
          <w:snapToGrid/>
          <w:kern w:val="2"/>
          <w:sz w:val="25"/>
          <w:szCs w:val="25"/>
          <w:lang w:eastAsia="zh-CN"/>
        </w:rPr>
        <w:t>、农民工工资支付保障承诺书</w:t>
      </w:r>
    </w:p>
    <w:p w14:paraId="7A8BAD9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sectPr>
          <w:headerReference r:id="rId7" w:type="default"/>
          <w:footerReference r:id="rId8" w:type="default"/>
          <w:pgSz w:w="11900" w:h="16830"/>
          <w:pgMar w:top="1417" w:right="1803" w:bottom="1417" w:left="1803" w:header="850" w:footer="992" w:gutter="0"/>
          <w:pgNumType w:fmt="decimal"/>
          <w:cols w:equalWidth="0" w:num="1">
            <w:col w:w="9275"/>
          </w:cols>
          <w:rtlGutter w:val="0"/>
          <w:docGrid w:type="lines" w:linePitch="437" w:charSpace="0"/>
        </w:sectPr>
      </w:pPr>
      <w:r>
        <w:rPr>
          <w:rFonts w:hint="eastAsia" w:ascii="仿宋" w:hAnsi="仿宋" w:eastAsia="仿宋" w:cs="仿宋"/>
          <w:snapToGrid/>
          <w:kern w:val="2"/>
          <w:sz w:val="25"/>
          <w:szCs w:val="25"/>
          <w:lang w:val="en-US" w:eastAsia="zh-CN"/>
        </w:rPr>
        <w:t>6</w:t>
      </w:r>
      <w:r>
        <w:rPr>
          <w:rFonts w:hint="eastAsia" w:ascii="仿宋" w:hAnsi="仿宋" w:eastAsia="仿宋" w:cs="仿宋"/>
          <w:snapToGrid/>
          <w:kern w:val="2"/>
          <w:sz w:val="25"/>
          <w:szCs w:val="25"/>
          <w:lang w:eastAsia="zh-CN"/>
        </w:rPr>
        <w:t>、其他附件(如有)</w:t>
      </w:r>
    </w:p>
    <w:p w14:paraId="4FB30CB0">
      <w:pPr>
        <w:pStyle w:val="3"/>
        <w:numPr>
          <w:ilvl w:val="3"/>
          <w:numId w:val="0"/>
        </w:numPr>
        <w:ind w:leftChars="0"/>
        <w:outlineLvl w:val="0"/>
        <w:rPr>
          <w:rFonts w:hint="default" w:ascii="Cambria" w:hAnsi="Cambria" w:eastAsia="仿宋"/>
          <w:sz w:val="32"/>
          <w:szCs w:val="22"/>
        </w:rPr>
      </w:pPr>
      <w:bookmarkStart w:id="42" w:name="_Toc26891"/>
      <w:r>
        <w:rPr>
          <w:rFonts w:hint="eastAsia" w:ascii="仿宋" w:hAnsi="仿宋" w:eastAsia="仿宋" w:cs="仿宋"/>
          <w:color w:val="auto"/>
          <w:spacing w:val="8"/>
          <w:sz w:val="22"/>
          <w:szCs w:val="22"/>
          <w:lang w:val="en-US" w:eastAsia="zh-CN"/>
        </w:rPr>
        <w:t>附件1  法人授权书</w:t>
      </w:r>
      <w:bookmarkEnd w:id="42"/>
    </w:p>
    <w:p w14:paraId="723F1566">
      <w:pPr>
        <w:pStyle w:val="2"/>
        <w:pageBreakBefore w:val="0"/>
        <w:widowControl w:val="0"/>
        <w:kinsoku/>
        <w:wordWrap/>
        <w:overflowPunct/>
        <w:topLinePunct w:val="0"/>
        <w:autoSpaceDE/>
        <w:autoSpaceDN/>
        <w:bidi w:val="0"/>
        <w:spacing w:before="360" w:after="360" w:line="420" w:lineRule="exact"/>
        <w:jc w:val="center"/>
        <w:textAlignment w:val="auto"/>
        <w:rPr>
          <w:rFonts w:hint="eastAsia" w:eastAsia="仿宋"/>
          <w:sz w:val="32"/>
          <w:szCs w:val="22"/>
        </w:rPr>
      </w:pPr>
      <w:r>
        <w:rPr>
          <w:rFonts w:hint="default" w:ascii="Cambria" w:hAnsi="Cambria" w:eastAsia="仿宋"/>
          <w:sz w:val="32"/>
          <w:szCs w:val="22"/>
        </w:rPr>
        <w:t>授权委托书</w:t>
      </w:r>
    </w:p>
    <w:p w14:paraId="7D8F8FD0">
      <w:pPr>
        <w:pageBreakBefore w:val="0"/>
        <w:widowControl w:val="0"/>
        <w:kinsoku/>
        <w:wordWrap/>
        <w:overflowPunct/>
        <w:topLinePunct w:val="0"/>
        <w:autoSpaceDE/>
        <w:autoSpaceDN/>
        <w:bidi w:val="0"/>
        <w:adjustRightInd w:val="0"/>
        <w:snapToGrid w:val="0"/>
        <w:spacing w:line="420" w:lineRule="exact"/>
        <w:ind w:right="0" w:rightChars="0"/>
        <w:jc w:val="both"/>
        <w:textAlignment w:val="auto"/>
        <w:rPr>
          <w:rFonts w:hint="eastAsia" w:ascii="仿宋" w:hAnsi="仿宋" w:eastAsia="仿宋" w:cs="仿宋"/>
          <w:sz w:val="24"/>
          <w:lang w:val="en-US" w:eastAsia="zh-CN"/>
        </w:rPr>
      </w:pPr>
      <w:r>
        <w:rPr>
          <w:rFonts w:hint="eastAsia" w:ascii="仿宋" w:hAnsi="仿宋" w:eastAsia="仿宋" w:cs="仿宋"/>
          <w:sz w:val="24"/>
          <w:u w:val="none"/>
          <w:lang w:val="en-US" w:eastAsia="zh-CN"/>
        </w:rPr>
        <w:t>致</w:t>
      </w:r>
      <w:r>
        <w:rPr>
          <w:rFonts w:hint="eastAsia" w:ascii="仿宋" w:hAnsi="仿宋" w:eastAsia="仿宋" w:cs="仿宋"/>
          <w:sz w:val="24"/>
        </w:rPr>
        <w:t>：</w:t>
      </w:r>
    </w:p>
    <w:p w14:paraId="53DED8EE">
      <w:pPr>
        <w:pageBreakBefore w:val="0"/>
        <w:widowControl w:val="0"/>
        <w:kinsoku/>
        <w:wordWrap/>
        <w:overflowPunct/>
        <w:topLinePunct w:val="0"/>
        <w:autoSpaceDE/>
        <w:autoSpaceDN/>
        <w:bidi w:val="0"/>
        <w:adjustRightInd w:val="0"/>
        <w:snapToGrid w:val="0"/>
        <w:spacing w:line="420" w:lineRule="exact"/>
        <w:ind w:left="0" w:leftChars="0" w:firstLine="480" w:firstLineChars="20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现委托人委托受托人：</w:t>
      </w:r>
      <w:r>
        <w:rPr>
          <w:rFonts w:hint="eastAsia" w:ascii="仿宋" w:hAnsi="仿宋" w:eastAsia="仿宋" w:cs="仿宋"/>
          <w:sz w:val="24"/>
          <w:u w:val="single"/>
          <w:lang w:val="en-US" w:eastAsia="zh-CN"/>
        </w:rPr>
        <w:t xml:space="preserve">   /（</w:t>
      </w:r>
      <w:r>
        <w:rPr>
          <w:rFonts w:hint="eastAsia" w:ascii="仿宋" w:hAnsi="仿宋" w:eastAsia="仿宋" w:cs="仿宋"/>
          <w:sz w:val="24"/>
          <w:lang w:val="en-US" w:eastAsia="zh-CN"/>
        </w:rPr>
        <w:t>身份证号码）</w:t>
      </w:r>
      <w:r>
        <w:rPr>
          <w:rFonts w:hint="eastAsia" w:ascii="仿宋" w:hAnsi="仿宋" w:eastAsia="仿宋" w:cs="仿宋"/>
          <w:sz w:val="24"/>
          <w:u w:val="single"/>
          <w:lang w:val="en-US" w:eastAsia="zh-CN"/>
        </w:rPr>
        <w:t xml:space="preserve">  / </w:t>
      </w:r>
      <w:r>
        <w:rPr>
          <w:rFonts w:hint="eastAsia" w:ascii="仿宋" w:hAnsi="仿宋" w:eastAsia="仿宋" w:cs="仿宋"/>
          <w:sz w:val="24"/>
          <w:lang w:val="en-US" w:eastAsia="zh-CN"/>
        </w:rPr>
        <w:t xml:space="preserve"> </w:t>
      </w:r>
      <w:r>
        <w:rPr>
          <w:rFonts w:hint="eastAsia" w:ascii="仿宋" w:hAnsi="仿宋" w:eastAsia="仿宋" w:cs="仿宋"/>
          <w:sz w:val="24"/>
        </w:rPr>
        <w:t>代理</w:t>
      </w:r>
      <w:r>
        <w:rPr>
          <w:rFonts w:hint="eastAsia" w:ascii="仿宋" w:hAnsi="仿宋" w:eastAsia="仿宋" w:cs="仿宋"/>
          <w:sz w:val="24"/>
          <w:lang w:eastAsia="zh-CN"/>
        </w:rPr>
        <w:t>、</w:t>
      </w:r>
      <w:r>
        <w:rPr>
          <w:rFonts w:hint="eastAsia" w:ascii="仿宋" w:hAnsi="仿宋" w:eastAsia="仿宋" w:cs="仿宋"/>
          <w:sz w:val="24"/>
          <w:lang w:val="en-US" w:eastAsia="zh-CN"/>
        </w:rPr>
        <w:t>代表委托人全权决策、处理、执行、履行</w:t>
      </w:r>
      <w:r>
        <w:rPr>
          <w:rFonts w:hint="eastAsia" w:ascii="仿宋" w:hAnsi="仿宋" w:eastAsia="仿宋" w:cs="仿宋"/>
          <w:sz w:val="24"/>
          <w:u w:val="none"/>
          <w:lang w:val="en-US" w:eastAsia="zh-CN"/>
        </w:rPr>
        <w:t>与贵公司所签订的《xxx》合同（以下简称上述合同）的全部事宜及上述合同项目现场管理全部</w:t>
      </w:r>
      <w:r>
        <w:rPr>
          <w:rFonts w:hint="eastAsia" w:ascii="仿宋" w:hAnsi="仿宋" w:eastAsia="仿宋" w:cs="仿宋"/>
          <w:sz w:val="24"/>
        </w:rPr>
        <w:t>事宜</w:t>
      </w:r>
      <w:r>
        <w:rPr>
          <w:rFonts w:hint="eastAsia" w:ascii="仿宋" w:hAnsi="仿宋" w:eastAsia="仿宋" w:cs="仿宋"/>
          <w:sz w:val="24"/>
          <w:lang w:eastAsia="zh-CN"/>
        </w:rPr>
        <w:t>；</w:t>
      </w:r>
      <w:r>
        <w:rPr>
          <w:rFonts w:hint="eastAsia" w:ascii="仿宋" w:hAnsi="仿宋" w:eastAsia="仿宋" w:cs="仿宋"/>
          <w:sz w:val="24"/>
          <w:lang w:val="en-US" w:eastAsia="zh-CN"/>
        </w:rPr>
        <w:t>受托人对上述合同的履行及项目现场管理进行全权决策、执行，</w:t>
      </w:r>
      <w:r>
        <w:rPr>
          <w:rFonts w:hint="default" w:ascii="仿宋" w:hAnsi="仿宋" w:eastAsia="仿宋" w:cs="仿宋"/>
          <w:sz w:val="24"/>
          <w:lang w:val="en-US" w:eastAsia="zh-CN"/>
        </w:rPr>
        <w:t>对</w:t>
      </w:r>
      <w:r>
        <w:rPr>
          <w:rFonts w:hint="eastAsia" w:ascii="仿宋" w:hAnsi="仿宋" w:eastAsia="仿宋" w:cs="仿宋"/>
          <w:sz w:val="24"/>
          <w:lang w:val="en-US" w:eastAsia="zh-CN"/>
        </w:rPr>
        <w:t>项目</w:t>
      </w:r>
      <w:r>
        <w:rPr>
          <w:rFonts w:hint="default" w:ascii="仿宋" w:hAnsi="仿宋" w:eastAsia="仿宋" w:cs="仿宋"/>
          <w:sz w:val="24"/>
          <w:lang w:val="en-US" w:eastAsia="zh-CN"/>
        </w:rPr>
        <w:t>工程质量、安全、进度、成本</w:t>
      </w:r>
      <w:r>
        <w:rPr>
          <w:rFonts w:hint="eastAsia" w:ascii="仿宋" w:hAnsi="仿宋" w:eastAsia="仿宋" w:cs="仿宋"/>
          <w:sz w:val="24"/>
          <w:lang w:val="en-US" w:eastAsia="zh-CN"/>
        </w:rPr>
        <w:t>、签证及价款结算等全面负责；受托人所签署的相关</w:t>
      </w:r>
      <w:bookmarkStart w:id="48" w:name="_GoBack"/>
      <w:bookmarkEnd w:id="48"/>
      <w:r>
        <w:rPr>
          <w:rFonts w:hint="eastAsia" w:ascii="仿宋" w:hAnsi="仿宋" w:eastAsia="仿宋" w:cs="仿宋"/>
          <w:sz w:val="24"/>
          <w:lang w:val="en-US" w:eastAsia="zh-CN"/>
        </w:rPr>
        <w:t>文件、签证、结算、合同、协议等委托人均予以认可。</w:t>
      </w:r>
    </w:p>
    <w:p w14:paraId="5EA5203E">
      <w:pPr>
        <w:pageBreakBefore w:val="0"/>
        <w:widowControl w:val="0"/>
        <w:numPr>
          <w:ilvl w:val="0"/>
          <w:numId w:val="0"/>
        </w:numPr>
        <w:kinsoku/>
        <w:wordWrap/>
        <w:overflowPunct/>
        <w:topLinePunct w:val="0"/>
        <w:autoSpaceDE/>
        <w:autoSpaceDN/>
        <w:bidi w:val="0"/>
        <w:adjustRightInd w:val="0"/>
        <w:snapToGrid w:val="0"/>
        <w:spacing w:line="420" w:lineRule="exact"/>
        <w:ind w:firstLine="482" w:firstLineChars="200"/>
        <w:textAlignment w:val="auto"/>
        <w:rPr>
          <w:rFonts w:hint="default" w:ascii="仿宋" w:hAnsi="仿宋" w:eastAsia="仿宋" w:cs="仿宋"/>
          <w:b/>
          <w:bCs/>
          <w:sz w:val="24"/>
          <w:lang w:val="en-US" w:eastAsia="zh-CN"/>
        </w:rPr>
      </w:pPr>
      <w:r>
        <w:rPr>
          <w:rFonts w:hint="eastAsia" w:ascii="仿宋" w:hAnsi="仿宋" w:eastAsia="仿宋" w:cs="仿宋"/>
          <w:b/>
          <w:bCs/>
          <w:sz w:val="24"/>
          <w:lang w:val="en-US" w:eastAsia="zh-CN"/>
        </w:rPr>
        <w:t>具体委托事项及范围：</w:t>
      </w:r>
    </w:p>
    <w:p w14:paraId="066C0428">
      <w:pPr>
        <w:pageBreakBefore w:val="0"/>
        <w:widowControl w:val="0"/>
        <w:numPr>
          <w:ilvl w:val="0"/>
          <w:numId w:val="2"/>
        </w:numPr>
        <w:kinsoku/>
        <w:wordWrap/>
        <w:overflowPunct/>
        <w:topLinePunct w:val="0"/>
        <w:autoSpaceDE/>
        <w:autoSpaceDN/>
        <w:bidi w:val="0"/>
        <w:adjustRightInd w:val="0"/>
        <w:snapToGrid w:val="0"/>
        <w:spacing w:line="420" w:lineRule="exact"/>
        <w:ind w:left="549" w:leftChars="0" w:firstLine="0" w:firstLineChars="0"/>
        <w:textAlignment w:val="auto"/>
        <w:rPr>
          <w:rFonts w:hint="default" w:ascii="仿宋" w:hAnsi="仿宋" w:eastAsia="仿宋" w:cs="仿宋"/>
          <w:sz w:val="24"/>
          <w:lang w:val="en-US" w:eastAsia="zh-CN"/>
        </w:rPr>
      </w:pPr>
      <w:r>
        <w:rPr>
          <w:rFonts w:hint="default" w:ascii="仿宋" w:hAnsi="仿宋" w:eastAsia="仿宋" w:cs="仿宋"/>
          <w:sz w:val="24"/>
          <w:lang w:val="en-US" w:eastAsia="zh-CN"/>
        </w:rPr>
        <w:t>施工组织实施：全面负责现场人、机、料、</w:t>
      </w:r>
      <w:r>
        <w:rPr>
          <w:rFonts w:hint="eastAsia" w:ascii="仿宋" w:hAnsi="仿宋" w:eastAsia="仿宋" w:cs="仿宋"/>
          <w:sz w:val="24"/>
          <w:lang w:val="en-US" w:eastAsia="zh-CN"/>
        </w:rPr>
        <w:t>资金</w:t>
      </w:r>
      <w:r>
        <w:rPr>
          <w:rFonts w:hint="default" w:ascii="仿宋" w:hAnsi="仿宋" w:eastAsia="仿宋" w:cs="仿宋"/>
          <w:sz w:val="24"/>
          <w:lang w:val="en-US" w:eastAsia="zh-CN"/>
        </w:rPr>
        <w:t>、环</w:t>
      </w:r>
      <w:r>
        <w:rPr>
          <w:rFonts w:hint="eastAsia" w:ascii="仿宋" w:hAnsi="仿宋" w:eastAsia="仿宋" w:cs="仿宋"/>
          <w:sz w:val="24"/>
          <w:lang w:val="en-US" w:eastAsia="zh-CN"/>
        </w:rPr>
        <w:t>保</w:t>
      </w:r>
      <w:r>
        <w:rPr>
          <w:rFonts w:hint="default" w:ascii="仿宋" w:hAnsi="仿宋" w:eastAsia="仿宋" w:cs="仿宋"/>
          <w:sz w:val="24"/>
          <w:lang w:val="en-US" w:eastAsia="zh-CN"/>
        </w:rPr>
        <w:t>的组织与管理，确保按图施工、符合规范。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2. 质量安全第一责任：落实质量安全保障措施，处理质量安全事故。</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3. 技术管理：组织施工方案交底、技术复核、工序验收等。</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4. 进度与成本控制：编制施工计划，控制材料消耗和人工成本。</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5. 日常协调：与总包、监理、其他分包单位进行日常技术、工作协调。</w:t>
      </w:r>
      <w:r>
        <w:rPr>
          <w:rFonts w:hint="default" w:ascii="仿宋" w:hAnsi="仿宋" w:eastAsia="仿宋" w:cs="仿宋"/>
          <w:sz w:val="24"/>
          <w:lang w:val="en-US" w:eastAsia="zh-CN"/>
        </w:rPr>
        <w:br w:type="textWrapping"/>
      </w:r>
      <w:r>
        <w:rPr>
          <w:rFonts w:hint="default" w:ascii="仿宋" w:hAnsi="仿宋" w:eastAsia="仿宋" w:cs="仿宋"/>
          <w:sz w:val="24"/>
          <w:lang w:val="en-US" w:eastAsia="zh-CN"/>
        </w:rPr>
        <w:t>6. </w:t>
      </w:r>
      <w:r>
        <w:rPr>
          <w:rFonts w:hint="eastAsia" w:ascii="仿宋" w:hAnsi="仿宋" w:eastAsia="仿宋" w:cs="仿宋"/>
          <w:sz w:val="24"/>
          <w:lang w:val="en-US" w:eastAsia="zh-CN"/>
        </w:rPr>
        <w:t>合同、协议及</w:t>
      </w:r>
      <w:r>
        <w:rPr>
          <w:rFonts w:hint="default" w:ascii="仿宋" w:hAnsi="仿宋" w:eastAsia="仿宋" w:cs="仿宋"/>
          <w:sz w:val="24"/>
          <w:lang w:val="en-US" w:eastAsia="zh-CN"/>
        </w:rPr>
        <w:t>文件签署：签署施工日志、工序报验、材料进场验收、一般工程联系单等技术性、执行性文件</w:t>
      </w:r>
      <w:r>
        <w:rPr>
          <w:rFonts w:hint="eastAsia" w:ascii="仿宋" w:hAnsi="仿宋" w:eastAsia="仿宋" w:cs="仿宋"/>
          <w:sz w:val="24"/>
          <w:lang w:val="en-US" w:eastAsia="zh-CN"/>
        </w:rPr>
        <w:t>，前述相关合同、协议、变更文件、签证文件及结算文件等</w:t>
      </w:r>
      <w:r>
        <w:rPr>
          <w:rFonts w:hint="default" w:ascii="仿宋" w:hAnsi="仿宋" w:eastAsia="仿宋" w:cs="仿宋"/>
          <w:sz w:val="24"/>
          <w:lang w:val="en-US" w:eastAsia="zh-CN"/>
        </w:rPr>
        <w:t>。</w:t>
      </w:r>
    </w:p>
    <w:p w14:paraId="22E0E90D">
      <w:pPr>
        <w:pageBreakBefore w:val="0"/>
        <w:widowControl w:val="0"/>
        <w:numPr>
          <w:ilvl w:val="0"/>
          <w:numId w:val="0"/>
        </w:numPr>
        <w:kinsoku/>
        <w:wordWrap/>
        <w:overflowPunct/>
        <w:topLinePunct w:val="0"/>
        <w:autoSpaceDE/>
        <w:autoSpaceDN/>
        <w:bidi w:val="0"/>
        <w:adjustRightInd w:val="0"/>
        <w:snapToGrid w:val="0"/>
        <w:spacing w:line="420" w:lineRule="exact"/>
        <w:ind w:left="315" w:leftChars="150" w:firstLine="0" w:firstLineChars="0"/>
        <w:textAlignment w:val="auto"/>
        <w:rPr>
          <w:rFonts w:hint="eastAsia" w:ascii="仿宋" w:hAnsi="仿宋" w:eastAsia="仿宋" w:cs="仿宋"/>
          <w:sz w:val="24"/>
          <w:lang w:val="en-US" w:eastAsia="zh-CN"/>
        </w:rPr>
      </w:pPr>
      <w:r>
        <w:rPr>
          <w:rFonts w:hint="eastAsia" w:ascii="仿宋" w:hAnsi="仿宋" w:eastAsia="仿宋" w:cs="仿宋"/>
          <w:sz w:val="24"/>
          <w:lang w:val="en-US" w:eastAsia="zh-CN"/>
        </w:rPr>
        <w:t>7.</w:t>
      </w:r>
      <w:r>
        <w:rPr>
          <w:rFonts w:hint="default" w:ascii="仿宋" w:hAnsi="仿宋" w:eastAsia="仿宋" w:cs="仿宋"/>
          <w:sz w:val="24"/>
          <w:lang w:val="en-US" w:eastAsia="zh-CN"/>
        </w:rPr>
        <w:t> 重大决策</w:t>
      </w:r>
      <w:r>
        <w:rPr>
          <w:rFonts w:hint="eastAsia" w:ascii="仿宋" w:hAnsi="仿宋" w:eastAsia="仿宋" w:cs="仿宋"/>
          <w:sz w:val="24"/>
          <w:lang w:val="en-US" w:eastAsia="zh-CN"/>
        </w:rPr>
        <w:t>与</w:t>
      </w:r>
      <w:r>
        <w:rPr>
          <w:rFonts w:hint="default" w:ascii="仿宋" w:hAnsi="仿宋" w:eastAsia="仿宋" w:cs="仿宋"/>
          <w:sz w:val="24"/>
          <w:lang w:val="en-US" w:eastAsia="zh-CN"/>
        </w:rPr>
        <w:t>财务权限：批准涉及重大技术方案变更、合同范围调整、停工/复工等重大事项。办理大额请款、进度款结算、索赔文件的确认。</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8.</w:t>
      </w:r>
      <w:r>
        <w:rPr>
          <w:rFonts w:hint="default" w:ascii="仿宋" w:hAnsi="仿宋" w:eastAsia="仿宋" w:cs="仿宋"/>
          <w:sz w:val="24"/>
          <w:lang w:val="en-US" w:eastAsia="zh-CN"/>
        </w:rPr>
        <w:t> 争议解决代表：代表公司参与正式的谈判、调解、仲裁或诉讼活动。</w:t>
      </w:r>
      <w:r>
        <w:rPr>
          <w:rFonts w:hint="default" w:ascii="仿宋" w:hAnsi="仿宋" w:eastAsia="仿宋" w:cs="仿宋"/>
          <w:sz w:val="24"/>
          <w:lang w:val="en-US" w:eastAsia="zh-CN"/>
        </w:rPr>
        <w:br w:type="textWrapping"/>
      </w:r>
      <w:r>
        <w:rPr>
          <w:rFonts w:hint="eastAsia" w:ascii="仿宋" w:hAnsi="仿宋" w:eastAsia="仿宋" w:cs="仿宋"/>
          <w:sz w:val="24"/>
          <w:lang w:val="en-US" w:eastAsia="zh-CN"/>
        </w:rPr>
        <w:t>9.与上述合同相关的其他事务及与项目现场管理相关的其他事务。</w:t>
      </w:r>
    </w:p>
    <w:p w14:paraId="0030C0FF">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sz w:val="24"/>
          <w:lang w:eastAsia="zh-CN"/>
        </w:rPr>
      </w:pPr>
      <w:r>
        <w:rPr>
          <w:rFonts w:hint="eastAsia" w:ascii="仿宋" w:hAnsi="仿宋" w:eastAsia="仿宋" w:cs="仿宋"/>
          <w:b/>
          <w:bCs/>
          <w:sz w:val="24"/>
          <w:lang w:val="en-US" w:eastAsia="zh-CN"/>
        </w:rPr>
        <w:t>委托</w:t>
      </w:r>
      <w:r>
        <w:rPr>
          <w:rFonts w:hint="eastAsia" w:ascii="仿宋" w:hAnsi="仿宋" w:eastAsia="仿宋" w:cs="仿宋"/>
          <w:b/>
          <w:bCs/>
          <w:sz w:val="24"/>
        </w:rPr>
        <w:t>期限：</w:t>
      </w:r>
      <w:r>
        <w:rPr>
          <w:rFonts w:hint="eastAsia" w:ascii="仿宋" w:hAnsi="仿宋" w:eastAsia="仿宋" w:cs="仿宋"/>
          <w:sz w:val="24"/>
          <w:lang w:val="en-US" w:eastAsia="zh-CN"/>
        </w:rPr>
        <w:t>自本委托书出具之日起</w:t>
      </w:r>
      <w:r>
        <w:rPr>
          <w:rFonts w:hint="eastAsia" w:ascii="仿宋" w:hAnsi="仿宋" w:eastAsia="仿宋" w:cs="仿宋"/>
          <w:sz w:val="24"/>
        </w:rPr>
        <w:t>至</w:t>
      </w:r>
      <w:r>
        <w:rPr>
          <w:rFonts w:hint="eastAsia" w:ascii="仿宋" w:hAnsi="仿宋" w:eastAsia="仿宋" w:cs="仿宋"/>
          <w:sz w:val="24"/>
          <w:lang w:val="en-US" w:eastAsia="zh-CN"/>
        </w:rPr>
        <w:t>上述合同履行完毕、</w:t>
      </w:r>
      <w:r>
        <w:rPr>
          <w:rFonts w:hint="eastAsia" w:ascii="仿宋" w:hAnsi="仿宋" w:eastAsia="仿宋" w:cs="仿宋"/>
          <w:sz w:val="24"/>
        </w:rPr>
        <w:t>工程</w:t>
      </w:r>
      <w:r>
        <w:rPr>
          <w:rFonts w:hint="eastAsia" w:ascii="仿宋" w:hAnsi="仿宋" w:eastAsia="仿宋" w:cs="仿宋"/>
          <w:sz w:val="24"/>
          <w:lang w:val="en-US" w:eastAsia="zh-CN"/>
        </w:rPr>
        <w:t>竣工验收合格，且</w:t>
      </w:r>
      <w:r>
        <w:rPr>
          <w:rFonts w:hint="eastAsia" w:ascii="仿宋" w:hAnsi="仿宋" w:eastAsia="仿宋" w:cs="仿宋"/>
          <w:sz w:val="24"/>
        </w:rPr>
        <w:t>双方权利义务关系清结之日</w:t>
      </w:r>
      <w:r>
        <w:rPr>
          <w:rFonts w:hint="eastAsia" w:ascii="仿宋" w:hAnsi="仿宋" w:eastAsia="仿宋" w:cs="仿宋"/>
          <w:sz w:val="24"/>
          <w:lang w:val="en-US" w:eastAsia="zh-CN"/>
        </w:rPr>
        <w:t>止</w:t>
      </w:r>
      <w:r>
        <w:rPr>
          <w:rFonts w:hint="eastAsia" w:ascii="仿宋" w:hAnsi="仿宋" w:eastAsia="仿宋" w:cs="仿宋"/>
          <w:sz w:val="24"/>
          <w:lang w:eastAsia="zh-CN"/>
        </w:rPr>
        <w:t>。</w:t>
      </w:r>
    </w:p>
    <w:p w14:paraId="7C480658">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lang w:eastAsia="zh-CN"/>
        </w:rPr>
      </w:pPr>
      <w:r>
        <w:rPr>
          <w:rFonts w:hint="eastAsia" w:ascii="仿宋" w:hAnsi="仿宋" w:eastAsia="仿宋" w:cs="仿宋"/>
          <w:b/>
          <w:bCs/>
          <w:sz w:val="24"/>
          <w:lang w:val="en-US" w:eastAsia="zh-CN"/>
        </w:rPr>
        <w:t>本授权委托书不可撤销，不可撤回，长期有效。</w:t>
      </w:r>
    </w:p>
    <w:p w14:paraId="7881CD34">
      <w:pPr>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 w:hAnsi="仿宋" w:eastAsia="仿宋" w:cs="仿宋"/>
          <w:b/>
          <w:bCs/>
          <w:sz w:val="24"/>
        </w:rPr>
      </w:pPr>
      <w:r>
        <w:rPr>
          <w:rFonts w:hint="eastAsia" w:ascii="仿宋" w:hAnsi="仿宋" w:eastAsia="仿宋" w:cs="仿宋"/>
          <w:b/>
          <w:bCs/>
          <w:sz w:val="24"/>
          <w:lang w:val="en-US" w:eastAsia="zh-CN"/>
        </w:rPr>
        <w:t>受托</w:t>
      </w:r>
      <w:r>
        <w:rPr>
          <w:rFonts w:hint="eastAsia" w:ascii="仿宋" w:hAnsi="仿宋" w:eastAsia="仿宋" w:cs="仿宋"/>
          <w:b/>
          <w:bCs/>
          <w:sz w:val="24"/>
          <w:lang w:eastAsia="zh-CN"/>
        </w:rPr>
        <w:t>人</w:t>
      </w:r>
      <w:r>
        <w:rPr>
          <w:rFonts w:hint="eastAsia" w:ascii="仿宋" w:hAnsi="仿宋" w:eastAsia="仿宋" w:cs="仿宋"/>
          <w:b/>
          <w:bCs/>
          <w:sz w:val="24"/>
        </w:rPr>
        <w:t>不得转委托。</w:t>
      </w:r>
    </w:p>
    <w:p w14:paraId="12CB3F35">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val="en-US" w:eastAsia="zh-CN"/>
        </w:rPr>
        <w:t>委托</w:t>
      </w:r>
      <w:r>
        <w:rPr>
          <w:rFonts w:hint="eastAsia" w:ascii="仿宋" w:hAnsi="仿宋" w:eastAsia="仿宋" w:cs="仿宋"/>
          <w:sz w:val="24"/>
        </w:rPr>
        <w:t>单位</w:t>
      </w:r>
      <w:r>
        <w:rPr>
          <w:rFonts w:hint="eastAsia" w:ascii="仿宋" w:hAnsi="仿宋" w:eastAsia="仿宋" w:cs="仿宋"/>
          <w:sz w:val="24"/>
          <w:lang w:eastAsia="zh-CN"/>
        </w:rPr>
        <w:t>（</w:t>
      </w:r>
      <w:r>
        <w:rPr>
          <w:rFonts w:hint="eastAsia" w:ascii="仿宋" w:hAnsi="仿宋" w:eastAsia="仿宋" w:cs="仿宋"/>
          <w:sz w:val="24"/>
          <w:lang w:val="en-US" w:eastAsia="zh-CN"/>
        </w:rPr>
        <w:t>委托人</w:t>
      </w:r>
      <w:r>
        <w:rPr>
          <w:rFonts w:hint="eastAsia" w:ascii="仿宋" w:hAnsi="仿宋" w:eastAsia="仿宋" w:cs="仿宋"/>
          <w:sz w:val="24"/>
          <w:lang w:eastAsia="zh-CN"/>
        </w:rPr>
        <w:t>）</w:t>
      </w:r>
      <w:r>
        <w:rPr>
          <w:rFonts w:hint="eastAsia" w:ascii="仿宋" w:hAnsi="仿宋" w:eastAsia="仿宋" w:cs="仿宋"/>
          <w:sz w:val="24"/>
        </w:rPr>
        <w:t>：</w:t>
      </w:r>
      <w:r>
        <w:rPr>
          <w:rFonts w:hint="eastAsia" w:ascii="仿宋" w:hAnsi="仿宋" w:eastAsia="仿宋" w:cs="仿宋"/>
          <w:sz w:val="24"/>
          <w:u w:val="single"/>
          <w:lang w:val="en-US" w:eastAsia="zh-CN"/>
        </w:rPr>
        <w:t>xxxxx</w:t>
      </w:r>
    </w:p>
    <w:p w14:paraId="776C7D0F">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val="en-US" w:eastAsia="zh-CN"/>
        </w:rPr>
        <w:t>统一社会信用代码</w:t>
      </w:r>
      <w:r>
        <w:rPr>
          <w:rFonts w:hint="eastAsia" w:ascii="仿宋" w:hAnsi="仿宋" w:eastAsia="仿宋" w:cs="仿宋"/>
          <w:sz w:val="24"/>
        </w:rPr>
        <w:t>号：</w:t>
      </w:r>
      <w:r>
        <w:rPr>
          <w:rFonts w:hint="eastAsia" w:ascii="仿宋" w:hAnsi="仿宋" w:eastAsia="仿宋" w:cs="仿宋"/>
          <w:sz w:val="24"/>
          <w:u w:val="single"/>
          <w:lang w:val="en-US" w:eastAsia="zh-CN"/>
        </w:rPr>
        <w:t>xxxxx</w:t>
      </w:r>
    </w:p>
    <w:p w14:paraId="4631BD0E">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u w:val="single"/>
          <w:lang w:val="en-US" w:eastAsia="zh-CN"/>
        </w:rPr>
        <w:t xml:space="preserve">    /       </w:t>
      </w:r>
    </w:p>
    <w:p w14:paraId="7F350CB9">
      <w:pPr>
        <w:pageBreakBefore w:val="0"/>
        <w:widowControl w:val="0"/>
        <w:kinsoku/>
        <w:wordWrap/>
        <w:overflowPunct/>
        <w:topLinePunct w:val="0"/>
        <w:autoSpaceDE/>
        <w:autoSpaceDN/>
        <w:bidi w:val="0"/>
        <w:adjustRightInd w:val="0"/>
        <w:snapToGrid w:val="0"/>
        <w:spacing w:line="420" w:lineRule="exact"/>
        <w:ind w:leftChars="200" w:firstLine="480" w:firstLineChars="200"/>
        <w:textAlignment w:val="auto"/>
        <w:rPr>
          <w:rFonts w:hint="default" w:ascii="仿宋" w:hAnsi="仿宋" w:eastAsia="仿宋" w:cs="仿宋"/>
          <w:sz w:val="24"/>
          <w:u w:val="single"/>
          <w:lang w:val="en-US"/>
        </w:rPr>
      </w:pPr>
      <w:r>
        <w:rPr>
          <w:rFonts w:hint="eastAsia" w:ascii="仿宋" w:hAnsi="仿宋" w:eastAsia="仿宋" w:cs="仿宋"/>
          <w:sz w:val="24"/>
          <w:lang w:eastAsia="zh-CN"/>
        </w:rPr>
        <w:t>代理人</w:t>
      </w:r>
      <w:r>
        <w:rPr>
          <w:rFonts w:hint="eastAsia" w:ascii="仿宋" w:hAnsi="仿宋" w:eastAsia="仿宋" w:cs="仿宋"/>
          <w:sz w:val="24"/>
        </w:rPr>
        <w:t>(</w:t>
      </w:r>
      <w:r>
        <w:rPr>
          <w:rFonts w:hint="eastAsia" w:ascii="仿宋" w:hAnsi="仿宋" w:eastAsia="仿宋" w:cs="仿宋"/>
          <w:sz w:val="24"/>
          <w:lang w:val="en-US" w:eastAsia="zh-CN"/>
        </w:rPr>
        <w:t>受托人</w:t>
      </w:r>
      <w:r>
        <w:rPr>
          <w:rFonts w:hint="eastAsia" w:ascii="仿宋" w:hAnsi="仿宋" w:eastAsia="仿宋" w:cs="仿宋"/>
          <w:sz w:val="24"/>
        </w:rPr>
        <w:t>)：</w:t>
      </w:r>
      <w:r>
        <w:rPr>
          <w:rFonts w:hint="eastAsia" w:ascii="仿宋" w:hAnsi="仿宋" w:eastAsia="仿宋" w:cs="仿宋"/>
          <w:sz w:val="24"/>
          <w:u w:val="single"/>
          <w:lang w:val="en-US" w:eastAsia="zh-CN"/>
        </w:rPr>
        <w:t xml:space="preserve">    /     </w:t>
      </w:r>
    </w:p>
    <w:p w14:paraId="534AC52E">
      <w:pPr>
        <w:pStyle w:val="12"/>
        <w:ind w:firstLine="5520" w:firstLineChars="2300"/>
        <w:rPr>
          <w:rFonts w:hint="eastAsia" w:ascii="仿宋" w:hAnsi="仿宋" w:eastAsia="仿宋" w:cs="仿宋"/>
          <w:sz w:val="24"/>
        </w:rPr>
      </w:pPr>
    </w:p>
    <w:p w14:paraId="347BB4BE">
      <w:pPr>
        <w:pStyle w:val="12"/>
        <w:ind w:firstLine="5520" w:firstLineChars="2300"/>
        <w:rPr>
          <w:rFonts w:hint="eastAsia" w:ascii="仿宋" w:hAnsi="仿宋" w:eastAsia="仿宋" w:cs="仿宋"/>
          <w:sz w:val="24"/>
          <w:lang w:val="en-US" w:eastAsia="zh-CN"/>
        </w:rPr>
      </w:pPr>
      <w:r>
        <w:rPr>
          <w:rFonts w:hint="eastAsia" w:ascii="仿宋" w:hAnsi="仿宋" w:eastAsia="仿宋" w:cs="仿宋"/>
          <w:sz w:val="24"/>
          <w:lang w:val="en-US" w:eastAsia="zh-CN"/>
        </w:rPr>
        <w:t xml:space="preserve">2026 </w:t>
      </w:r>
      <w:r>
        <w:rPr>
          <w:rFonts w:hint="eastAsia" w:ascii="仿宋" w:hAnsi="仿宋" w:eastAsia="仿宋" w:cs="仿宋"/>
          <w:sz w:val="24"/>
        </w:rPr>
        <w:t>年</w:t>
      </w:r>
      <w:r>
        <w:rPr>
          <w:rFonts w:hint="eastAsia" w:ascii="仿宋" w:hAnsi="仿宋" w:eastAsia="仿宋" w:cs="仿宋"/>
          <w:sz w:val="24"/>
          <w:lang w:val="en-US" w:eastAsia="zh-CN"/>
        </w:rPr>
        <w:t xml:space="preserve"> x </w:t>
      </w:r>
      <w:r>
        <w:rPr>
          <w:rFonts w:hint="eastAsia" w:ascii="仿宋" w:hAnsi="仿宋" w:eastAsia="仿宋" w:cs="仿宋"/>
          <w:sz w:val="24"/>
        </w:rPr>
        <w:t>月</w:t>
      </w:r>
      <w:r>
        <w:rPr>
          <w:rFonts w:hint="eastAsia" w:ascii="仿宋" w:hAnsi="仿宋" w:eastAsia="仿宋" w:cs="仿宋"/>
          <w:sz w:val="24"/>
          <w:lang w:val="en-US" w:eastAsia="zh-CN"/>
        </w:rPr>
        <w:t xml:space="preserve">x日   </w:t>
      </w:r>
    </w:p>
    <w:p w14:paraId="691406BD">
      <w:pPr>
        <w:pStyle w:val="12"/>
        <w:ind w:firstLine="5520" w:firstLineChars="2300"/>
        <w:rPr>
          <w:rFonts w:hint="eastAsia" w:ascii="仿宋" w:hAnsi="仿宋" w:eastAsia="仿宋" w:cs="仿宋"/>
          <w:sz w:val="24"/>
          <w:lang w:val="en-US" w:eastAsia="zh-CN"/>
        </w:rPr>
      </w:pPr>
    </w:p>
    <w:p w14:paraId="4B294C72">
      <w:pPr>
        <w:pStyle w:val="12"/>
        <w:ind w:firstLine="5520" w:firstLineChars="2300"/>
        <w:rPr>
          <w:rFonts w:hint="eastAsia" w:ascii="仿宋" w:hAnsi="仿宋" w:eastAsia="仿宋" w:cs="仿宋"/>
          <w:sz w:val="24"/>
          <w:lang w:val="en-US" w:eastAsia="zh-CN"/>
        </w:rPr>
      </w:pPr>
    </w:p>
    <w:p w14:paraId="36B72460">
      <w:pPr>
        <w:pStyle w:val="12"/>
        <w:ind w:firstLine="5520" w:firstLineChars="2300"/>
        <w:rPr>
          <w:rFonts w:hint="eastAsia" w:ascii="仿宋" w:hAnsi="仿宋" w:eastAsia="仿宋" w:cs="仿宋"/>
          <w:sz w:val="24"/>
          <w:lang w:val="en-US" w:eastAsia="zh-CN"/>
        </w:rPr>
      </w:pPr>
    </w:p>
    <w:p w14:paraId="7DFDBDED">
      <w:pPr>
        <w:pStyle w:val="2"/>
        <w:spacing w:before="360" w:after="360"/>
        <w:jc w:val="center"/>
        <w:outlineLvl w:val="0"/>
        <w:rPr>
          <w:rFonts w:hint="default" w:eastAsia="仿宋"/>
          <w:sz w:val="32"/>
          <w:szCs w:val="22"/>
          <w:lang w:val="en-US" w:eastAsia="zh-CN"/>
        </w:rPr>
      </w:pPr>
      <w:r>
        <w:rPr>
          <w:rFonts w:hint="eastAsia" w:eastAsia="仿宋"/>
          <w:sz w:val="32"/>
          <w:szCs w:val="22"/>
          <w:lang w:val="en-US" w:eastAsia="zh-CN"/>
        </w:rPr>
        <w:t>法人身份证</w:t>
      </w:r>
    </w:p>
    <w:p w14:paraId="5E0E81BD">
      <w:pPr>
        <w:adjustRightInd w:val="0"/>
        <w:snapToGrid w:val="0"/>
        <w:spacing w:line="360" w:lineRule="auto"/>
        <w:ind w:leftChars="800" w:firstLine="480" w:firstLineChars="200"/>
        <w:rPr>
          <w:rFonts w:hint="eastAsia" w:ascii="仿宋" w:hAnsi="仿宋" w:eastAsia="仿宋" w:cs="仿宋"/>
          <w:sz w:val="24"/>
        </w:rPr>
      </w:pPr>
    </w:p>
    <w:p w14:paraId="2182843A">
      <w:pPr>
        <w:pStyle w:val="12"/>
        <w:ind w:firstLine="5520" w:firstLineChars="2300"/>
        <w:rPr>
          <w:rFonts w:hint="eastAsia"/>
          <w:lang w:eastAsia="zh-CN"/>
        </w:rPr>
        <w:sectPr>
          <w:footerReference r:id="rId9" w:type="default"/>
          <w:pgSz w:w="11900" w:h="16830"/>
          <w:pgMar w:top="1417" w:right="1803" w:bottom="1417" w:left="1803" w:header="850" w:footer="992" w:gutter="0"/>
          <w:pgNumType w:fmt="decimal"/>
          <w:cols w:equalWidth="0" w:num="1">
            <w:col w:w="9275"/>
          </w:cols>
          <w:rtlGutter w:val="0"/>
          <w:docGrid w:type="lines" w:linePitch="437" w:charSpace="0"/>
        </w:sectPr>
      </w:pPr>
      <w:r>
        <w:rPr>
          <w:rFonts w:hint="eastAsia" w:ascii="仿宋" w:hAnsi="仿宋" w:eastAsia="仿宋" w:cs="仿宋"/>
          <w:sz w:val="24"/>
          <w:lang w:val="en-US" w:eastAsia="zh-CN"/>
        </w:rPr>
        <w:t xml:space="preserve"> </w:t>
      </w:r>
    </w:p>
    <w:p w14:paraId="1DFA2363">
      <w:pPr>
        <w:pStyle w:val="12"/>
        <w:keepNext w:val="0"/>
        <w:keepLines w:val="0"/>
        <w:pageBreakBefore w:val="0"/>
        <w:widowControl w:val="0"/>
        <w:overflowPunct/>
        <w:bidi w:val="0"/>
        <w:rPr>
          <w:rFonts w:hint="eastAsia"/>
          <w:lang w:eastAsia="zh-CN"/>
        </w:rPr>
      </w:pPr>
    </w:p>
    <w:p w14:paraId="433A2389">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附件2：</w:t>
      </w:r>
      <w:r>
        <w:rPr>
          <w:rFonts w:hint="eastAsia" w:ascii="仿宋" w:hAnsi="仿宋" w:eastAsia="仿宋" w:cs="仿宋"/>
          <w:snapToGrid/>
          <w:kern w:val="2"/>
          <w:sz w:val="25"/>
          <w:szCs w:val="25"/>
          <w:lang w:eastAsia="zh-CN"/>
        </w:rPr>
        <w:t>工程量计价清单</w:t>
      </w:r>
    </w:p>
    <w:p w14:paraId="3A157BC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zh-CN"/>
        </w:rPr>
        <w:sectPr>
          <w:footerReference r:id="rId10" w:type="default"/>
          <w:pgSz w:w="16830" w:h="11900" w:orient="landscape"/>
          <w:pgMar w:top="1803" w:right="1417" w:bottom="1803" w:left="1417" w:header="850" w:footer="992" w:gutter="0"/>
          <w:pgNumType w:fmt="decimal"/>
          <w:cols w:equalWidth="0" w:num="1">
            <w:col w:w="9275"/>
          </w:cols>
          <w:rtlGutter w:val="0"/>
          <w:docGrid w:type="lines" w:linePitch="437" w:charSpace="0"/>
        </w:sectPr>
      </w:pPr>
    </w:p>
    <w:p w14:paraId="5536DDC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p>
    <w:p w14:paraId="749F4C5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附件</w:t>
      </w:r>
      <w:r>
        <w:rPr>
          <w:rFonts w:hint="eastAsia" w:ascii="仿宋" w:hAnsi="仿宋" w:eastAsia="仿宋" w:cs="仿宋"/>
          <w:snapToGrid/>
          <w:kern w:val="2"/>
          <w:sz w:val="25"/>
          <w:szCs w:val="25"/>
          <w:lang w:val="en-US" w:eastAsia="zh-CN"/>
        </w:rPr>
        <w:t>3</w:t>
      </w:r>
      <w:r>
        <w:rPr>
          <w:rFonts w:hint="eastAsia" w:ascii="仿宋" w:hAnsi="仿宋" w:eastAsia="仿宋" w:cs="仿宋"/>
          <w:snapToGrid/>
          <w:kern w:val="2"/>
          <w:sz w:val="25"/>
          <w:szCs w:val="25"/>
          <w:lang w:eastAsia="zh-CN"/>
        </w:rPr>
        <w:t>:</w:t>
      </w:r>
    </w:p>
    <w:p w14:paraId="53CBCACF">
      <w:pPr>
        <w:keepNext w:val="0"/>
        <w:keepLines w:val="0"/>
        <w:pageBreakBefore w:val="0"/>
        <w:widowControl w:val="0"/>
        <w:kinsoku w:val="0"/>
        <w:wordWrap/>
        <w:overflowPunct/>
        <w:topLinePunct w:val="0"/>
        <w:autoSpaceDE w:val="0"/>
        <w:autoSpaceDN w:val="0"/>
        <w:bidi w:val="0"/>
        <w:adjustRightInd w:val="0"/>
        <w:snapToGrid w:val="0"/>
        <w:spacing w:before="171" w:line="224" w:lineRule="auto"/>
        <w:ind w:left="2358"/>
        <w:textAlignment w:val="baseline"/>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lang w:eastAsia="zh-CN"/>
        </w:rPr>
        <w:t>环境与职业健康安全管理责任书</w:t>
      </w:r>
    </w:p>
    <w:p w14:paraId="2311B4B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0D52A18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为在建设项目实施过程中创造安全、高效的施工环境，切实搞好本项目的安全生产和环境保护管理工作，甲乙双方就</w:t>
      </w:r>
      <w:r>
        <w:rPr>
          <w:rFonts w:hint="eastAsia" w:ascii="仿宋" w:hAnsi="仿宋" w:eastAsia="仿宋" w:cs="仿宋"/>
          <w:snapToGrid/>
          <w:kern w:val="2"/>
          <w:sz w:val="25"/>
          <w:szCs w:val="25"/>
          <w:u w:val="single"/>
          <w:lang w:val="en-US" w:eastAsia="zh-CN"/>
        </w:rPr>
        <w:t>金沙江下游白鹤滩翻坝转运设施（白鹤滩码头）建设项目xxxxx</w:t>
      </w:r>
      <w:r>
        <w:rPr>
          <w:rFonts w:hint="eastAsia" w:ascii="仿宋" w:hAnsi="仿宋" w:eastAsia="仿宋" w:cs="仿宋"/>
          <w:snapToGrid/>
          <w:kern w:val="2"/>
          <w:sz w:val="25"/>
          <w:szCs w:val="25"/>
          <w:lang w:eastAsia="zh-CN"/>
        </w:rPr>
        <w:t>劳务分包合同(合同编号：</w:t>
      </w:r>
      <w:r>
        <w:rPr>
          <w:rFonts w:hint="eastAsia" w:ascii="仿宋" w:hAnsi="仿宋" w:eastAsia="仿宋" w:cs="仿宋"/>
          <w:snapToGrid/>
          <w:kern w:val="2"/>
          <w:sz w:val="25"/>
          <w:szCs w:val="25"/>
          <w:u w:val="single"/>
          <w:lang w:val="en-US" w:eastAsia="zh-CN"/>
        </w:rPr>
        <w:t>xxxxxx</w:t>
      </w:r>
      <w:r>
        <w:rPr>
          <w:rFonts w:hint="eastAsia" w:ascii="仿宋" w:hAnsi="仿宋" w:eastAsia="仿宋" w:cs="仿宋"/>
          <w:snapToGrid/>
          <w:kern w:val="2"/>
          <w:sz w:val="25"/>
          <w:szCs w:val="25"/>
          <w:lang w:eastAsia="zh-CN"/>
        </w:rPr>
        <w:t>) 的环境与职业健康安全( (E&amp;OHS)责任达成以下共识特签订本责任书，供双方共同遵守：</w:t>
      </w:r>
    </w:p>
    <w:p w14:paraId="34F7203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一、合同期限：与本合同的有效期限相同。</w:t>
      </w:r>
    </w:p>
    <w:p w14:paraId="0754029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二、工程范围内分包的工程项目：</w:t>
      </w:r>
    </w:p>
    <w:p w14:paraId="37B50DC9">
      <w:pPr>
        <w:keepNext w:val="0"/>
        <w:keepLines w:val="0"/>
        <w:pageBreakBefore w:val="0"/>
        <w:widowControl w:val="0"/>
        <w:kinsoku/>
        <w:wordWrap w:val="0"/>
        <w:overflowPunct/>
        <w:topLinePunct w:val="0"/>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u w:val="single"/>
          <w:lang w:val="en-US" w:eastAsia="zh-CN"/>
        </w:rPr>
        <w:t>金沙江下游白鹤滩翻坝转运设施（白鹤滩码头）建设项目xxxxx</w:t>
      </w:r>
      <w:r>
        <w:rPr>
          <w:rFonts w:hint="eastAsia" w:ascii="仿宋" w:hAnsi="仿宋" w:eastAsia="仿宋" w:cs="仿宋"/>
          <w:snapToGrid/>
          <w:kern w:val="2"/>
          <w:sz w:val="25"/>
          <w:szCs w:val="25"/>
          <w:lang w:eastAsia="zh-CN"/>
        </w:rPr>
        <w:t>劳务分包合同(合同编号：</w:t>
      </w:r>
      <w:r>
        <w:rPr>
          <w:rFonts w:hint="eastAsia" w:ascii="仿宋" w:hAnsi="仿宋" w:eastAsia="仿宋" w:cs="仿宋"/>
          <w:snapToGrid/>
          <w:kern w:val="2"/>
          <w:sz w:val="25"/>
          <w:szCs w:val="25"/>
          <w:u w:val="single"/>
          <w:lang w:val="en-US" w:eastAsia="zh-CN"/>
        </w:rPr>
        <w:t>xxxxx</w:t>
      </w:r>
      <w:r>
        <w:rPr>
          <w:rFonts w:hint="eastAsia" w:ascii="仿宋" w:hAnsi="仿宋" w:eastAsia="仿宋" w:cs="仿宋"/>
          <w:snapToGrid/>
          <w:kern w:val="2"/>
          <w:sz w:val="25"/>
          <w:szCs w:val="25"/>
          <w:lang w:eastAsia="zh-CN"/>
        </w:rPr>
        <w:t>) 中所规定的合同 内容。</w:t>
      </w:r>
    </w:p>
    <w:p w14:paraId="5589632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三 、甲方对乙方环境与职业健康安全(E&amp;OHS) 责任的要求：</w:t>
      </w:r>
    </w:p>
    <w:p w14:paraId="446FC70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1、认真贯彻执行国家、地方政府环境保护与职业健康安全(E&amp;OHS) 法律法规，遵 守公司相关规定，坚持“科学管理、诚信守法、注重环保、安全健康、争创优质、持续 改进”的方针，确保安全投入的有效实施，正确处理环境与生产、职业健康安全与生产 的关系。</w:t>
      </w:r>
    </w:p>
    <w:p w14:paraId="5D9BE99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2、建立、健全环境保护与职业健康安全管理体系，确保运行正常、管理有效。</w:t>
      </w:r>
    </w:p>
    <w:p w14:paraId="53CD7E4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3、强化培训教育，不断提高员工环境意识和自我保护意识。</w:t>
      </w:r>
    </w:p>
    <w:p w14:paraId="027E1A7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4、主动为员工办理工伤险和意外伤害保险。</w:t>
      </w:r>
    </w:p>
    <w:p w14:paraId="13AE2D1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5、定期组织员工体检。</w:t>
      </w:r>
    </w:p>
    <w:p w14:paraId="26C2C04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6、积极采取有效措施，加强环境保护工作。</w:t>
      </w:r>
    </w:p>
    <w:p w14:paraId="289BAD5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3" w:name="_Toc10480"/>
      <w:r>
        <w:rPr>
          <w:rFonts w:hint="eastAsia" w:ascii="仿宋" w:hAnsi="仿宋" w:eastAsia="仿宋" w:cs="仿宋"/>
          <w:snapToGrid/>
          <w:kern w:val="2"/>
          <w:sz w:val="25"/>
          <w:szCs w:val="25"/>
          <w:lang w:eastAsia="zh-CN"/>
        </w:rPr>
        <w:t>四 、乙方环境与职业健康安全(E&amp;OHS) 控制指标：</w:t>
      </w:r>
      <w:bookmarkEnd w:id="43"/>
    </w:p>
    <w:p w14:paraId="19EA1A2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1、不发生群体性职业健康安全事故；</w:t>
      </w:r>
    </w:p>
    <w:p w14:paraId="5043731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2、不发生重大环境污染和投诉事件。</w:t>
      </w:r>
    </w:p>
    <w:p w14:paraId="62DA9C5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4" w:name="_Toc13441"/>
      <w:r>
        <w:rPr>
          <w:rFonts w:hint="eastAsia" w:ascii="仿宋" w:hAnsi="仿宋" w:eastAsia="仿宋" w:cs="仿宋"/>
          <w:snapToGrid/>
          <w:kern w:val="2"/>
          <w:sz w:val="25"/>
          <w:szCs w:val="25"/>
          <w:lang w:eastAsia="zh-CN"/>
        </w:rPr>
        <w:t>五、安全生产目标</w:t>
      </w:r>
      <w:bookmarkEnd w:id="44"/>
    </w:p>
    <w:p w14:paraId="54B1320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(1)不发生生产性人身伤亡和重伤事故；</w:t>
      </w:r>
    </w:p>
    <w:p w14:paraId="5B1C09D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(2)不发生生产性原因造成的交通、火灾和重大机械设备事故；</w:t>
      </w:r>
    </w:p>
    <w:p w14:paraId="433A9A7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(3)不发生生产性原因造成环境污染事故和垮塌事故；</w:t>
      </w:r>
    </w:p>
    <w:p w14:paraId="30C3286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(4)不发生性质恶劣影响较大的其它责任事故；</w:t>
      </w:r>
    </w:p>
    <w:p w14:paraId="7BA8856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(5)轻伤负伤频率低于3%;</w:t>
      </w:r>
    </w:p>
    <w:p w14:paraId="5EA7AB2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(6)实现安全施工“事故零目标” ,创州级一流安全及文明施工现场（</w:t>
      </w:r>
      <w:r>
        <w:rPr>
          <w:rFonts w:hint="eastAsia" w:ascii="仿宋" w:hAnsi="仿宋" w:eastAsia="仿宋" w:cs="仿宋"/>
          <w:snapToGrid/>
          <w:kern w:val="2"/>
          <w:sz w:val="25"/>
          <w:szCs w:val="25"/>
          <w:lang w:val="en-US" w:eastAsia="zh-CN"/>
        </w:rPr>
        <w:t>根据项目是否创州标化或是省标化定</w:t>
      </w:r>
      <w:r>
        <w:rPr>
          <w:rFonts w:hint="eastAsia" w:ascii="仿宋" w:hAnsi="仿宋" w:eastAsia="仿宋" w:cs="仿宋"/>
          <w:snapToGrid/>
          <w:kern w:val="2"/>
          <w:sz w:val="25"/>
          <w:szCs w:val="25"/>
          <w:lang w:eastAsia="zh-CN"/>
        </w:rPr>
        <w:t>）。</w:t>
      </w:r>
    </w:p>
    <w:p w14:paraId="21155E9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5" w:name="_Toc430"/>
      <w:r>
        <w:rPr>
          <w:rFonts w:hint="eastAsia" w:ascii="仿宋" w:hAnsi="仿宋" w:eastAsia="仿宋" w:cs="仿宋"/>
          <w:snapToGrid/>
          <w:kern w:val="2"/>
          <w:sz w:val="25"/>
          <w:szCs w:val="25"/>
          <w:lang w:eastAsia="zh-CN"/>
        </w:rPr>
        <w:t>六、甲方安全职责</w:t>
      </w:r>
      <w:bookmarkEnd w:id="45"/>
    </w:p>
    <w:p w14:paraId="3CF2D56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(1)严格遵守国家有关安全生产的法律法规，认真执行工程承包合同中的有关安 全要求。</w:t>
      </w:r>
    </w:p>
    <w:p w14:paraId="23DC5DA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(2)按照“安全第一、预防为主”和坚持“管生产必须管安全”的原则进行安全 生产管理，做到生产与安全工作同时计划、布置、检查、总结和评比。</w:t>
      </w:r>
    </w:p>
    <w:p w14:paraId="1838750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(3)定期召开安全生产调度会，及时传达中央及地方有关安全生产的精神。</w:t>
      </w:r>
    </w:p>
    <w:p w14:paraId="0167426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(4)组织对乙方施工现场进行安全生产检查，监督乙方及时处理发现的各种安全隐患。</w:t>
      </w:r>
    </w:p>
    <w:p w14:paraId="266BDFE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bookmarkStart w:id="46" w:name="_Toc31798"/>
      <w:r>
        <w:rPr>
          <w:rFonts w:hint="eastAsia" w:ascii="仿宋" w:hAnsi="仿宋" w:eastAsia="仿宋" w:cs="仿宋"/>
          <w:snapToGrid/>
          <w:kern w:val="2"/>
          <w:sz w:val="25"/>
          <w:szCs w:val="25"/>
          <w:lang w:eastAsia="zh-CN"/>
        </w:rPr>
        <w:t>七、乙方安全职责</w:t>
      </w:r>
      <w:bookmarkEnd w:id="46"/>
    </w:p>
    <w:p w14:paraId="0D7709A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(1)严格遵守《中华人民共和国安全生产法》、《建设工程安全生产管理条例》等国家有关安全生产的法律法规，认真执行工程承包合同中的有关安全要求。</w:t>
      </w:r>
    </w:p>
    <w:p w14:paraId="5411699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2AD1D52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(3)建立健全安全生产责任制。从派往项目实施的项目经理到生产工人(包括临时 雇请的民工)的安全生产管理系统必须做到纵向到底，一环不漏；各职能部门、人员的安全生产责任制做到横向到边，人人有责。项目经理是安全生产的第一责任人。现场设置的安全机构，应按《建筑施工企业安全生产管理机构设置及专职安全生产管理人员配 备办法》规定的最低数量和资质条件配备专职安全生产管理人员，专职负责所有员工的安全和治安保卫工作及预防事故的发生。安全机构人员有权按有关规定发布指令，并采 取保护性措施防止事故发生。</w:t>
      </w:r>
    </w:p>
    <w:p w14:paraId="0AE2669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(4)乙方在任何时候都应采取各种合理的预防措施，防止其员工发生任何违法、违禁、暴力或妨碍治安的行为。</w:t>
      </w:r>
    </w:p>
    <w:p w14:paraId="6DCC577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乙方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179AB1E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0D43F8B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(7)操作人员上岗，必须按规定穿戴防护用品。施工负责人和安全检查员应随时 检查劳动防护用品的穿戴情况，不按规定穿戴防护用品的人员不得上岗。</w:t>
      </w:r>
    </w:p>
    <w:p w14:paraId="12039A7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(8)所有施工机具设备和高空作业的设备均应定期检查，并有安全员的签字记录，保证其经常处于完好状态；不合格的机具、设备和劳动保护用品严禁使用。</w:t>
      </w:r>
    </w:p>
    <w:p w14:paraId="7315605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(9)施工中采用新技术、新工艺、新设备、新材料时，必须制定相应的安全技术 措施，施工现场必须具有相关的安全标志牌。</w:t>
      </w:r>
    </w:p>
    <w:p w14:paraId="785768D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(10)乙方必须按照本工程项目特点，组织制定本工程实施中的生产安全事故应急  救援预案；如果发生安全事故，应按照《国务院关于特大安全事故行政责任追究的规定》 以及其他有关规定，及时上报有关部门，并坚持“四不放过”的原则，严肃处理相关责任人。</w:t>
      </w:r>
    </w:p>
    <w:p w14:paraId="33C704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(11)安全生产费用按照《企业安全生产费用提取和使用管理办法》(财企〔2012〕16号)的相关规定使用和管理。</w:t>
      </w:r>
    </w:p>
    <w:p w14:paraId="470F324A">
      <w:pPr>
        <w:keepNext w:val="0"/>
        <w:keepLines w:val="0"/>
        <w:pageBreakBefore w:val="0"/>
        <w:widowControl w:val="0"/>
        <w:kinsoku/>
        <w:overflowPunct/>
        <w:autoSpaceDE/>
        <w:autoSpaceDN/>
        <w:bidi w:val="0"/>
        <w:adjustRightInd w:val="0"/>
        <w:snapToGrid w:val="0"/>
        <w:spacing w:afterLines="0" w:line="360" w:lineRule="auto"/>
        <w:ind w:firstLine="502" w:firstLineChars="200"/>
        <w:jc w:val="both"/>
        <w:textAlignment w:val="auto"/>
        <w:rPr>
          <w:rFonts w:hint="eastAsia" w:ascii="仿宋" w:hAnsi="仿宋" w:eastAsia="仿宋" w:cs="仿宋"/>
          <w:b/>
          <w:bCs/>
          <w:snapToGrid/>
          <w:kern w:val="2"/>
          <w:sz w:val="25"/>
          <w:szCs w:val="25"/>
          <w:lang w:eastAsia="zh-CN"/>
        </w:rPr>
      </w:pPr>
      <w:bookmarkStart w:id="47" w:name="_Toc4453"/>
      <w:r>
        <w:rPr>
          <w:rFonts w:hint="eastAsia" w:ascii="仿宋" w:hAnsi="仿宋" w:eastAsia="仿宋" w:cs="仿宋"/>
          <w:b/>
          <w:bCs/>
          <w:snapToGrid/>
          <w:kern w:val="2"/>
          <w:sz w:val="25"/>
          <w:szCs w:val="25"/>
          <w:lang w:eastAsia="zh-CN"/>
        </w:rPr>
        <w:t>八、违约责任</w:t>
      </w:r>
      <w:bookmarkEnd w:id="47"/>
    </w:p>
    <w:p w14:paraId="3792B77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如因甲方或乙方违约造成安全事故，将依法追究责任。</w:t>
      </w:r>
    </w:p>
    <w:p w14:paraId="71D7A79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九、本责任书由双方法定代表人或其授权的代理人签署并加盖单位章后生效，全 部工程竣工验收后失效。</w:t>
      </w:r>
    </w:p>
    <w:p w14:paraId="30B4CB8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十、本合同</w:t>
      </w:r>
      <w:r>
        <w:rPr>
          <w:rFonts w:hint="eastAsia" w:ascii="仿宋" w:hAnsi="仿宋" w:eastAsia="仿宋" w:cs="仿宋"/>
          <w:b/>
          <w:bCs/>
          <w:snapToGrid/>
          <w:kern w:val="2"/>
          <w:sz w:val="25"/>
          <w:szCs w:val="25"/>
          <w:u w:val="single"/>
          <w:lang w:eastAsia="zh-CN"/>
        </w:rPr>
        <w:t>壹</w:t>
      </w:r>
      <w:r>
        <w:rPr>
          <w:rFonts w:hint="eastAsia" w:ascii="仿宋" w:hAnsi="仿宋" w:eastAsia="仿宋" w:cs="仿宋"/>
          <w:snapToGrid/>
          <w:kern w:val="2"/>
          <w:sz w:val="25"/>
          <w:szCs w:val="25"/>
          <w:lang w:eastAsia="zh-CN"/>
        </w:rPr>
        <w:t>式</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b/>
          <w:bCs/>
          <w:snapToGrid/>
          <w:kern w:val="2"/>
          <w:sz w:val="25"/>
          <w:szCs w:val="25"/>
          <w:u w:val="single"/>
          <w:lang w:val="en-US" w:eastAsia="zh-CN"/>
        </w:rPr>
        <w:t xml:space="preserve">陆 </w:t>
      </w:r>
      <w:r>
        <w:rPr>
          <w:rFonts w:hint="eastAsia" w:ascii="仿宋" w:hAnsi="仿宋" w:eastAsia="仿宋" w:cs="仿宋"/>
          <w:snapToGrid/>
          <w:kern w:val="2"/>
          <w:sz w:val="25"/>
          <w:szCs w:val="25"/>
          <w:lang w:eastAsia="zh-CN"/>
        </w:rPr>
        <w:t>份，甲方</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b/>
          <w:bCs/>
          <w:snapToGrid/>
          <w:kern w:val="2"/>
          <w:sz w:val="25"/>
          <w:szCs w:val="25"/>
          <w:u w:val="single"/>
          <w:lang w:eastAsia="zh-CN"/>
        </w:rPr>
        <w:t>肆</w:t>
      </w:r>
      <w:r>
        <w:rPr>
          <w:rFonts w:hint="eastAsia" w:ascii="仿宋" w:hAnsi="仿宋" w:eastAsia="仿宋" w:cs="仿宋"/>
          <w:b/>
          <w:bCs/>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份、乙方</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b/>
          <w:bCs/>
          <w:snapToGrid/>
          <w:kern w:val="2"/>
          <w:sz w:val="25"/>
          <w:szCs w:val="25"/>
          <w:u w:val="single"/>
          <w:lang w:val="en-US" w:eastAsia="zh-CN"/>
        </w:rPr>
        <w:t xml:space="preserve">贰 </w:t>
      </w:r>
      <w:r>
        <w:rPr>
          <w:rFonts w:hint="eastAsia" w:ascii="仿宋" w:hAnsi="仿宋" w:eastAsia="仿宋" w:cs="仿宋"/>
          <w:snapToGrid/>
          <w:kern w:val="2"/>
          <w:sz w:val="25"/>
          <w:szCs w:val="25"/>
          <w:lang w:eastAsia="zh-CN"/>
        </w:rPr>
        <w:t>份，当正本与副本的内容不一致时，以正本为准。</w:t>
      </w:r>
    </w:p>
    <w:tbl>
      <w:tblPr>
        <w:tblStyle w:val="14"/>
        <w:tblpPr w:leftFromText="180" w:rightFromText="180" w:vertAnchor="text" w:horzAnchor="page" w:tblpX="1650" w:tblpY="576"/>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64D23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center"/>
          </w:tcPr>
          <w:p w14:paraId="07386512">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甲方：</w:t>
            </w:r>
            <w:r>
              <w:rPr>
                <w:rFonts w:hint="eastAsia" w:ascii="仿宋" w:hAnsi="仿宋" w:eastAsia="仿宋" w:cs="仿宋"/>
                <w:b/>
                <w:bCs/>
                <w:snapToGrid/>
                <w:kern w:val="2"/>
                <w:sz w:val="25"/>
                <w:szCs w:val="25"/>
                <w:lang w:val="en-US" w:eastAsia="zh-CN"/>
              </w:rPr>
              <w:t>四川振西建设</w:t>
            </w:r>
            <w:r>
              <w:rPr>
                <w:rFonts w:hint="eastAsia" w:ascii="仿宋" w:hAnsi="仿宋" w:eastAsia="仿宋" w:cs="仿宋"/>
                <w:b/>
                <w:bCs/>
                <w:snapToGrid/>
                <w:kern w:val="2"/>
                <w:sz w:val="25"/>
                <w:szCs w:val="25"/>
                <w:lang w:eastAsia="zh-CN"/>
              </w:rPr>
              <w:t>有限公司</w:t>
            </w:r>
          </w:p>
        </w:tc>
        <w:tc>
          <w:tcPr>
            <w:tcW w:w="4332" w:type="dxa"/>
            <w:tcBorders>
              <w:tl2br w:val="nil"/>
              <w:tr2bl w:val="nil"/>
            </w:tcBorders>
            <w:noWrap w:val="0"/>
            <w:vAlign w:val="center"/>
          </w:tcPr>
          <w:p w14:paraId="21FD4174">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乙方：</w:t>
            </w:r>
            <w:r>
              <w:rPr>
                <w:rFonts w:hint="eastAsia" w:ascii="仿宋" w:hAnsi="仿宋" w:eastAsia="仿宋" w:cs="仿宋"/>
                <w:b/>
                <w:bCs/>
                <w:color w:val="auto"/>
                <w:sz w:val="24"/>
                <w:szCs w:val="24"/>
                <w:lang w:val="en-US" w:eastAsia="zh-CN"/>
              </w:rPr>
              <w:t>xxxx</w:t>
            </w:r>
          </w:p>
        </w:tc>
      </w:tr>
      <w:tr w14:paraId="64A0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2DBABB71">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c>
          <w:tcPr>
            <w:tcW w:w="4332" w:type="dxa"/>
            <w:tcBorders>
              <w:tl2br w:val="nil"/>
              <w:tr2bl w:val="nil"/>
            </w:tcBorders>
            <w:noWrap w:val="0"/>
            <w:vAlign w:val="center"/>
          </w:tcPr>
          <w:p w14:paraId="0C93B609">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r>
      <w:tr w14:paraId="7201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center"/>
          </w:tcPr>
          <w:p w14:paraId="6BB7B488">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开户银行：四川银行股份有限公司凉山分行营业部</w:t>
            </w:r>
          </w:p>
        </w:tc>
        <w:tc>
          <w:tcPr>
            <w:tcW w:w="4332" w:type="dxa"/>
            <w:tcBorders>
              <w:tl2br w:val="nil"/>
              <w:tr2bl w:val="nil"/>
            </w:tcBorders>
            <w:noWrap w:val="0"/>
            <w:vAlign w:val="center"/>
          </w:tcPr>
          <w:p w14:paraId="2F33A9D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开户银行：</w:t>
            </w:r>
            <w:r>
              <w:rPr>
                <w:rFonts w:hint="eastAsia" w:ascii="仿宋" w:hAnsi="仿宋" w:eastAsia="仿宋" w:cs="仿宋"/>
                <w:color w:val="auto"/>
                <w:sz w:val="24"/>
                <w:szCs w:val="24"/>
                <w:lang w:val="en-US" w:eastAsia="zh-CN"/>
              </w:rPr>
              <w:t>xxxx</w:t>
            </w:r>
          </w:p>
        </w:tc>
      </w:tr>
      <w:tr w14:paraId="5716F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6AB8BFB1">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账号：06010303000007276</w:t>
            </w:r>
          </w:p>
        </w:tc>
        <w:tc>
          <w:tcPr>
            <w:tcW w:w="4332" w:type="dxa"/>
            <w:tcBorders>
              <w:tl2br w:val="nil"/>
              <w:tr2bl w:val="nil"/>
            </w:tcBorders>
            <w:noWrap w:val="0"/>
            <w:vAlign w:val="center"/>
          </w:tcPr>
          <w:p w14:paraId="3FE78557">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帐号：</w:t>
            </w:r>
            <w:r>
              <w:rPr>
                <w:rFonts w:hint="eastAsia" w:ascii="仿宋" w:hAnsi="仿宋" w:eastAsia="仿宋" w:cs="仿宋"/>
                <w:color w:val="auto"/>
                <w:sz w:val="24"/>
                <w:szCs w:val="24"/>
                <w:lang w:val="en-US" w:eastAsia="zh-CN"/>
              </w:rPr>
              <w:t>xxxxx</w:t>
            </w:r>
          </w:p>
        </w:tc>
      </w:tr>
      <w:tr w14:paraId="06452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center"/>
          </w:tcPr>
          <w:p w14:paraId="491090D1">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注册地址：西昌市长安东路53号3幢2楼</w:t>
            </w:r>
          </w:p>
        </w:tc>
        <w:tc>
          <w:tcPr>
            <w:tcW w:w="4332" w:type="dxa"/>
            <w:tcBorders>
              <w:tl2br w:val="nil"/>
              <w:tr2bl w:val="nil"/>
            </w:tcBorders>
            <w:noWrap w:val="0"/>
            <w:vAlign w:val="center"/>
          </w:tcPr>
          <w:p w14:paraId="57B8083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w:t>
            </w:r>
            <w:r>
              <w:rPr>
                <w:rFonts w:hint="eastAsia" w:ascii="仿宋" w:hAnsi="仿宋" w:eastAsia="仿宋" w:cs="仿宋"/>
                <w:color w:val="auto"/>
                <w:sz w:val="24"/>
                <w:szCs w:val="24"/>
                <w:lang w:val="en-US" w:eastAsia="zh-CN"/>
              </w:rPr>
              <w:t>xxxxx</w:t>
            </w:r>
          </w:p>
        </w:tc>
      </w:tr>
      <w:tr w14:paraId="6D900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center"/>
          </w:tcPr>
          <w:p w14:paraId="68671DFC">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签订地点：</w:t>
            </w:r>
            <w:r>
              <w:rPr>
                <w:rFonts w:hint="eastAsia" w:ascii="仿宋" w:hAnsi="仿宋" w:eastAsia="仿宋" w:cs="仿宋"/>
                <w:snapToGrid/>
                <w:kern w:val="2"/>
                <w:sz w:val="25"/>
                <w:szCs w:val="25"/>
                <w:lang w:val="en-US" w:eastAsia="zh-CN"/>
              </w:rPr>
              <w:t>四川省西昌市</w:t>
            </w:r>
          </w:p>
        </w:tc>
      </w:tr>
      <w:tr w14:paraId="3A11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center"/>
          </w:tcPr>
          <w:p w14:paraId="6D4D193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签订日期：</w:t>
            </w:r>
            <w:r>
              <w:rPr>
                <w:rFonts w:hint="eastAsia" w:ascii="仿宋" w:hAnsi="仿宋" w:eastAsia="仿宋" w:cs="仿宋"/>
                <w:snapToGrid/>
                <w:kern w:val="2"/>
                <w:sz w:val="25"/>
                <w:szCs w:val="25"/>
                <w:lang w:val="en-US" w:eastAsia="zh-CN"/>
              </w:rPr>
              <w:t>2026</w:t>
            </w:r>
            <w:r>
              <w:rPr>
                <w:rFonts w:hint="eastAsia" w:ascii="仿宋" w:hAnsi="仿宋" w:eastAsia="仿宋" w:cs="仿宋"/>
                <w:snapToGrid/>
                <w:kern w:val="2"/>
                <w:sz w:val="25"/>
                <w:szCs w:val="25"/>
                <w:lang w:eastAsia="zh-CN"/>
              </w:rPr>
              <w:t xml:space="preserve"> 年 </w:t>
            </w:r>
            <w:r>
              <w:rPr>
                <w:rFonts w:hint="eastAsia" w:ascii="仿宋" w:hAnsi="仿宋" w:eastAsia="仿宋" w:cs="仿宋"/>
                <w:snapToGrid/>
                <w:kern w:val="2"/>
                <w:sz w:val="25"/>
                <w:szCs w:val="25"/>
                <w:lang w:val="en-US" w:eastAsia="zh-CN"/>
              </w:rPr>
              <w:t>x</w:t>
            </w:r>
            <w:r>
              <w:rPr>
                <w:rFonts w:hint="eastAsia" w:ascii="仿宋" w:hAnsi="仿宋" w:eastAsia="仿宋" w:cs="仿宋"/>
                <w:snapToGrid/>
                <w:kern w:val="2"/>
                <w:sz w:val="25"/>
                <w:szCs w:val="25"/>
                <w:lang w:eastAsia="zh-CN"/>
              </w:rPr>
              <w:t>月</w:t>
            </w:r>
            <w:r>
              <w:rPr>
                <w:rFonts w:hint="eastAsia" w:ascii="仿宋" w:hAnsi="仿宋" w:eastAsia="仿宋" w:cs="仿宋"/>
                <w:snapToGrid/>
                <w:kern w:val="2"/>
                <w:sz w:val="25"/>
                <w:szCs w:val="25"/>
                <w:lang w:val="en-US" w:eastAsia="zh-CN"/>
              </w:rPr>
              <w:t>x</w:t>
            </w:r>
            <w:r>
              <w:rPr>
                <w:rFonts w:hint="eastAsia" w:ascii="仿宋" w:hAnsi="仿宋" w:eastAsia="仿宋" w:cs="仿宋"/>
                <w:snapToGrid/>
                <w:kern w:val="2"/>
                <w:sz w:val="25"/>
                <w:szCs w:val="25"/>
                <w:lang w:eastAsia="zh-CN"/>
              </w:rPr>
              <w:t>日</w:t>
            </w:r>
          </w:p>
        </w:tc>
      </w:tr>
    </w:tbl>
    <w:p w14:paraId="2F1823D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666535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val="en-US" w:eastAsia="en-US"/>
        </w:rPr>
        <w:sectPr>
          <w:pgSz w:w="11900" w:h="16830"/>
          <w:pgMar w:top="1417" w:right="1803" w:bottom="1417" w:left="1803" w:header="850" w:footer="992" w:gutter="0"/>
          <w:pgNumType w:fmt="decimal"/>
          <w:cols w:equalWidth="0" w:num="1">
            <w:col w:w="9275"/>
          </w:cols>
          <w:rtlGutter w:val="0"/>
          <w:docGrid w:type="lines" w:linePitch="437" w:charSpace="0"/>
        </w:sectPr>
      </w:pPr>
    </w:p>
    <w:p w14:paraId="5F8D2B6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0BB9AB2">
      <w:pPr>
        <w:keepNext w:val="0"/>
        <w:keepLines w:val="0"/>
        <w:pageBreakBefore w:val="0"/>
        <w:widowControl w:val="0"/>
        <w:overflowPunct/>
        <w:bidi w:val="0"/>
        <w:spacing w:before="171" w:line="222" w:lineRule="auto"/>
        <w:rPr>
          <w:rFonts w:hint="eastAsia" w:ascii="仿宋" w:hAnsi="仿宋" w:eastAsia="仿宋" w:cs="仿宋"/>
          <w:color w:val="auto"/>
          <w:spacing w:val="-18"/>
          <w:sz w:val="31"/>
          <w:szCs w:val="31"/>
          <w:lang w:eastAsia="zh-CN"/>
        </w:rPr>
      </w:pPr>
      <w:r>
        <w:rPr>
          <w:rFonts w:hint="eastAsia" w:ascii="仿宋" w:hAnsi="仿宋" w:eastAsia="仿宋" w:cs="仿宋"/>
          <w:snapToGrid/>
          <w:kern w:val="2"/>
          <w:sz w:val="25"/>
          <w:szCs w:val="25"/>
          <w:lang w:eastAsia="zh-CN"/>
        </w:rPr>
        <w:t>附件</w:t>
      </w:r>
      <w:r>
        <w:rPr>
          <w:rFonts w:hint="eastAsia" w:ascii="仿宋" w:hAnsi="仿宋" w:eastAsia="仿宋" w:cs="仿宋"/>
          <w:snapToGrid/>
          <w:kern w:val="2"/>
          <w:sz w:val="25"/>
          <w:szCs w:val="25"/>
          <w:lang w:val="en-US" w:eastAsia="zh-CN"/>
        </w:rPr>
        <w:t>4</w:t>
      </w:r>
      <w:r>
        <w:rPr>
          <w:rFonts w:hint="eastAsia" w:ascii="仿宋" w:hAnsi="仿宋" w:eastAsia="仿宋" w:cs="仿宋"/>
          <w:snapToGrid/>
          <w:kern w:val="2"/>
          <w:sz w:val="25"/>
          <w:szCs w:val="25"/>
          <w:lang w:eastAsia="zh-CN"/>
        </w:rPr>
        <w:t>:</w:t>
      </w:r>
    </w:p>
    <w:p w14:paraId="597C2E94">
      <w:pPr>
        <w:keepNext w:val="0"/>
        <w:keepLines w:val="0"/>
        <w:pageBreakBefore w:val="0"/>
        <w:widowControl w:val="0"/>
        <w:overflowPunct/>
        <w:bidi w:val="0"/>
        <w:spacing w:before="171" w:line="222" w:lineRule="auto"/>
        <w:ind w:left="3779"/>
        <w:rPr>
          <w:rFonts w:hint="eastAsia" w:ascii="仿宋" w:hAnsi="仿宋" w:eastAsia="仿宋" w:cs="仿宋"/>
          <w:b/>
          <w:bCs/>
          <w:snapToGrid/>
          <w:kern w:val="2"/>
          <w:sz w:val="25"/>
          <w:szCs w:val="25"/>
          <w:lang w:eastAsia="zh-CN"/>
        </w:rPr>
      </w:pPr>
      <w:r>
        <w:rPr>
          <w:rFonts w:hint="eastAsia" w:ascii="仿宋" w:hAnsi="仿宋" w:eastAsia="仿宋" w:cs="仿宋"/>
          <w:b/>
          <w:bCs/>
          <w:color w:val="auto"/>
          <w:spacing w:val="-18"/>
          <w:sz w:val="31"/>
          <w:szCs w:val="31"/>
          <w:lang w:eastAsia="zh-CN"/>
        </w:rPr>
        <w:t>廉 政 合 同</w:t>
      </w:r>
    </w:p>
    <w:p w14:paraId="2E305EE1">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106CEF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为做好工程建设中的党风廉政建设，保证工程建设高效优质，保证建设资金的安 全和有效使用以及投资效益，</w:t>
      </w:r>
      <w:r>
        <w:rPr>
          <w:rFonts w:hint="eastAsia" w:ascii="仿宋" w:hAnsi="仿宋" w:eastAsia="仿宋" w:cs="仿宋"/>
          <w:snapToGrid/>
          <w:kern w:val="2"/>
          <w:sz w:val="25"/>
          <w:szCs w:val="25"/>
          <w:u w:val="single"/>
          <w:lang w:val="en-US" w:eastAsia="zh-CN"/>
        </w:rPr>
        <w:t>金沙江下游白鹤滩翻坝转运设施（白鹤滩码头）建设项目</w:t>
      </w:r>
      <w:r>
        <w:rPr>
          <w:rFonts w:hint="eastAsia" w:ascii="仿宋" w:hAnsi="仿宋" w:eastAsia="仿宋" w:cs="仿宋"/>
          <w:snapToGrid/>
          <w:kern w:val="2"/>
          <w:sz w:val="25"/>
          <w:szCs w:val="25"/>
          <w:lang w:eastAsia="zh-CN"/>
        </w:rPr>
        <w:t>的承包方</w:t>
      </w:r>
      <w:r>
        <w:rPr>
          <w:rFonts w:hint="eastAsia" w:ascii="仿宋" w:hAnsi="仿宋" w:eastAsia="仿宋" w:cs="仿宋"/>
          <w:snapToGrid/>
          <w:kern w:val="2"/>
          <w:sz w:val="25"/>
          <w:szCs w:val="25"/>
          <w:u w:val="single"/>
          <w:lang w:val="en-US" w:eastAsia="zh-CN"/>
        </w:rPr>
        <w:t>四川振西建设有限公司</w:t>
      </w:r>
      <w:r>
        <w:rPr>
          <w:rFonts w:hint="eastAsia" w:ascii="仿宋" w:hAnsi="仿宋" w:eastAsia="仿宋" w:cs="仿宋"/>
          <w:snapToGrid/>
          <w:kern w:val="2"/>
          <w:sz w:val="25"/>
          <w:szCs w:val="25"/>
          <w:lang w:eastAsia="zh-CN"/>
        </w:rPr>
        <w:t>(以下简称“甲方”)与该项目的分包单</w:t>
      </w:r>
      <w:r>
        <w:rPr>
          <w:rFonts w:hint="eastAsia" w:ascii="仿宋" w:hAnsi="仿宋" w:eastAsia="仿宋" w:cs="仿宋"/>
          <w:snapToGrid/>
          <w:kern w:val="2"/>
          <w:sz w:val="25"/>
          <w:szCs w:val="25"/>
          <w:lang w:val="en-US" w:eastAsia="zh-CN"/>
        </w:rPr>
        <w:t>位</w:t>
      </w:r>
      <w:r>
        <w:rPr>
          <w:rFonts w:hint="eastAsia" w:ascii="仿宋" w:hAnsi="仿宋" w:eastAsia="仿宋" w:cs="仿宋"/>
          <w:snapToGrid/>
          <w:kern w:val="2"/>
          <w:sz w:val="25"/>
          <w:szCs w:val="25"/>
          <w:u w:val="single"/>
          <w:lang w:val="en-US" w:eastAsia="zh-CN"/>
        </w:rPr>
        <w:t xml:space="preserve">          </w:t>
      </w:r>
      <w:r>
        <w:rPr>
          <w:rFonts w:hint="eastAsia" w:ascii="仿宋" w:hAnsi="仿宋" w:eastAsia="仿宋" w:cs="仿宋"/>
          <w:snapToGrid/>
          <w:kern w:val="2"/>
          <w:sz w:val="25"/>
          <w:szCs w:val="25"/>
          <w:lang w:eastAsia="zh-CN"/>
        </w:rPr>
        <w:t>(以下简称“乙方”),  特订立如下合同。</w:t>
      </w:r>
    </w:p>
    <w:p w14:paraId="50C5053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 甲乙双方的权利和义务</w:t>
      </w:r>
    </w:p>
    <w:p w14:paraId="61DD075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(1)严格遵守党的政策规定和国家有关法律法规的有关规定。</w:t>
      </w:r>
    </w:p>
    <w:p w14:paraId="33F3EE35">
      <w:pPr>
        <w:keepNext w:val="0"/>
        <w:keepLines w:val="0"/>
        <w:pageBreakBefore w:val="0"/>
        <w:widowControl w:val="0"/>
        <w:kinsoku/>
        <w:overflowPunct/>
        <w:autoSpaceDE/>
        <w:autoSpaceDN/>
        <w:bidi w:val="0"/>
        <w:adjustRightInd w:val="0"/>
        <w:snapToGrid w:val="0"/>
        <w:spacing w:afterLines="0" w:line="360" w:lineRule="auto"/>
        <w:ind w:left="750" w:leftChars="238" w:hanging="250" w:hangingChars="1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(2)严格执行</w:t>
      </w:r>
      <w:r>
        <w:rPr>
          <w:rFonts w:hint="eastAsia" w:ascii="仿宋" w:hAnsi="仿宋" w:eastAsia="仿宋" w:cs="仿宋"/>
          <w:snapToGrid/>
          <w:kern w:val="2"/>
          <w:sz w:val="25"/>
          <w:szCs w:val="25"/>
          <w:u w:val="single"/>
          <w:lang w:val="en-US" w:eastAsia="zh-CN"/>
        </w:rPr>
        <w:t>金沙江下游白鹤滩翻坝转运设施（白鹤滩码头）建设项目xxxxx劳务分包</w:t>
      </w:r>
      <w:r>
        <w:rPr>
          <w:rFonts w:hint="eastAsia" w:ascii="仿宋" w:hAnsi="仿宋" w:eastAsia="仿宋" w:cs="仿宋"/>
          <w:snapToGrid/>
          <w:kern w:val="2"/>
          <w:sz w:val="25"/>
          <w:szCs w:val="25"/>
          <w:lang w:eastAsia="zh-CN"/>
        </w:rPr>
        <w:t>施工合同文件，自觉按合同办事。</w:t>
      </w:r>
    </w:p>
    <w:p w14:paraId="137D629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(3)双方的业务活动坚持公开、公正、诚信、透明的原则(法律认定的商业秘密和 合同文件另有规定除外),不得损害国家和集体利益，不得违反工程建设管理规章制度。</w:t>
      </w:r>
    </w:p>
    <w:p w14:paraId="398EC46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(4)建立健全廉政制度，开展廉政教育，设立廉政告示牌，公布举报电话，监督</w:t>
      </w:r>
    </w:p>
    <w:p w14:paraId="0D78387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并认真查处违法违纪行为。</w:t>
      </w:r>
    </w:p>
    <w:p w14:paraId="2EFAEAD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(5)发现对方在业务活动中有违反廉政规定的行为，有及时提醒对方纠正的权利 和义务。</w:t>
      </w:r>
    </w:p>
    <w:p w14:paraId="6CC7CF9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(6)发现对方严重违反本合同义务条款的行为，有向其上级有关部门举报、建议 给予处理并要求告知处理结果的权利。</w:t>
      </w:r>
    </w:p>
    <w:p w14:paraId="6BD4395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 甲方的义务</w:t>
      </w:r>
    </w:p>
    <w:p w14:paraId="1791ACD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(1)甲方及其工作人员不得索要或接受乙方的礼金、有价证券和贵重物品，不得 让乙方报销任何应由甲方或甲方工作人员个人支付的费用等。</w:t>
      </w:r>
    </w:p>
    <w:p w14:paraId="669757C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(2)甲方工作人员不得参加乙方安排的超标准宴请和娱乐活动；不得接受乙方提 供的通讯工具、交通工具和高档办公用品等。</w:t>
      </w:r>
    </w:p>
    <w:p w14:paraId="0F8D143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(3)甲方及其工作人员不得要求或者接受乙方为其住房装修、婚丧嫁娶活动、配 偶子女的工作安排以及出国出境、旅游等提供方便等。</w:t>
      </w:r>
    </w:p>
    <w:p w14:paraId="51CB7029">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(4)甲方工作人员及其配偶、子女不得从事与乙方工程有关的材料设备供应、工 程分包、劳务等经济活动等。</w:t>
      </w:r>
    </w:p>
    <w:p w14:paraId="7D51E2A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default" w:ascii="仿宋" w:hAnsi="仿宋" w:eastAsia="仿宋" w:cs="仿宋"/>
          <w:snapToGrid/>
          <w:kern w:val="2"/>
          <w:sz w:val="25"/>
          <w:szCs w:val="25"/>
          <w:lang w:val="en-US" w:eastAsia="zh-CN"/>
        </w:rPr>
        <w:sectPr>
          <w:footerReference r:id="rId11" w:type="default"/>
          <w:pgSz w:w="11900" w:h="16830"/>
          <w:pgMar w:top="400" w:right="1275" w:bottom="400" w:left="1370" w:header="0" w:footer="0" w:gutter="0"/>
          <w:pgNumType w:fmt="decimal"/>
          <w:cols w:space="720" w:num="1"/>
        </w:sectPr>
      </w:pPr>
      <w:r>
        <w:rPr>
          <w:rFonts w:hint="eastAsia" w:ascii="仿宋" w:hAnsi="仿宋" w:eastAsia="仿宋" w:cs="仿宋"/>
          <w:snapToGrid/>
          <w:kern w:val="2"/>
          <w:sz w:val="25"/>
          <w:szCs w:val="25"/>
          <w:lang w:eastAsia="zh-CN"/>
        </w:rPr>
        <w:t>(5)甲方及其工作人员不得以任何理由向乙方推荐分包单位或推销材料，不得要 求乙方购买合同规定外的材料和设</w:t>
      </w:r>
      <w:r>
        <w:rPr>
          <w:rFonts w:hint="eastAsia" w:ascii="仿宋" w:hAnsi="仿宋" w:eastAsia="仿宋" w:cs="仿宋"/>
          <w:snapToGrid/>
          <w:kern w:val="2"/>
          <w:sz w:val="25"/>
          <w:szCs w:val="25"/>
          <w:lang w:val="en-US" w:eastAsia="zh-CN"/>
        </w:rPr>
        <w:t>备</w:t>
      </w:r>
    </w:p>
    <w:p w14:paraId="2FA7A8E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(6)甲方工作人员要秉公办事，不准营私舞弊，不准利用职权从事各种个人有偿 中介活动和安排个人施工队伍。</w:t>
      </w:r>
    </w:p>
    <w:p w14:paraId="4B4A435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 乙方的义务</w:t>
      </w:r>
    </w:p>
    <w:p w14:paraId="768A5EC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(1)乙方不得以任何理由向甲方及其工作人员行贿或馈赠礼金、有价证券、贵重 礼品。</w:t>
      </w:r>
    </w:p>
    <w:p w14:paraId="5EF6ADF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(2)乙方不得以任何名义为甲方及其工作人员报销应由发包人单位或个人支付的 任何费用。</w:t>
      </w:r>
    </w:p>
    <w:p w14:paraId="750F461D">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(3)乙方不得以任何理由安</w:t>
      </w:r>
    </w:p>
    <w:p w14:paraId="1AC5C8C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排甲方工作人员参加超标准宴请及娱乐活动。</w:t>
      </w:r>
    </w:p>
    <w:p w14:paraId="1351DF0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(4)乙方不得为甲方单位和个人购置或提供通信工具、交通工具和高档办公用品等。 4.违约责任</w:t>
      </w:r>
    </w:p>
    <w:p w14:paraId="661D1BB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(1)甲方及其工作人员违反本合同第1、2条，按管理权限，依据有关规定给予党 纪、政纪或组织处理；涉嫌犯罪的，移交司法机关追究刑事责任；给承包人单位造成经 济损失的，应予以赔偿。</w:t>
      </w:r>
    </w:p>
    <w:p w14:paraId="3D2DF75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(2)乙方及其工作人员违反本合同第1、3条，按管理权限，依据有关规定给予党 纪、政纪或组织处理；给甲方单位造成经济损失的，应予以赔偿。</w:t>
      </w:r>
    </w:p>
    <w:p w14:paraId="45262D9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5. 本合同有效期为甲方和乙方签署之日起至该工程项目竣工验收后止。</w:t>
      </w:r>
    </w:p>
    <w:p w14:paraId="019ADAB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6.本合同作为</w:t>
      </w:r>
      <w:r>
        <w:rPr>
          <w:rFonts w:hint="eastAsia" w:ascii="仿宋" w:hAnsi="仿宋" w:eastAsia="仿宋" w:cs="仿宋"/>
          <w:snapToGrid/>
          <w:kern w:val="2"/>
          <w:sz w:val="25"/>
          <w:szCs w:val="25"/>
          <w:u w:val="single"/>
          <w:lang w:val="en-US" w:eastAsia="zh-CN"/>
        </w:rPr>
        <w:t>金沙江下游白鹤滩翻坝转运设施（白鹤滩码头）建设项目xxxxxx劳务分包</w:t>
      </w:r>
      <w:r>
        <w:rPr>
          <w:rFonts w:hint="eastAsia" w:ascii="仿宋" w:hAnsi="仿宋" w:eastAsia="仿宋" w:cs="仿宋"/>
          <w:snapToGrid/>
          <w:kern w:val="2"/>
          <w:sz w:val="25"/>
          <w:szCs w:val="25"/>
          <w:lang w:eastAsia="zh-CN"/>
        </w:rPr>
        <w:t>施工合同的附件，与主合同具有同等的法律效力，经合同双方签署后立即生效。</w:t>
      </w:r>
    </w:p>
    <w:p w14:paraId="10F610C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7.本合同壹式</w:t>
      </w:r>
      <w:r>
        <w:rPr>
          <w:rFonts w:hint="eastAsia" w:ascii="仿宋" w:hAnsi="仿宋" w:eastAsia="仿宋" w:cs="仿宋"/>
          <w:b/>
          <w:bCs/>
          <w:snapToGrid/>
          <w:kern w:val="2"/>
          <w:sz w:val="25"/>
          <w:szCs w:val="25"/>
          <w:u w:val="single"/>
          <w:lang w:val="en-US" w:eastAsia="zh-CN"/>
        </w:rPr>
        <w:t>陆</w:t>
      </w:r>
      <w:r>
        <w:rPr>
          <w:rFonts w:hint="eastAsia" w:ascii="仿宋" w:hAnsi="仿宋" w:eastAsia="仿宋" w:cs="仿宋"/>
          <w:snapToGrid/>
          <w:kern w:val="2"/>
          <w:sz w:val="25"/>
          <w:szCs w:val="25"/>
          <w:lang w:eastAsia="zh-CN"/>
        </w:rPr>
        <w:t>份，甲方</w:t>
      </w:r>
      <w:r>
        <w:rPr>
          <w:rFonts w:hint="eastAsia" w:ascii="仿宋" w:hAnsi="仿宋" w:eastAsia="仿宋" w:cs="仿宋"/>
          <w:b/>
          <w:bCs/>
          <w:snapToGrid/>
          <w:kern w:val="2"/>
          <w:sz w:val="25"/>
          <w:szCs w:val="25"/>
          <w:u w:val="single"/>
          <w:lang w:eastAsia="zh-CN"/>
        </w:rPr>
        <w:t>肆</w:t>
      </w:r>
      <w:r>
        <w:rPr>
          <w:rFonts w:hint="eastAsia" w:ascii="仿宋" w:hAnsi="仿宋" w:eastAsia="仿宋" w:cs="仿宋"/>
          <w:snapToGrid/>
          <w:kern w:val="2"/>
          <w:sz w:val="25"/>
          <w:szCs w:val="25"/>
          <w:lang w:eastAsia="zh-CN"/>
        </w:rPr>
        <w:t>份、乙方</w:t>
      </w:r>
      <w:r>
        <w:rPr>
          <w:rFonts w:hint="eastAsia" w:ascii="仿宋" w:hAnsi="仿宋" w:eastAsia="仿宋" w:cs="仿宋"/>
          <w:b/>
          <w:bCs/>
          <w:snapToGrid/>
          <w:kern w:val="2"/>
          <w:sz w:val="25"/>
          <w:szCs w:val="25"/>
          <w:u w:val="single"/>
          <w:lang w:val="en-US" w:eastAsia="zh-CN"/>
        </w:rPr>
        <w:t>贰</w:t>
      </w:r>
      <w:r>
        <w:rPr>
          <w:rFonts w:hint="eastAsia" w:ascii="仿宋" w:hAnsi="仿宋" w:eastAsia="仿宋" w:cs="仿宋"/>
          <w:snapToGrid/>
          <w:kern w:val="2"/>
          <w:sz w:val="25"/>
          <w:szCs w:val="25"/>
          <w:lang w:eastAsia="zh-CN"/>
        </w:rPr>
        <w:t>份，当正本与副本的内容不一致时，以正本为准。</w:t>
      </w:r>
    </w:p>
    <w:p w14:paraId="421567FA">
      <w:pPr>
        <w:pStyle w:val="12"/>
        <w:rPr>
          <w:rFonts w:hint="eastAsia" w:ascii="仿宋" w:hAnsi="仿宋" w:eastAsia="仿宋" w:cs="仿宋"/>
          <w:snapToGrid/>
          <w:kern w:val="2"/>
          <w:sz w:val="25"/>
          <w:szCs w:val="25"/>
          <w:lang w:eastAsia="zh-CN"/>
        </w:rPr>
      </w:pPr>
    </w:p>
    <w:p w14:paraId="04DC783F">
      <w:pPr>
        <w:pStyle w:val="12"/>
        <w:rPr>
          <w:rFonts w:hint="eastAsia" w:ascii="仿宋" w:hAnsi="仿宋" w:eastAsia="仿宋" w:cs="仿宋"/>
          <w:snapToGrid/>
          <w:kern w:val="2"/>
          <w:sz w:val="25"/>
          <w:szCs w:val="25"/>
          <w:lang w:eastAsia="zh-CN"/>
        </w:rPr>
      </w:pPr>
    </w:p>
    <w:p w14:paraId="730BDFB1">
      <w:pPr>
        <w:pStyle w:val="12"/>
        <w:rPr>
          <w:rFonts w:hint="eastAsia" w:ascii="仿宋" w:hAnsi="仿宋" w:eastAsia="仿宋" w:cs="仿宋"/>
          <w:snapToGrid/>
          <w:kern w:val="2"/>
          <w:sz w:val="25"/>
          <w:szCs w:val="25"/>
          <w:lang w:eastAsia="zh-CN"/>
        </w:rPr>
      </w:pPr>
    </w:p>
    <w:p w14:paraId="0219D2BF">
      <w:pPr>
        <w:pStyle w:val="12"/>
        <w:rPr>
          <w:rFonts w:hint="eastAsia" w:ascii="仿宋" w:hAnsi="仿宋" w:eastAsia="仿宋" w:cs="仿宋"/>
          <w:snapToGrid/>
          <w:kern w:val="2"/>
          <w:sz w:val="25"/>
          <w:szCs w:val="25"/>
          <w:lang w:eastAsia="zh-CN"/>
        </w:rPr>
      </w:pPr>
    </w:p>
    <w:p w14:paraId="2436B11E">
      <w:pPr>
        <w:pStyle w:val="12"/>
        <w:rPr>
          <w:rFonts w:hint="eastAsia" w:ascii="仿宋" w:hAnsi="仿宋" w:eastAsia="仿宋" w:cs="仿宋"/>
          <w:snapToGrid/>
          <w:kern w:val="2"/>
          <w:sz w:val="25"/>
          <w:szCs w:val="25"/>
          <w:lang w:eastAsia="zh-CN"/>
        </w:rPr>
      </w:pPr>
    </w:p>
    <w:p w14:paraId="5CC8D420">
      <w:pPr>
        <w:pStyle w:val="12"/>
        <w:rPr>
          <w:rFonts w:hint="eastAsia" w:ascii="仿宋" w:hAnsi="仿宋" w:eastAsia="仿宋" w:cs="仿宋"/>
          <w:snapToGrid/>
          <w:kern w:val="2"/>
          <w:sz w:val="25"/>
          <w:szCs w:val="25"/>
          <w:lang w:eastAsia="zh-CN"/>
        </w:rPr>
      </w:pPr>
    </w:p>
    <w:p w14:paraId="6532634B">
      <w:pPr>
        <w:pStyle w:val="12"/>
        <w:rPr>
          <w:rFonts w:hint="eastAsia" w:ascii="仿宋" w:hAnsi="仿宋" w:eastAsia="仿宋" w:cs="仿宋"/>
          <w:snapToGrid/>
          <w:kern w:val="2"/>
          <w:sz w:val="25"/>
          <w:szCs w:val="25"/>
          <w:lang w:eastAsia="zh-CN"/>
        </w:rPr>
      </w:pPr>
    </w:p>
    <w:p w14:paraId="4EDC0F0B">
      <w:pPr>
        <w:pStyle w:val="12"/>
        <w:rPr>
          <w:rFonts w:hint="eastAsia" w:ascii="仿宋" w:hAnsi="仿宋" w:eastAsia="仿宋" w:cs="仿宋"/>
          <w:snapToGrid/>
          <w:kern w:val="2"/>
          <w:sz w:val="25"/>
          <w:szCs w:val="25"/>
          <w:lang w:eastAsia="zh-CN"/>
        </w:rPr>
      </w:pPr>
    </w:p>
    <w:tbl>
      <w:tblPr>
        <w:tblStyle w:val="14"/>
        <w:tblpPr w:leftFromText="180" w:rightFromText="180" w:vertAnchor="text" w:horzAnchor="page" w:tblpX="1757" w:tblpY="1363"/>
        <w:tblOverlap w:val="never"/>
        <w:tblW w:w="9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7"/>
        <w:gridCol w:w="4332"/>
      </w:tblGrid>
      <w:tr w14:paraId="44E84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767" w:type="dxa"/>
            <w:tcBorders>
              <w:tl2br w:val="nil"/>
              <w:tr2bl w:val="nil"/>
            </w:tcBorders>
            <w:noWrap w:val="0"/>
            <w:vAlign w:val="center"/>
          </w:tcPr>
          <w:p w14:paraId="2D4C31C0">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甲方：</w:t>
            </w:r>
            <w:r>
              <w:rPr>
                <w:rFonts w:hint="eastAsia" w:ascii="仿宋" w:hAnsi="仿宋" w:eastAsia="仿宋" w:cs="仿宋"/>
                <w:b/>
                <w:bCs/>
                <w:snapToGrid/>
                <w:kern w:val="2"/>
                <w:sz w:val="25"/>
                <w:szCs w:val="25"/>
                <w:lang w:val="en-US" w:eastAsia="zh-CN"/>
              </w:rPr>
              <w:t>四川振西建设</w:t>
            </w:r>
            <w:r>
              <w:rPr>
                <w:rFonts w:hint="eastAsia" w:ascii="仿宋" w:hAnsi="仿宋" w:eastAsia="仿宋" w:cs="仿宋"/>
                <w:b/>
                <w:bCs/>
                <w:snapToGrid/>
                <w:kern w:val="2"/>
                <w:sz w:val="25"/>
                <w:szCs w:val="25"/>
                <w:lang w:eastAsia="zh-CN"/>
              </w:rPr>
              <w:t>有限公司</w:t>
            </w:r>
          </w:p>
        </w:tc>
        <w:tc>
          <w:tcPr>
            <w:tcW w:w="4332" w:type="dxa"/>
            <w:tcBorders>
              <w:tl2br w:val="nil"/>
              <w:tr2bl w:val="nil"/>
            </w:tcBorders>
            <w:noWrap w:val="0"/>
            <w:vAlign w:val="center"/>
          </w:tcPr>
          <w:p w14:paraId="4377B44D">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b/>
                <w:bCs/>
                <w:snapToGrid/>
                <w:kern w:val="2"/>
                <w:sz w:val="25"/>
                <w:szCs w:val="25"/>
                <w:lang w:eastAsia="zh-CN"/>
              </w:rPr>
              <w:t>乙方：</w:t>
            </w:r>
            <w:r>
              <w:rPr>
                <w:rFonts w:hint="eastAsia" w:ascii="仿宋" w:hAnsi="仿宋" w:eastAsia="仿宋" w:cs="仿宋"/>
                <w:b/>
                <w:bCs/>
                <w:color w:val="auto"/>
                <w:sz w:val="24"/>
                <w:szCs w:val="24"/>
                <w:lang w:val="en-US" w:eastAsia="zh-CN"/>
              </w:rPr>
              <w:t>xxxx</w:t>
            </w:r>
          </w:p>
        </w:tc>
      </w:tr>
      <w:tr w14:paraId="696B6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02929E1B">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c>
          <w:tcPr>
            <w:tcW w:w="4332" w:type="dxa"/>
            <w:tcBorders>
              <w:tl2br w:val="nil"/>
              <w:tr2bl w:val="nil"/>
            </w:tcBorders>
            <w:noWrap w:val="0"/>
            <w:vAlign w:val="center"/>
          </w:tcPr>
          <w:p w14:paraId="51A64E23">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法人代表（委托代理人）：</w:t>
            </w:r>
          </w:p>
        </w:tc>
      </w:tr>
      <w:tr w14:paraId="456FF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4767" w:type="dxa"/>
            <w:tcBorders>
              <w:tl2br w:val="nil"/>
              <w:tr2bl w:val="nil"/>
            </w:tcBorders>
            <w:noWrap w:val="0"/>
            <w:vAlign w:val="center"/>
          </w:tcPr>
          <w:p w14:paraId="7539E1BA">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开户银行：四川银行股份有限公司凉山分行营业部</w:t>
            </w:r>
          </w:p>
        </w:tc>
        <w:tc>
          <w:tcPr>
            <w:tcW w:w="4332" w:type="dxa"/>
            <w:tcBorders>
              <w:tl2br w:val="nil"/>
              <w:tr2bl w:val="nil"/>
            </w:tcBorders>
            <w:noWrap w:val="0"/>
            <w:vAlign w:val="center"/>
          </w:tcPr>
          <w:p w14:paraId="5643BDB9">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开户银行：</w:t>
            </w:r>
            <w:r>
              <w:rPr>
                <w:rFonts w:hint="eastAsia" w:ascii="仿宋" w:hAnsi="仿宋" w:eastAsia="仿宋" w:cs="仿宋"/>
                <w:color w:val="auto"/>
                <w:sz w:val="24"/>
                <w:szCs w:val="24"/>
                <w:lang w:val="en-US" w:eastAsia="zh-CN"/>
              </w:rPr>
              <w:t>xxxx</w:t>
            </w:r>
          </w:p>
        </w:tc>
      </w:tr>
      <w:tr w14:paraId="01E10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4767" w:type="dxa"/>
            <w:tcBorders>
              <w:tl2br w:val="nil"/>
              <w:tr2bl w:val="nil"/>
            </w:tcBorders>
            <w:noWrap w:val="0"/>
            <w:vAlign w:val="center"/>
          </w:tcPr>
          <w:p w14:paraId="530CFBA6">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val="en-US" w:eastAsia="zh-CN"/>
              </w:rPr>
              <w:t>账号：06010303000007276</w:t>
            </w:r>
          </w:p>
        </w:tc>
        <w:tc>
          <w:tcPr>
            <w:tcW w:w="4332" w:type="dxa"/>
            <w:tcBorders>
              <w:tl2br w:val="nil"/>
              <w:tr2bl w:val="nil"/>
            </w:tcBorders>
            <w:noWrap w:val="0"/>
            <w:vAlign w:val="center"/>
          </w:tcPr>
          <w:p w14:paraId="64B00EC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帐号：</w:t>
            </w:r>
            <w:r>
              <w:rPr>
                <w:rFonts w:hint="eastAsia" w:ascii="仿宋" w:hAnsi="仿宋" w:eastAsia="仿宋" w:cs="仿宋"/>
                <w:color w:val="auto"/>
                <w:sz w:val="24"/>
                <w:szCs w:val="24"/>
                <w:lang w:val="en-US" w:eastAsia="zh-CN"/>
              </w:rPr>
              <w:t>xxxx</w:t>
            </w:r>
          </w:p>
        </w:tc>
      </w:tr>
      <w:tr w14:paraId="33AB7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0" w:hRule="atLeast"/>
        </w:trPr>
        <w:tc>
          <w:tcPr>
            <w:tcW w:w="4767" w:type="dxa"/>
            <w:tcBorders>
              <w:tl2br w:val="nil"/>
              <w:tr2bl w:val="nil"/>
            </w:tcBorders>
            <w:noWrap w:val="0"/>
            <w:vAlign w:val="center"/>
          </w:tcPr>
          <w:p w14:paraId="70322467">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注册地址：西昌市长安东路53号3幢2楼</w:t>
            </w:r>
          </w:p>
        </w:tc>
        <w:tc>
          <w:tcPr>
            <w:tcW w:w="4332" w:type="dxa"/>
            <w:tcBorders>
              <w:tl2br w:val="nil"/>
              <w:tr2bl w:val="nil"/>
            </w:tcBorders>
            <w:noWrap w:val="0"/>
            <w:vAlign w:val="center"/>
          </w:tcPr>
          <w:p w14:paraId="344832E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注册地址：</w:t>
            </w:r>
            <w:r>
              <w:rPr>
                <w:rFonts w:hint="eastAsia" w:ascii="仿宋" w:hAnsi="仿宋" w:eastAsia="仿宋" w:cs="仿宋"/>
                <w:color w:val="auto"/>
                <w:sz w:val="24"/>
                <w:szCs w:val="24"/>
                <w:lang w:val="en-US" w:eastAsia="zh-CN"/>
              </w:rPr>
              <w:t>xxxx</w:t>
            </w:r>
          </w:p>
        </w:tc>
      </w:tr>
      <w:tr w14:paraId="723DA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099" w:type="dxa"/>
            <w:gridSpan w:val="2"/>
            <w:tcBorders>
              <w:tl2br w:val="nil"/>
              <w:tr2bl w:val="nil"/>
            </w:tcBorders>
            <w:noWrap w:val="0"/>
            <w:vAlign w:val="center"/>
          </w:tcPr>
          <w:p w14:paraId="09865712">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签订地点：</w:t>
            </w:r>
            <w:r>
              <w:rPr>
                <w:rFonts w:hint="eastAsia" w:ascii="仿宋" w:hAnsi="仿宋" w:eastAsia="仿宋" w:cs="仿宋"/>
                <w:snapToGrid/>
                <w:kern w:val="2"/>
                <w:sz w:val="25"/>
                <w:szCs w:val="25"/>
                <w:lang w:val="en-US" w:eastAsia="zh-CN"/>
              </w:rPr>
              <w:t>四川省西昌市</w:t>
            </w:r>
          </w:p>
        </w:tc>
      </w:tr>
      <w:tr w14:paraId="71E72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99" w:type="dxa"/>
            <w:gridSpan w:val="2"/>
            <w:tcBorders>
              <w:tl2br w:val="nil"/>
              <w:tr2bl w:val="nil"/>
            </w:tcBorders>
            <w:noWrap w:val="0"/>
            <w:vAlign w:val="center"/>
          </w:tcPr>
          <w:p w14:paraId="533E5D6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签订日期：</w:t>
            </w:r>
            <w:r>
              <w:rPr>
                <w:rFonts w:hint="eastAsia" w:ascii="仿宋" w:hAnsi="仿宋" w:eastAsia="仿宋" w:cs="仿宋"/>
                <w:snapToGrid/>
                <w:kern w:val="2"/>
                <w:sz w:val="25"/>
                <w:szCs w:val="25"/>
                <w:lang w:val="en-US" w:eastAsia="zh-CN"/>
              </w:rPr>
              <w:t>2026</w:t>
            </w:r>
            <w:r>
              <w:rPr>
                <w:rFonts w:hint="eastAsia" w:ascii="仿宋" w:hAnsi="仿宋" w:eastAsia="仿宋" w:cs="仿宋"/>
                <w:snapToGrid/>
                <w:kern w:val="2"/>
                <w:sz w:val="25"/>
                <w:szCs w:val="25"/>
                <w:lang w:eastAsia="zh-CN"/>
              </w:rPr>
              <w:t xml:space="preserve"> 年 </w:t>
            </w:r>
            <w:r>
              <w:rPr>
                <w:rFonts w:hint="eastAsia" w:ascii="仿宋" w:hAnsi="仿宋" w:eastAsia="仿宋" w:cs="仿宋"/>
                <w:snapToGrid/>
                <w:kern w:val="2"/>
                <w:sz w:val="25"/>
                <w:szCs w:val="25"/>
                <w:lang w:val="en-US" w:eastAsia="zh-CN"/>
              </w:rPr>
              <w:t>x</w:t>
            </w:r>
            <w:r>
              <w:rPr>
                <w:rFonts w:hint="eastAsia" w:ascii="仿宋" w:hAnsi="仿宋" w:eastAsia="仿宋" w:cs="仿宋"/>
                <w:snapToGrid/>
                <w:kern w:val="2"/>
                <w:sz w:val="25"/>
                <w:szCs w:val="25"/>
                <w:lang w:eastAsia="zh-CN"/>
              </w:rPr>
              <w:t>月</w:t>
            </w:r>
            <w:r>
              <w:rPr>
                <w:rFonts w:hint="eastAsia" w:ascii="仿宋" w:hAnsi="仿宋" w:eastAsia="仿宋" w:cs="仿宋"/>
                <w:snapToGrid/>
                <w:kern w:val="2"/>
                <w:sz w:val="25"/>
                <w:szCs w:val="25"/>
                <w:lang w:val="en-US" w:eastAsia="zh-CN"/>
              </w:rPr>
              <w:t>x</w:t>
            </w:r>
            <w:r>
              <w:rPr>
                <w:rFonts w:hint="eastAsia" w:ascii="仿宋" w:hAnsi="仿宋" w:eastAsia="仿宋" w:cs="仿宋"/>
                <w:snapToGrid/>
                <w:kern w:val="2"/>
                <w:sz w:val="25"/>
                <w:szCs w:val="25"/>
                <w:lang w:eastAsia="zh-CN"/>
              </w:rPr>
              <w:t xml:space="preserve"> 日</w:t>
            </w:r>
          </w:p>
        </w:tc>
      </w:tr>
    </w:tbl>
    <w:p w14:paraId="7B9DB9C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E2F245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39AFD845">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C4C3D3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099D35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4D46AFB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A24CCA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5D97B02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1489477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481FCE3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109AE58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49C5CA6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5029E4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3FEA1F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24B1EB5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8B450B6">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56F21E6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34209095">
      <w:pPr>
        <w:keepNext w:val="0"/>
        <w:keepLines w:val="0"/>
        <w:pageBreakBefore w:val="0"/>
        <w:widowControl w:val="0"/>
        <w:kinsoku/>
        <w:overflowPunct/>
        <w:autoSpaceDE/>
        <w:autoSpaceDN/>
        <w:bidi w:val="0"/>
        <w:adjustRightInd w:val="0"/>
        <w:snapToGrid w:val="0"/>
        <w:spacing w:afterLines="0" w:line="360" w:lineRule="auto"/>
        <w:jc w:val="both"/>
        <w:textAlignment w:val="auto"/>
        <w:rPr>
          <w:rFonts w:hint="eastAsia" w:ascii="仿宋" w:hAnsi="仿宋" w:eastAsia="仿宋" w:cs="仿宋"/>
          <w:snapToGrid/>
          <w:kern w:val="2"/>
          <w:sz w:val="25"/>
          <w:szCs w:val="25"/>
          <w:lang w:eastAsia="zh-CN"/>
        </w:rPr>
      </w:pPr>
    </w:p>
    <w:p w14:paraId="0EE7B4B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附件</w:t>
      </w:r>
      <w:r>
        <w:rPr>
          <w:rFonts w:hint="eastAsia" w:ascii="仿宋" w:hAnsi="仿宋" w:eastAsia="仿宋" w:cs="仿宋"/>
          <w:snapToGrid/>
          <w:kern w:val="2"/>
          <w:sz w:val="25"/>
          <w:szCs w:val="25"/>
          <w:lang w:val="en-US" w:eastAsia="zh-CN"/>
        </w:rPr>
        <w:t>5</w:t>
      </w:r>
      <w:r>
        <w:rPr>
          <w:rFonts w:hint="eastAsia" w:ascii="仿宋" w:hAnsi="仿宋" w:eastAsia="仿宋" w:cs="仿宋"/>
          <w:snapToGrid/>
          <w:kern w:val="2"/>
          <w:sz w:val="25"/>
          <w:szCs w:val="25"/>
          <w:lang w:eastAsia="zh-CN"/>
        </w:rPr>
        <w:t>:</w:t>
      </w:r>
    </w:p>
    <w:p w14:paraId="26754EA3">
      <w:pPr>
        <w:keepNext w:val="0"/>
        <w:keepLines w:val="0"/>
        <w:pageBreakBefore w:val="0"/>
        <w:widowControl w:val="0"/>
        <w:kinsoku w:val="0"/>
        <w:wordWrap/>
        <w:overflowPunct/>
        <w:topLinePunct w:val="0"/>
        <w:autoSpaceDE w:val="0"/>
        <w:autoSpaceDN w:val="0"/>
        <w:bidi w:val="0"/>
        <w:adjustRightInd w:val="0"/>
        <w:snapToGrid w:val="0"/>
        <w:spacing w:before="171" w:line="221" w:lineRule="auto"/>
        <w:ind w:left="2364"/>
        <w:textAlignment w:val="baseline"/>
        <w:outlineLvl w:val="2"/>
        <w:rPr>
          <w:rFonts w:hint="eastAsia" w:ascii="仿宋" w:hAnsi="仿宋" w:eastAsia="仿宋" w:cs="仿宋"/>
          <w:color w:val="auto"/>
          <w:spacing w:val="-2"/>
          <w:sz w:val="32"/>
          <w:szCs w:val="32"/>
          <w:lang w:eastAsia="zh-CN"/>
        </w:rPr>
      </w:pPr>
      <w:r>
        <w:rPr>
          <w:rFonts w:hint="eastAsia" w:ascii="仿宋" w:hAnsi="仿宋" w:eastAsia="仿宋" w:cs="仿宋"/>
          <w:color w:val="auto"/>
          <w:spacing w:val="-2"/>
          <w:sz w:val="32"/>
          <w:szCs w:val="32"/>
          <w:lang w:eastAsia="zh-CN"/>
        </w:rPr>
        <w:t>农民工工资支付保障承诺书</w:t>
      </w:r>
    </w:p>
    <w:p w14:paraId="44C195E8">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788B6FFE">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致：</w:t>
      </w:r>
      <w:r>
        <w:rPr>
          <w:rFonts w:hint="eastAsia" w:ascii="仿宋" w:hAnsi="仿宋" w:eastAsia="仿宋" w:cs="仿宋"/>
          <w:snapToGrid/>
          <w:kern w:val="2"/>
          <w:sz w:val="25"/>
          <w:szCs w:val="25"/>
          <w:u w:val="single"/>
          <w:lang w:val="en-US" w:eastAsia="zh-CN"/>
        </w:rPr>
        <w:t>金沙江下游白鹤滩翻坝转运设施（白鹤滩码头）建设项目</w:t>
      </w:r>
      <w:r>
        <w:rPr>
          <w:rFonts w:hint="eastAsia" w:ascii="仿宋" w:hAnsi="仿宋" w:eastAsia="仿宋" w:cs="仿宋"/>
          <w:snapToGrid/>
          <w:kern w:val="2"/>
          <w:sz w:val="25"/>
          <w:szCs w:val="25"/>
          <w:u w:val="none"/>
          <w:lang w:val="en-US" w:eastAsia="zh-CN"/>
        </w:rPr>
        <w:t>经理</w:t>
      </w:r>
      <w:r>
        <w:rPr>
          <w:rFonts w:hint="eastAsia" w:ascii="仿宋" w:hAnsi="仿宋" w:eastAsia="仿宋" w:cs="仿宋"/>
          <w:snapToGrid/>
          <w:kern w:val="2"/>
          <w:sz w:val="25"/>
          <w:szCs w:val="25"/>
          <w:u w:val="none"/>
          <w:lang w:eastAsia="zh-CN"/>
        </w:rPr>
        <w:t>部</w:t>
      </w:r>
      <w:r>
        <w:rPr>
          <w:rFonts w:hint="eastAsia" w:ascii="仿宋" w:hAnsi="仿宋" w:eastAsia="仿宋" w:cs="仿宋"/>
          <w:snapToGrid/>
          <w:kern w:val="2"/>
          <w:sz w:val="25"/>
          <w:szCs w:val="25"/>
          <w:lang w:eastAsia="zh-CN"/>
        </w:rPr>
        <w:t>：</w:t>
      </w:r>
    </w:p>
    <w:p w14:paraId="6C62E440">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为切实维护保护农民工的合法权益，确保社会和企业稳定，不拖欠农民工工资，本公司郑重承诺：</w:t>
      </w:r>
    </w:p>
    <w:p w14:paraId="1647E0F3">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1、按照劳动保障法律法规规定使用农民工。</w:t>
      </w:r>
    </w:p>
    <w:p w14:paraId="2B8646DB">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2、将公司自有资金以及本项目所有结算资金(包含应支付的进度款、工资 等)作为本项目农民工工资的资金来源，优先保证农民工工资及时、足额发放；</w:t>
      </w:r>
    </w:p>
    <w:p w14:paraId="59743122">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3、经我司签字盖章的工资表真实有效(包含但不限于表格形式、现场负责人和班组长签字认可、农民工本人签字、身份证号、身份证复印件、影像),不以虚列人员及工资等方式套取民工工资，不挪用本项目工程款；</w:t>
      </w:r>
    </w:p>
    <w:p w14:paraId="11A5EE2C">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4、如果发生违反规定拖欠或克扣农民工工资行为，造成农民工罢工、上访 和恶意讨薪事件发生的，贵部有权使用本公司所有应付资金进行处理，不足部分本公司愿意全额承担；同时，本公司愿意按照合同和相关法律法规约定，接受贵部以及人力资源社会保障、劳动监察等主管部门作出的处理和处罚决定。</w:t>
      </w:r>
    </w:p>
    <w:p w14:paraId="1E60FF7A">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002F5E17">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6C4A00CF">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4289DF54">
      <w:pPr>
        <w:keepNext w:val="0"/>
        <w:keepLines w:val="0"/>
        <w:pageBreakBefore w:val="0"/>
        <w:widowControl w:val="0"/>
        <w:kinsoku/>
        <w:overflowPunct/>
        <w:autoSpaceDE/>
        <w:autoSpaceDN/>
        <w:bidi w:val="0"/>
        <w:adjustRightInd w:val="0"/>
        <w:snapToGrid w:val="0"/>
        <w:spacing w:afterLines="0" w:line="360" w:lineRule="auto"/>
        <w:ind w:firstLine="500" w:firstLineChars="200"/>
        <w:jc w:val="both"/>
        <w:textAlignment w:val="auto"/>
        <w:rPr>
          <w:rFonts w:hint="eastAsia" w:ascii="仿宋" w:hAnsi="仿宋" w:eastAsia="仿宋" w:cs="仿宋"/>
          <w:snapToGrid/>
          <w:kern w:val="2"/>
          <w:sz w:val="25"/>
          <w:szCs w:val="25"/>
          <w:lang w:eastAsia="zh-CN"/>
        </w:rPr>
      </w:pPr>
    </w:p>
    <w:p w14:paraId="31BF0F00">
      <w:pPr>
        <w:keepNext w:val="0"/>
        <w:keepLines w:val="0"/>
        <w:pageBreakBefore w:val="0"/>
        <w:widowControl w:val="0"/>
        <w:kinsoku/>
        <w:overflowPunct/>
        <w:autoSpaceDE/>
        <w:autoSpaceDN/>
        <w:bidi w:val="0"/>
        <w:adjustRightInd w:val="0"/>
        <w:snapToGrid w:val="0"/>
        <w:spacing w:afterLines="0" w:line="360" w:lineRule="auto"/>
        <w:ind w:firstLine="3500" w:firstLineChars="1400"/>
        <w:jc w:val="both"/>
        <w:textAlignment w:val="auto"/>
        <w:rPr>
          <w:rFonts w:hint="default" w:ascii="仿宋" w:hAnsi="仿宋" w:eastAsia="仿宋" w:cs="仿宋"/>
          <w:snapToGrid/>
          <w:kern w:val="2"/>
          <w:sz w:val="25"/>
          <w:szCs w:val="25"/>
          <w:lang w:val="en-US" w:eastAsia="zh-CN"/>
        </w:rPr>
      </w:pPr>
      <w:r>
        <w:rPr>
          <w:rFonts w:hint="eastAsia" w:ascii="仿宋" w:hAnsi="仿宋" w:eastAsia="仿宋" w:cs="仿宋"/>
          <w:snapToGrid/>
          <w:kern w:val="2"/>
          <w:sz w:val="25"/>
          <w:szCs w:val="25"/>
          <w:lang w:eastAsia="zh-CN"/>
        </w:rPr>
        <w:t>承诺单位：</w:t>
      </w:r>
      <w:r>
        <w:rPr>
          <w:rFonts w:hint="eastAsia" w:ascii="仿宋" w:hAnsi="仿宋" w:eastAsia="仿宋" w:cs="仿宋"/>
          <w:snapToGrid/>
          <w:kern w:val="2"/>
          <w:sz w:val="25"/>
          <w:szCs w:val="25"/>
          <w:lang w:val="en-US" w:eastAsia="zh-CN"/>
        </w:rPr>
        <w:t>xxxxx</w:t>
      </w:r>
    </w:p>
    <w:p w14:paraId="09DDC2DB">
      <w:pPr>
        <w:keepNext w:val="0"/>
        <w:keepLines w:val="0"/>
        <w:pageBreakBefore w:val="0"/>
        <w:widowControl w:val="0"/>
        <w:kinsoku/>
        <w:overflowPunct/>
        <w:autoSpaceDE/>
        <w:autoSpaceDN/>
        <w:bidi w:val="0"/>
        <w:adjustRightInd w:val="0"/>
        <w:snapToGrid w:val="0"/>
        <w:spacing w:afterLines="0" w:line="360" w:lineRule="auto"/>
        <w:ind w:firstLine="3500" w:firstLineChars="1400"/>
        <w:jc w:val="both"/>
        <w:textAlignment w:val="auto"/>
        <w:rPr>
          <w:rFonts w:hint="eastAsia" w:ascii="仿宋" w:hAnsi="仿宋" w:eastAsia="仿宋" w:cs="仿宋"/>
          <w:snapToGrid/>
          <w:kern w:val="2"/>
          <w:sz w:val="25"/>
          <w:szCs w:val="25"/>
          <w:lang w:eastAsia="zh-CN"/>
        </w:rPr>
      </w:pPr>
      <w:r>
        <w:rPr>
          <w:rFonts w:hint="eastAsia" w:ascii="仿宋" w:hAnsi="仿宋" w:eastAsia="仿宋" w:cs="仿宋"/>
          <w:snapToGrid/>
          <w:kern w:val="2"/>
          <w:sz w:val="25"/>
          <w:szCs w:val="25"/>
          <w:lang w:eastAsia="zh-CN"/>
        </w:rPr>
        <w:t>法定代表：</w:t>
      </w:r>
    </w:p>
    <w:p w14:paraId="7915BFB2">
      <w:pPr>
        <w:keepNext w:val="0"/>
        <w:keepLines w:val="0"/>
        <w:pageBreakBefore w:val="0"/>
        <w:widowControl w:val="0"/>
        <w:kinsoku/>
        <w:overflowPunct/>
        <w:autoSpaceDE/>
        <w:autoSpaceDN/>
        <w:bidi w:val="0"/>
        <w:adjustRightInd w:val="0"/>
        <w:snapToGrid w:val="0"/>
        <w:spacing w:afterLines="0" w:line="360" w:lineRule="auto"/>
        <w:ind w:firstLine="500" w:firstLineChars="200"/>
        <w:jc w:val="center"/>
        <w:textAlignment w:val="auto"/>
        <w:rPr>
          <w:rFonts w:hint="eastAsia" w:ascii="仿宋" w:hAnsi="仿宋" w:eastAsia="仿宋" w:cs="仿宋"/>
          <w:snapToGrid/>
          <w:kern w:val="2"/>
          <w:sz w:val="25"/>
          <w:szCs w:val="25"/>
          <w:lang w:val="en-US" w:eastAsia="zh-CN"/>
        </w:rPr>
      </w:pPr>
      <w:r>
        <w:rPr>
          <w:rFonts w:hint="eastAsia" w:ascii="仿宋" w:hAnsi="仿宋" w:eastAsia="仿宋" w:cs="仿宋"/>
          <w:snapToGrid/>
          <w:kern w:val="2"/>
          <w:sz w:val="25"/>
          <w:szCs w:val="25"/>
          <w:lang w:val="en-US" w:eastAsia="zh-CN"/>
        </w:rPr>
        <w:t xml:space="preserve">               </w:t>
      </w:r>
      <w:r>
        <w:rPr>
          <w:rFonts w:hint="eastAsia" w:ascii="仿宋" w:hAnsi="仿宋" w:eastAsia="仿宋" w:cs="仿宋"/>
          <w:snapToGrid/>
          <w:kern w:val="2"/>
          <w:sz w:val="25"/>
          <w:szCs w:val="25"/>
          <w:lang w:eastAsia="zh-CN"/>
        </w:rPr>
        <w:t>时间：</w:t>
      </w:r>
      <w:r>
        <w:rPr>
          <w:rFonts w:hint="eastAsia" w:ascii="仿宋" w:hAnsi="仿宋" w:eastAsia="仿宋" w:cs="仿宋"/>
          <w:snapToGrid/>
          <w:kern w:val="2"/>
          <w:sz w:val="25"/>
          <w:szCs w:val="25"/>
          <w:lang w:val="en-US" w:eastAsia="zh-CN"/>
        </w:rPr>
        <w:t>2026年 x月 x日</w:t>
      </w:r>
    </w:p>
    <w:p w14:paraId="749C6E37">
      <w:pPr>
        <w:pStyle w:val="12"/>
        <w:rPr>
          <w:rFonts w:hint="eastAsia"/>
          <w:lang w:val="en-US" w:eastAsia="en-US"/>
        </w:rPr>
        <w:sectPr>
          <w:pgSz w:w="11900" w:h="16830"/>
          <w:pgMar w:top="1440" w:right="1800" w:bottom="1440" w:left="1800" w:header="0" w:footer="0" w:gutter="0"/>
          <w:pgNumType w:fmt="decimal"/>
          <w:cols w:space="720" w:num="1"/>
        </w:sectPr>
      </w:pPr>
    </w:p>
    <w:p w14:paraId="066D6D7E">
      <w:pPr>
        <w:pStyle w:val="12"/>
        <w:rPr>
          <w:rFonts w:hint="eastAsia"/>
          <w:lang w:val="en-US" w:eastAsia="en-US"/>
        </w:rPr>
        <w:sectPr>
          <w:pgSz w:w="11900" w:h="16830"/>
          <w:pgMar w:top="1440" w:right="1800" w:bottom="1440" w:left="1800" w:header="0" w:footer="0" w:gutter="0"/>
          <w:pgNumType w:fmt="decimal"/>
          <w:cols w:space="720" w:num="1"/>
        </w:sectPr>
      </w:pPr>
    </w:p>
    <w:p w14:paraId="61A447E8">
      <w:pPr>
        <w:pStyle w:val="12"/>
        <w:rPr>
          <w:rFonts w:hint="eastAsia"/>
          <w:lang w:val="en-US" w:eastAsia="en-US"/>
        </w:rPr>
        <w:sectPr>
          <w:pgSz w:w="11900" w:h="16830"/>
          <w:pgMar w:top="1440" w:right="1800" w:bottom="1440" w:left="1800" w:header="0" w:footer="0" w:gutter="0"/>
          <w:pgNumType w:fmt="decimal"/>
          <w:cols w:space="720" w:num="1"/>
        </w:sectPr>
      </w:pPr>
    </w:p>
    <w:p w14:paraId="7C68BFD7">
      <w:pPr>
        <w:pStyle w:val="12"/>
        <w:rPr>
          <w:rFonts w:hint="eastAsia"/>
          <w:lang w:val="en-US" w:eastAsia="en-US"/>
        </w:rPr>
      </w:pPr>
    </w:p>
    <w:sectPr>
      <w:pgSz w:w="11900" w:h="16830"/>
      <w:pgMar w:top="1440" w:right="1800" w:bottom="1440" w:left="1800"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auto"/>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6DC0D">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E415A">
    <w:pPr>
      <w:spacing w:line="173" w:lineRule="auto"/>
      <w:ind w:left="4164"/>
      <w:rPr>
        <w:rFonts w:ascii="Times New Roman" w:hAnsi="Times New Roman" w:eastAsia="Times New Roman" w:cs="Times New Roman"/>
        <w:sz w:val="14"/>
        <w:szCs w:val="14"/>
      </w:rPr>
    </w:pPr>
  </w:p>
  <w:p w14:paraId="2E344A1D">
    <w:pPr>
      <w:spacing w:line="173" w:lineRule="auto"/>
      <w:ind w:left="4164"/>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8BF13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28BF136">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831EC6">
    <w:pPr>
      <w:pStyle w:val="5"/>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B32B3">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92B32B3">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FA177">
    <w:pPr>
      <w:pStyle w:val="5"/>
      <w:spacing w:line="14" w:lineRule="auto"/>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33426">
    <w:pPr>
      <w:pStyle w:val="5"/>
      <w:spacing w:line="14" w:lineRule="auto"/>
      <w:rPr>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F50D9">
    <w:pPr>
      <w:pStyle w:val="5"/>
      <w:spacing w:line="14" w:lineRule="auto"/>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5445B">
    <w:pPr>
      <w:pStyle w:val="5"/>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3"/>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
    <w:nsid w:val="5DD55FF3"/>
    <w:multiLevelType w:val="singleLevel"/>
    <w:tmpl w:val="5DD55FF3"/>
    <w:lvl w:ilvl="0" w:tentative="0">
      <w:start w:val="1"/>
      <w:numFmt w:val="decimal"/>
      <w:lvlText w:val="%1."/>
      <w:lvlJc w:val="left"/>
      <w:pPr>
        <w:tabs>
          <w:tab w:val="left" w:pos="312"/>
        </w:tabs>
        <w:ind w:left="549" w:leftChars="0" w:firstLine="0" w:firstLineChars="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isplayBackgroundShape w:val="1"/>
  <w:bordersDoNotSurroundHeader w:val="0"/>
  <w:bordersDoNotSurroundFooter w:val="0"/>
  <w:documentProtection w:enforcement="0"/>
  <w:defaultTabStop w:val="395"/>
  <w:drawingGridHorizontalSpacing w:val="210"/>
  <w:drawingGridVerticalSpacing w:val="219"/>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2QwZmNhN2FiYzQxZjIxNzZmYWZlM2ZkOTU3MzBkOTcifQ=="/>
  </w:docVars>
  <w:rsids>
    <w:rsidRoot w:val="00000000"/>
    <w:rsid w:val="00425A1B"/>
    <w:rsid w:val="005E0AA6"/>
    <w:rsid w:val="006140F3"/>
    <w:rsid w:val="00DE02AD"/>
    <w:rsid w:val="01D17056"/>
    <w:rsid w:val="01FD4469"/>
    <w:rsid w:val="0204742C"/>
    <w:rsid w:val="02296E92"/>
    <w:rsid w:val="02571C51"/>
    <w:rsid w:val="02867E41"/>
    <w:rsid w:val="03084CFA"/>
    <w:rsid w:val="03085DD0"/>
    <w:rsid w:val="032D29B2"/>
    <w:rsid w:val="037405E1"/>
    <w:rsid w:val="0381685A"/>
    <w:rsid w:val="038C5CCB"/>
    <w:rsid w:val="043B2EAD"/>
    <w:rsid w:val="04642403"/>
    <w:rsid w:val="04F05A45"/>
    <w:rsid w:val="05025778"/>
    <w:rsid w:val="0541791E"/>
    <w:rsid w:val="056A63E5"/>
    <w:rsid w:val="05A50F26"/>
    <w:rsid w:val="05C9619B"/>
    <w:rsid w:val="05D610DF"/>
    <w:rsid w:val="06063F44"/>
    <w:rsid w:val="062D2D8D"/>
    <w:rsid w:val="06525124"/>
    <w:rsid w:val="06AB256C"/>
    <w:rsid w:val="070847B9"/>
    <w:rsid w:val="078647D1"/>
    <w:rsid w:val="078933C0"/>
    <w:rsid w:val="079A613C"/>
    <w:rsid w:val="082E3A4D"/>
    <w:rsid w:val="082F0F7A"/>
    <w:rsid w:val="085C464E"/>
    <w:rsid w:val="087B5F6E"/>
    <w:rsid w:val="08D1013D"/>
    <w:rsid w:val="08DF474E"/>
    <w:rsid w:val="08FF26FB"/>
    <w:rsid w:val="0935436E"/>
    <w:rsid w:val="0A285C81"/>
    <w:rsid w:val="0A7D229F"/>
    <w:rsid w:val="0A8530D4"/>
    <w:rsid w:val="0AE574F8"/>
    <w:rsid w:val="0B732F2C"/>
    <w:rsid w:val="0B7F55AC"/>
    <w:rsid w:val="0BA94BA0"/>
    <w:rsid w:val="0C117ADF"/>
    <w:rsid w:val="0C2F779B"/>
    <w:rsid w:val="0C7358DA"/>
    <w:rsid w:val="0CB47829"/>
    <w:rsid w:val="0CD8573D"/>
    <w:rsid w:val="0CEA36C2"/>
    <w:rsid w:val="0D10137A"/>
    <w:rsid w:val="0DCB52A1"/>
    <w:rsid w:val="0E5A04E5"/>
    <w:rsid w:val="0E981627"/>
    <w:rsid w:val="0EC95C85"/>
    <w:rsid w:val="0ED66D86"/>
    <w:rsid w:val="0EDB1514"/>
    <w:rsid w:val="0F3835E7"/>
    <w:rsid w:val="0FCC75A3"/>
    <w:rsid w:val="0FD348E1"/>
    <w:rsid w:val="0FFA00C0"/>
    <w:rsid w:val="10476FD4"/>
    <w:rsid w:val="10A122E9"/>
    <w:rsid w:val="10DD77C5"/>
    <w:rsid w:val="117D68B3"/>
    <w:rsid w:val="11963E18"/>
    <w:rsid w:val="11F53BD6"/>
    <w:rsid w:val="131C53CB"/>
    <w:rsid w:val="134F24D1"/>
    <w:rsid w:val="13545D39"/>
    <w:rsid w:val="138E2FF9"/>
    <w:rsid w:val="13A02D2C"/>
    <w:rsid w:val="13D1738A"/>
    <w:rsid w:val="13F217DA"/>
    <w:rsid w:val="141B23B3"/>
    <w:rsid w:val="14432035"/>
    <w:rsid w:val="147E4E1C"/>
    <w:rsid w:val="14AA2875"/>
    <w:rsid w:val="14E31122"/>
    <w:rsid w:val="14EF3F6B"/>
    <w:rsid w:val="1571672E"/>
    <w:rsid w:val="15DA2525"/>
    <w:rsid w:val="16227A29"/>
    <w:rsid w:val="1666025D"/>
    <w:rsid w:val="16897AA8"/>
    <w:rsid w:val="16BC7E7D"/>
    <w:rsid w:val="16D74CB7"/>
    <w:rsid w:val="16F615E1"/>
    <w:rsid w:val="16F70EB5"/>
    <w:rsid w:val="16F85B8F"/>
    <w:rsid w:val="16FE2ECE"/>
    <w:rsid w:val="17A32DEB"/>
    <w:rsid w:val="17B72203"/>
    <w:rsid w:val="17B80644"/>
    <w:rsid w:val="18027B12"/>
    <w:rsid w:val="18357EE7"/>
    <w:rsid w:val="185A794E"/>
    <w:rsid w:val="18E11E1D"/>
    <w:rsid w:val="18E41CD3"/>
    <w:rsid w:val="19037FE5"/>
    <w:rsid w:val="19151AC7"/>
    <w:rsid w:val="196B16E7"/>
    <w:rsid w:val="198A6011"/>
    <w:rsid w:val="198E220F"/>
    <w:rsid w:val="199724DC"/>
    <w:rsid w:val="19BB08C0"/>
    <w:rsid w:val="19F015EC"/>
    <w:rsid w:val="1A134258"/>
    <w:rsid w:val="1A393593"/>
    <w:rsid w:val="1A703458"/>
    <w:rsid w:val="1A9C72D1"/>
    <w:rsid w:val="1AC41C95"/>
    <w:rsid w:val="1ADC0ECC"/>
    <w:rsid w:val="1B1D271F"/>
    <w:rsid w:val="1B252495"/>
    <w:rsid w:val="1B410951"/>
    <w:rsid w:val="1B5E7755"/>
    <w:rsid w:val="1B6D1746"/>
    <w:rsid w:val="1C47643B"/>
    <w:rsid w:val="1C8A4428"/>
    <w:rsid w:val="1C930EF1"/>
    <w:rsid w:val="1D124E97"/>
    <w:rsid w:val="1DB765D0"/>
    <w:rsid w:val="1DB96EC4"/>
    <w:rsid w:val="1DD71A40"/>
    <w:rsid w:val="1E5E181A"/>
    <w:rsid w:val="1E893BEF"/>
    <w:rsid w:val="1F2E38E2"/>
    <w:rsid w:val="1F6F0182"/>
    <w:rsid w:val="1FB5190D"/>
    <w:rsid w:val="1FB93401"/>
    <w:rsid w:val="1FCF6E73"/>
    <w:rsid w:val="20064572"/>
    <w:rsid w:val="20AA51EA"/>
    <w:rsid w:val="20E64474"/>
    <w:rsid w:val="212E1977"/>
    <w:rsid w:val="21751354"/>
    <w:rsid w:val="21A8172A"/>
    <w:rsid w:val="21A97250"/>
    <w:rsid w:val="21BE0F4D"/>
    <w:rsid w:val="228C2DF9"/>
    <w:rsid w:val="22EA7B20"/>
    <w:rsid w:val="235356C5"/>
    <w:rsid w:val="23DA1943"/>
    <w:rsid w:val="24172B97"/>
    <w:rsid w:val="25234734"/>
    <w:rsid w:val="2556149D"/>
    <w:rsid w:val="25F25669"/>
    <w:rsid w:val="262D48F3"/>
    <w:rsid w:val="26327CD9"/>
    <w:rsid w:val="26920BFA"/>
    <w:rsid w:val="26B91CE3"/>
    <w:rsid w:val="26CE78E3"/>
    <w:rsid w:val="26F23447"/>
    <w:rsid w:val="274E1A8A"/>
    <w:rsid w:val="2762237B"/>
    <w:rsid w:val="276E51C4"/>
    <w:rsid w:val="27A26C1B"/>
    <w:rsid w:val="27D56FF1"/>
    <w:rsid w:val="281446BD"/>
    <w:rsid w:val="2879797C"/>
    <w:rsid w:val="288C5086"/>
    <w:rsid w:val="28C52BC1"/>
    <w:rsid w:val="292E4C0A"/>
    <w:rsid w:val="29C72969"/>
    <w:rsid w:val="29D46E34"/>
    <w:rsid w:val="2A047719"/>
    <w:rsid w:val="2A104310"/>
    <w:rsid w:val="2A3C3357"/>
    <w:rsid w:val="2A4E308A"/>
    <w:rsid w:val="2B065713"/>
    <w:rsid w:val="2B2B7F82"/>
    <w:rsid w:val="2B2D4A4E"/>
    <w:rsid w:val="2B5A55FB"/>
    <w:rsid w:val="2BA5032C"/>
    <w:rsid w:val="2BF0264B"/>
    <w:rsid w:val="2C002162"/>
    <w:rsid w:val="2DAA4A7C"/>
    <w:rsid w:val="2DE7182C"/>
    <w:rsid w:val="2E400F3C"/>
    <w:rsid w:val="2EC4391B"/>
    <w:rsid w:val="2EFE0BDB"/>
    <w:rsid w:val="2F4607D4"/>
    <w:rsid w:val="2F542EF1"/>
    <w:rsid w:val="2F6D3FB3"/>
    <w:rsid w:val="30397816"/>
    <w:rsid w:val="30475CB4"/>
    <w:rsid w:val="306A22A0"/>
    <w:rsid w:val="309612E7"/>
    <w:rsid w:val="30E67B79"/>
    <w:rsid w:val="310444A3"/>
    <w:rsid w:val="311A1F18"/>
    <w:rsid w:val="312D57A8"/>
    <w:rsid w:val="31BB2DB3"/>
    <w:rsid w:val="31D2634F"/>
    <w:rsid w:val="31EF0CAF"/>
    <w:rsid w:val="32072A6F"/>
    <w:rsid w:val="32B00E97"/>
    <w:rsid w:val="32E20814"/>
    <w:rsid w:val="333457DB"/>
    <w:rsid w:val="335C6818"/>
    <w:rsid w:val="33613E2E"/>
    <w:rsid w:val="340053F5"/>
    <w:rsid w:val="34761214"/>
    <w:rsid w:val="34FA1E45"/>
    <w:rsid w:val="350031D3"/>
    <w:rsid w:val="35007934"/>
    <w:rsid w:val="351B1DBB"/>
    <w:rsid w:val="353D61D5"/>
    <w:rsid w:val="35584DBD"/>
    <w:rsid w:val="35586B6B"/>
    <w:rsid w:val="35613C72"/>
    <w:rsid w:val="35725E7F"/>
    <w:rsid w:val="363E0457"/>
    <w:rsid w:val="368220F2"/>
    <w:rsid w:val="36A007CA"/>
    <w:rsid w:val="36DE12F2"/>
    <w:rsid w:val="370E5DF7"/>
    <w:rsid w:val="37296A11"/>
    <w:rsid w:val="37476EF1"/>
    <w:rsid w:val="37652B55"/>
    <w:rsid w:val="38687FC5"/>
    <w:rsid w:val="38765C86"/>
    <w:rsid w:val="38797524"/>
    <w:rsid w:val="38A722E3"/>
    <w:rsid w:val="3905700A"/>
    <w:rsid w:val="396925D9"/>
    <w:rsid w:val="3988235D"/>
    <w:rsid w:val="39E135D3"/>
    <w:rsid w:val="39E92488"/>
    <w:rsid w:val="3A445910"/>
    <w:rsid w:val="3ABE1B66"/>
    <w:rsid w:val="3B143534"/>
    <w:rsid w:val="3B361A56"/>
    <w:rsid w:val="3C402634"/>
    <w:rsid w:val="3C7E335B"/>
    <w:rsid w:val="3C862210"/>
    <w:rsid w:val="3CFF1759"/>
    <w:rsid w:val="3D115F7D"/>
    <w:rsid w:val="3D433E1D"/>
    <w:rsid w:val="3D460D42"/>
    <w:rsid w:val="3DCC6348"/>
    <w:rsid w:val="3DF07218"/>
    <w:rsid w:val="3DF70AA7"/>
    <w:rsid w:val="3E077380"/>
    <w:rsid w:val="3E1C72D0"/>
    <w:rsid w:val="3E6529E7"/>
    <w:rsid w:val="3E6622F9"/>
    <w:rsid w:val="3E9E1A93"/>
    <w:rsid w:val="3EAE5A4E"/>
    <w:rsid w:val="3EB70DA6"/>
    <w:rsid w:val="3EB94B1E"/>
    <w:rsid w:val="3EDF3E59"/>
    <w:rsid w:val="3F47212A"/>
    <w:rsid w:val="3F6371D0"/>
    <w:rsid w:val="3F8E7D59"/>
    <w:rsid w:val="3FD37E62"/>
    <w:rsid w:val="401D732F"/>
    <w:rsid w:val="40324B88"/>
    <w:rsid w:val="40AF442B"/>
    <w:rsid w:val="40BE466E"/>
    <w:rsid w:val="40EB11DB"/>
    <w:rsid w:val="4141748D"/>
    <w:rsid w:val="41A35612"/>
    <w:rsid w:val="41F670F3"/>
    <w:rsid w:val="42140081"/>
    <w:rsid w:val="428E0070"/>
    <w:rsid w:val="42903DE8"/>
    <w:rsid w:val="42976F25"/>
    <w:rsid w:val="42EE557E"/>
    <w:rsid w:val="43040332"/>
    <w:rsid w:val="430D7573"/>
    <w:rsid w:val="43212C92"/>
    <w:rsid w:val="43D85A47"/>
    <w:rsid w:val="443A04B0"/>
    <w:rsid w:val="447119F7"/>
    <w:rsid w:val="44AD7979"/>
    <w:rsid w:val="451707F1"/>
    <w:rsid w:val="4545490C"/>
    <w:rsid w:val="45637592"/>
    <w:rsid w:val="45886FF9"/>
    <w:rsid w:val="45CC15DB"/>
    <w:rsid w:val="46146ADE"/>
    <w:rsid w:val="461F6DC5"/>
    <w:rsid w:val="46537607"/>
    <w:rsid w:val="46BC33FE"/>
    <w:rsid w:val="46EA38FE"/>
    <w:rsid w:val="471F398D"/>
    <w:rsid w:val="474515C9"/>
    <w:rsid w:val="47503B46"/>
    <w:rsid w:val="485F3562"/>
    <w:rsid w:val="490966A2"/>
    <w:rsid w:val="493C25D4"/>
    <w:rsid w:val="49411BD7"/>
    <w:rsid w:val="496833C9"/>
    <w:rsid w:val="497004D0"/>
    <w:rsid w:val="498A77E3"/>
    <w:rsid w:val="49B94735"/>
    <w:rsid w:val="49EC3FFA"/>
    <w:rsid w:val="4A0A26D2"/>
    <w:rsid w:val="4A21138B"/>
    <w:rsid w:val="4A655B5A"/>
    <w:rsid w:val="4AA93C99"/>
    <w:rsid w:val="4ADC799E"/>
    <w:rsid w:val="4B8619BF"/>
    <w:rsid w:val="4C03562B"/>
    <w:rsid w:val="4C150230"/>
    <w:rsid w:val="4C3C1457"/>
    <w:rsid w:val="4C431ECB"/>
    <w:rsid w:val="4C5F329A"/>
    <w:rsid w:val="4C703074"/>
    <w:rsid w:val="4CEE468C"/>
    <w:rsid w:val="4DC1579E"/>
    <w:rsid w:val="4E30647F"/>
    <w:rsid w:val="4E340BD7"/>
    <w:rsid w:val="4E41243B"/>
    <w:rsid w:val="4ECF7A46"/>
    <w:rsid w:val="4ED27DE7"/>
    <w:rsid w:val="4EF179BD"/>
    <w:rsid w:val="4EFF657E"/>
    <w:rsid w:val="4F132EA1"/>
    <w:rsid w:val="4F271630"/>
    <w:rsid w:val="4F2F145C"/>
    <w:rsid w:val="4F5368C9"/>
    <w:rsid w:val="4F5A7C58"/>
    <w:rsid w:val="4FE903EE"/>
    <w:rsid w:val="4FF37A73"/>
    <w:rsid w:val="501C315F"/>
    <w:rsid w:val="502213EB"/>
    <w:rsid w:val="503A5393"/>
    <w:rsid w:val="50483726"/>
    <w:rsid w:val="506A543F"/>
    <w:rsid w:val="50BC224C"/>
    <w:rsid w:val="50E35A2B"/>
    <w:rsid w:val="51037C6A"/>
    <w:rsid w:val="510D2AA8"/>
    <w:rsid w:val="511D0F3D"/>
    <w:rsid w:val="51595CED"/>
    <w:rsid w:val="51C94C21"/>
    <w:rsid w:val="51D0201A"/>
    <w:rsid w:val="51FB0B52"/>
    <w:rsid w:val="5201260D"/>
    <w:rsid w:val="52864298"/>
    <w:rsid w:val="52B91474"/>
    <w:rsid w:val="53192DA1"/>
    <w:rsid w:val="53467984"/>
    <w:rsid w:val="539F3E8B"/>
    <w:rsid w:val="53D53D51"/>
    <w:rsid w:val="54106B37"/>
    <w:rsid w:val="54554E92"/>
    <w:rsid w:val="54C0055D"/>
    <w:rsid w:val="54D20290"/>
    <w:rsid w:val="56815ACA"/>
    <w:rsid w:val="56B45E9F"/>
    <w:rsid w:val="56ED13B1"/>
    <w:rsid w:val="57D460CD"/>
    <w:rsid w:val="581806B0"/>
    <w:rsid w:val="584E40D2"/>
    <w:rsid w:val="594C6024"/>
    <w:rsid w:val="595C45CC"/>
    <w:rsid w:val="59BC7E98"/>
    <w:rsid w:val="59EE4802"/>
    <w:rsid w:val="5AA224B3"/>
    <w:rsid w:val="5AB006AA"/>
    <w:rsid w:val="5AC24903"/>
    <w:rsid w:val="5B4672E2"/>
    <w:rsid w:val="5B8E543E"/>
    <w:rsid w:val="5C3D2493"/>
    <w:rsid w:val="5C8E7193"/>
    <w:rsid w:val="5CA3645E"/>
    <w:rsid w:val="5CDA4186"/>
    <w:rsid w:val="5CF02414"/>
    <w:rsid w:val="5DC51E56"/>
    <w:rsid w:val="5DFE5C52"/>
    <w:rsid w:val="5EB23444"/>
    <w:rsid w:val="5EE76ABC"/>
    <w:rsid w:val="5F29437A"/>
    <w:rsid w:val="5F2B6F1B"/>
    <w:rsid w:val="5F5E109E"/>
    <w:rsid w:val="5F922AF6"/>
    <w:rsid w:val="600D6620"/>
    <w:rsid w:val="60221EE9"/>
    <w:rsid w:val="60365B77"/>
    <w:rsid w:val="605B3830"/>
    <w:rsid w:val="605B738C"/>
    <w:rsid w:val="60CF38D6"/>
    <w:rsid w:val="60EF5D26"/>
    <w:rsid w:val="60F375C4"/>
    <w:rsid w:val="61202383"/>
    <w:rsid w:val="616D55C9"/>
    <w:rsid w:val="61D5316E"/>
    <w:rsid w:val="61F5736C"/>
    <w:rsid w:val="61FC34CB"/>
    <w:rsid w:val="620852F1"/>
    <w:rsid w:val="620E6BC4"/>
    <w:rsid w:val="62C456BC"/>
    <w:rsid w:val="62EC69C1"/>
    <w:rsid w:val="62FD297C"/>
    <w:rsid w:val="63141A74"/>
    <w:rsid w:val="63253C81"/>
    <w:rsid w:val="633617DC"/>
    <w:rsid w:val="636C365E"/>
    <w:rsid w:val="638906B4"/>
    <w:rsid w:val="63B03E93"/>
    <w:rsid w:val="63CA273A"/>
    <w:rsid w:val="642F125B"/>
    <w:rsid w:val="65C141DD"/>
    <w:rsid w:val="65E322FD"/>
    <w:rsid w:val="66042274"/>
    <w:rsid w:val="660B3602"/>
    <w:rsid w:val="66984178"/>
    <w:rsid w:val="681271D2"/>
    <w:rsid w:val="68727968"/>
    <w:rsid w:val="695E1C9B"/>
    <w:rsid w:val="69670B4F"/>
    <w:rsid w:val="696848C8"/>
    <w:rsid w:val="698C2CAC"/>
    <w:rsid w:val="69A91168"/>
    <w:rsid w:val="69AC2A06"/>
    <w:rsid w:val="69C9180A"/>
    <w:rsid w:val="6A7F66C2"/>
    <w:rsid w:val="6ABC136F"/>
    <w:rsid w:val="6ADE7537"/>
    <w:rsid w:val="6B272C8C"/>
    <w:rsid w:val="6B8754D9"/>
    <w:rsid w:val="6BDD77EF"/>
    <w:rsid w:val="6BEE7306"/>
    <w:rsid w:val="6C1B3E73"/>
    <w:rsid w:val="6C7A6DEC"/>
    <w:rsid w:val="6C9D2ADA"/>
    <w:rsid w:val="6CF52916"/>
    <w:rsid w:val="6D415B5B"/>
    <w:rsid w:val="6D505D9E"/>
    <w:rsid w:val="6DAF4C76"/>
    <w:rsid w:val="6DC9002B"/>
    <w:rsid w:val="6E9817AB"/>
    <w:rsid w:val="6ED529FF"/>
    <w:rsid w:val="6F0D03EB"/>
    <w:rsid w:val="6F213E96"/>
    <w:rsid w:val="6FAB550E"/>
    <w:rsid w:val="6FC50CC6"/>
    <w:rsid w:val="705D4A5A"/>
    <w:rsid w:val="70DA42FD"/>
    <w:rsid w:val="712437CA"/>
    <w:rsid w:val="717F6C52"/>
    <w:rsid w:val="71AF5789"/>
    <w:rsid w:val="720D7B7F"/>
    <w:rsid w:val="723E2669"/>
    <w:rsid w:val="72880D02"/>
    <w:rsid w:val="7354211B"/>
    <w:rsid w:val="736E51D0"/>
    <w:rsid w:val="738D1AFA"/>
    <w:rsid w:val="738E2DDF"/>
    <w:rsid w:val="73A17354"/>
    <w:rsid w:val="73F35C51"/>
    <w:rsid w:val="74017DF2"/>
    <w:rsid w:val="747B7BA5"/>
    <w:rsid w:val="74C27582"/>
    <w:rsid w:val="74FD05BA"/>
    <w:rsid w:val="751C6422"/>
    <w:rsid w:val="75387844"/>
    <w:rsid w:val="755C1784"/>
    <w:rsid w:val="758E56B6"/>
    <w:rsid w:val="760B4F58"/>
    <w:rsid w:val="761402B1"/>
    <w:rsid w:val="765863F0"/>
    <w:rsid w:val="76595CC4"/>
    <w:rsid w:val="767D7C04"/>
    <w:rsid w:val="76880357"/>
    <w:rsid w:val="77336515"/>
    <w:rsid w:val="77364257"/>
    <w:rsid w:val="773F55A5"/>
    <w:rsid w:val="77C822BE"/>
    <w:rsid w:val="77C96E79"/>
    <w:rsid w:val="77E15F71"/>
    <w:rsid w:val="78106856"/>
    <w:rsid w:val="78852DA0"/>
    <w:rsid w:val="790F68E8"/>
    <w:rsid w:val="79200D1B"/>
    <w:rsid w:val="794404C5"/>
    <w:rsid w:val="7A1268B5"/>
    <w:rsid w:val="7A730151"/>
    <w:rsid w:val="7A9D0EE8"/>
    <w:rsid w:val="7AA847F0"/>
    <w:rsid w:val="7AAA11E4"/>
    <w:rsid w:val="7AD56C4A"/>
    <w:rsid w:val="7AF34939"/>
    <w:rsid w:val="7B0E3521"/>
    <w:rsid w:val="7B38234C"/>
    <w:rsid w:val="7B4753CF"/>
    <w:rsid w:val="7B725FBC"/>
    <w:rsid w:val="7B9D48A5"/>
    <w:rsid w:val="7B9D6653"/>
    <w:rsid w:val="7BB57A17"/>
    <w:rsid w:val="7E725B75"/>
    <w:rsid w:val="7EAD4DFF"/>
    <w:rsid w:val="7F2F3A66"/>
    <w:rsid w:val="7F371343"/>
    <w:rsid w:val="7FE00E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3"/>
    <w:basedOn w:val="1"/>
    <w:next w:val="1"/>
    <w:autoRedefine/>
    <w:unhideWhenUsed/>
    <w:qFormat/>
    <w:uiPriority w:val="9"/>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 w:val="28"/>
      <w:szCs w:val="28"/>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autoRedefine/>
    <w:semiHidden/>
    <w:qFormat/>
    <w:uiPriority w:val="0"/>
    <w:rPr>
      <w:rFonts w:ascii="Arial" w:hAnsi="Arial" w:eastAsia="Arial" w:cs="Arial"/>
      <w:sz w:val="21"/>
      <w:szCs w:val="21"/>
      <w:lang w:val="en-US" w:eastAsia="en-US" w:bidi="ar-SA"/>
    </w:rPr>
  </w:style>
  <w:style w:type="paragraph" w:styleId="6">
    <w:name w:val="Body Text Indent"/>
    <w:basedOn w:val="1"/>
    <w:qFormat/>
    <w:uiPriority w:val="0"/>
    <w:pPr>
      <w:ind w:firstLine="538" w:firstLineChars="192"/>
      <w:jc w:val="left"/>
    </w:pPr>
  </w:style>
  <w:style w:type="paragraph" w:styleId="7">
    <w:name w:val="toc 3"/>
    <w:basedOn w:val="1"/>
    <w:next w:val="1"/>
    <w:autoRedefine/>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autoRedefine/>
    <w:qFormat/>
    <w:uiPriority w:val="0"/>
  </w:style>
  <w:style w:type="paragraph" w:styleId="11">
    <w:name w:val="toc 2"/>
    <w:basedOn w:val="1"/>
    <w:next w:val="1"/>
    <w:autoRedefine/>
    <w:qFormat/>
    <w:uiPriority w:val="0"/>
    <w:pPr>
      <w:ind w:left="420" w:leftChars="200"/>
    </w:pPr>
  </w:style>
  <w:style w:type="paragraph" w:styleId="12">
    <w:name w:val="Body Text First Indent 2"/>
    <w:basedOn w:val="6"/>
    <w:qFormat/>
    <w:uiPriority w:val="0"/>
    <w:pPr>
      <w:ind w:firstLine="420" w:firstLineChars="200"/>
    </w:pPr>
    <w:rPr>
      <w:sz w:val="24"/>
    </w:rPr>
  </w:style>
  <w:style w:type="table" w:styleId="14">
    <w:name w:val="Table Grid"/>
    <w:basedOn w:val="13"/>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16">
    <w:name w:val="Table Normal"/>
    <w:autoRedefine/>
    <w:semiHidden/>
    <w:unhideWhenUsed/>
    <w:qFormat/>
    <w:uiPriority w:val="0"/>
    <w:tblPr>
      <w:tblCellMar>
        <w:top w:w="0" w:type="dxa"/>
        <w:left w:w="0" w:type="dxa"/>
        <w:bottom w:w="0" w:type="dxa"/>
        <w:right w:w="0" w:type="dxa"/>
      </w:tblCellMar>
    </w:tblPr>
  </w:style>
  <w:style w:type="paragraph" w:customStyle="1" w:styleId="17">
    <w:name w:val="Table Text"/>
    <w:basedOn w:val="1"/>
    <w:autoRedefine/>
    <w:semiHidden/>
    <w:qFormat/>
    <w:uiPriority w:val="0"/>
    <w:rPr>
      <w:rFonts w:ascii="宋体" w:hAnsi="宋体" w:eastAsia="宋体" w:cs="宋体"/>
      <w:sz w:val="18"/>
      <w:szCs w:val="18"/>
      <w:lang w:val="en-US" w:eastAsia="en-US" w:bidi="ar-SA"/>
    </w:rPr>
  </w:style>
  <w:style w:type="paragraph" w:customStyle="1" w:styleId="18">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19">
    <w:name w:val="WPSOffice手动目录 1"/>
    <w:autoRedefine/>
    <w:qFormat/>
    <w:uiPriority w:val="0"/>
    <w:pPr>
      <w:ind w:leftChars="0"/>
    </w:pPr>
    <w:rPr>
      <w:rFonts w:ascii="Times New Roman" w:hAnsi="Times New Roman" w:eastAsia="宋体" w:cs="Times New Roman"/>
      <w:sz w:val="20"/>
      <w:szCs w:val="20"/>
    </w:rPr>
  </w:style>
  <w:style w:type="paragraph" w:customStyle="1" w:styleId="20">
    <w:name w:val="WPSOffice手动目录 2"/>
    <w:autoRedefine/>
    <w:qFormat/>
    <w:uiPriority w:val="0"/>
    <w:pPr>
      <w:ind w:leftChars="200"/>
    </w:pPr>
    <w:rPr>
      <w:rFonts w:ascii="Times New Roman" w:hAnsi="Times New Roman" w:eastAsia="宋体" w:cs="Times New Roman"/>
      <w:sz w:val="20"/>
      <w:szCs w:val="20"/>
    </w:rPr>
  </w:style>
  <w:style w:type="paragraph" w:customStyle="1" w:styleId="21">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42</Pages>
  <Words>22361</Words>
  <Characters>23068</Characters>
  <TotalTime>6</TotalTime>
  <ScaleCrop>false</ScaleCrop>
  <LinksUpToDate>false</LinksUpToDate>
  <CharactersWithSpaces>23450</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2024-11-21T14:34:00Z</dcterms:created>
  <dc:creator>Kingsoft-PDF</dc:creator>
  <cp:lastModifiedBy>WPS_1683859386</cp:lastModifiedBy>
  <cp:lastPrinted>2025-10-11T07:09:00Z</cp:lastPrinted>
  <dcterms:modified xsi:type="dcterms:W3CDTF">2026-02-09T07:57:15Z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2024-11-21T14:34:15Z</vt:filetime>
  </property>
  <property fmtid="{D5CDD505-2E9C-101B-9397-08002B2CF9AE}" pid="4" name="UsrData">
    <vt:lpwstr>673ed457b34175001fe4b3eewl</vt:lpwstr>
  </property>
  <property fmtid="{D5CDD505-2E9C-101B-9397-08002B2CF9AE}" pid="5" name="KSOProductBuildVer">
    <vt:lpwstr>2052-12.1.0.25225</vt:lpwstr>
  </property>
  <property fmtid="{D5CDD505-2E9C-101B-9397-08002B2CF9AE}" pid="6" name="ICV">
    <vt:lpwstr>A512DDAD5EE647AEA6D5F93236BB8004_12</vt:lpwstr>
  </property>
  <property fmtid="{D5CDD505-2E9C-101B-9397-08002B2CF9AE}" pid="7" name="KSOTemplateDocerSaveRecord">
    <vt:lpwstr>eyJoZGlkIjoiYTM0OTg5ODZjOTYwMjU4NzE3YmNjOTFkMzJlMTRmMTUiLCJ1c2VySWQiOiIxNDk1NTIwODY5In0=</vt:lpwstr>
  </property>
</Properties>
</file>