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744E3">
      <w:pPr>
        <w:spacing w:line="520" w:lineRule="atLeast"/>
        <w:jc w:val="center"/>
        <w:rPr>
          <w:rFonts w:ascii="宋体" w:hAnsi="宋体" w:cs="宋体"/>
          <w:b/>
          <w:color w:val="auto"/>
          <w:sz w:val="32"/>
          <w:szCs w:val="32"/>
          <w:highlight w:val="none"/>
        </w:rPr>
      </w:pPr>
      <w:r>
        <w:rPr>
          <w:rFonts w:hint="eastAsia" w:ascii="宋体" w:hAnsi="宋体" w:cs="宋体"/>
          <w:b/>
          <w:color w:val="auto"/>
          <w:sz w:val="32"/>
          <w:szCs w:val="32"/>
          <w:highlight w:val="none"/>
        </w:rPr>
        <w:t>西昌月城巴士充电运营服务有限公司</w:t>
      </w:r>
    </w:p>
    <w:p w14:paraId="41B16BC2">
      <w:pPr>
        <w:spacing w:line="520" w:lineRule="atLeast"/>
        <w:jc w:val="center"/>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袁家山迁改1*1250kVA配变工程建设采购项目</w:t>
      </w:r>
    </w:p>
    <w:p w14:paraId="73A13FEA">
      <w:pPr>
        <w:spacing w:line="520" w:lineRule="atLeast"/>
        <w:jc w:val="center"/>
        <w:rPr>
          <w:rFonts w:ascii="宋体" w:hAnsi="宋体" w:cs="宋体"/>
          <w:b/>
          <w:color w:val="auto"/>
          <w:sz w:val="32"/>
          <w:szCs w:val="32"/>
          <w:highlight w:val="none"/>
        </w:rPr>
      </w:pPr>
      <w:r>
        <w:rPr>
          <w:rFonts w:hint="eastAsia" w:ascii="宋体" w:hAnsi="宋体" w:cs="宋体"/>
          <w:b/>
          <w:color w:val="auto"/>
          <w:sz w:val="32"/>
          <w:szCs w:val="32"/>
          <w:highlight w:val="none"/>
        </w:rPr>
        <w:t>竞争性磋商公告</w:t>
      </w:r>
    </w:p>
    <w:p w14:paraId="5F0EA4BA">
      <w:pPr>
        <w:pStyle w:val="3"/>
        <w:spacing w:line="520" w:lineRule="atLeast"/>
        <w:ind w:left="-17" w:leftChars="-8" w:firstLine="602" w:firstLineChars="200"/>
        <w:jc w:val="both"/>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西昌月城巴士充电运营服务有限公司</w:t>
      </w:r>
      <w:r>
        <w:rPr>
          <w:rFonts w:hint="eastAsia" w:ascii="仿宋" w:hAnsi="仿宋" w:eastAsia="仿宋" w:cs="仿宋"/>
          <w:color w:val="auto"/>
          <w:sz w:val="30"/>
          <w:szCs w:val="30"/>
          <w:highlight w:val="none"/>
        </w:rPr>
        <w:t>拟对袁家山</w:t>
      </w:r>
      <w:r>
        <w:rPr>
          <w:rFonts w:hint="eastAsia" w:ascii="仿宋" w:hAnsi="仿宋" w:eastAsia="仿宋" w:cs="仿宋"/>
          <w:color w:val="auto"/>
          <w:sz w:val="30"/>
          <w:szCs w:val="30"/>
          <w:highlight w:val="none"/>
          <w:lang w:val="en-US" w:eastAsia="zh-CN"/>
        </w:rPr>
        <w:t>迁改1*</w:t>
      </w:r>
      <w:r>
        <w:rPr>
          <w:rFonts w:hint="eastAsia" w:ascii="仿宋" w:hAnsi="仿宋" w:eastAsia="仿宋" w:cs="仿宋"/>
          <w:color w:val="auto"/>
          <w:sz w:val="30"/>
          <w:szCs w:val="30"/>
          <w:highlight w:val="none"/>
        </w:rPr>
        <w:t>1250kVA</w:t>
      </w:r>
      <w:r>
        <w:rPr>
          <w:rFonts w:hint="eastAsia" w:ascii="仿宋" w:hAnsi="仿宋" w:eastAsia="仿宋" w:cs="仿宋"/>
          <w:color w:val="auto"/>
          <w:sz w:val="30"/>
          <w:szCs w:val="30"/>
          <w:highlight w:val="none"/>
          <w:lang w:val="en-US" w:eastAsia="zh-CN"/>
        </w:rPr>
        <w:t>配变工程建设</w:t>
      </w:r>
      <w:r>
        <w:rPr>
          <w:rFonts w:hint="eastAsia" w:ascii="仿宋" w:hAnsi="仿宋" w:eastAsia="仿宋" w:cs="仿宋"/>
          <w:color w:val="auto"/>
          <w:sz w:val="30"/>
          <w:szCs w:val="30"/>
          <w:highlight w:val="none"/>
          <w:u w:val="single"/>
        </w:rPr>
        <w:t>采购项目</w:t>
      </w:r>
      <w:r>
        <w:rPr>
          <w:rFonts w:hint="eastAsia" w:ascii="仿宋" w:hAnsi="仿宋" w:eastAsia="仿宋" w:cs="仿宋"/>
          <w:color w:val="auto"/>
          <w:sz w:val="30"/>
          <w:szCs w:val="30"/>
          <w:highlight w:val="none"/>
        </w:rPr>
        <w:t>以竞争性磋商的方式进行采购，欢迎符合本次采购要求的供应商（以下称：供应商）参加本次竞争性磋商。现将有关事项公告如下：</w:t>
      </w:r>
    </w:p>
    <w:p w14:paraId="20962206">
      <w:pPr>
        <w:pStyle w:val="3"/>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一、采购项目编号</w:t>
      </w:r>
      <w:r>
        <w:rPr>
          <w:rFonts w:hint="eastAsia" w:ascii="仿宋" w:hAnsi="仿宋" w:eastAsia="仿宋" w:cs="仿宋"/>
          <w:color w:val="auto"/>
          <w:sz w:val="30"/>
          <w:szCs w:val="30"/>
          <w:highlight w:val="none"/>
        </w:rPr>
        <w:t>：YCCD202</w:t>
      </w:r>
      <w:r>
        <w:rPr>
          <w:rFonts w:hint="eastAsia" w:ascii="仿宋" w:hAnsi="仿宋" w:eastAsia="仿宋" w:cs="仿宋"/>
          <w:color w:val="auto"/>
          <w:sz w:val="30"/>
          <w:szCs w:val="30"/>
          <w:highlight w:val="none"/>
          <w:lang w:val="en-US" w:eastAsia="zh-CN"/>
        </w:rPr>
        <w:t>6</w:t>
      </w:r>
      <w:r>
        <w:rPr>
          <w:rFonts w:hint="eastAsia" w:ascii="仿宋" w:hAnsi="仿宋" w:eastAsia="仿宋" w:cs="仿宋"/>
          <w:color w:val="auto"/>
          <w:sz w:val="30"/>
          <w:szCs w:val="30"/>
          <w:highlight w:val="none"/>
        </w:rPr>
        <w:t>0001</w:t>
      </w:r>
    </w:p>
    <w:p w14:paraId="2A0597A5">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二、项目名称</w:t>
      </w:r>
      <w:r>
        <w:rPr>
          <w:rFonts w:hint="eastAsia" w:ascii="仿宋" w:hAnsi="仿宋" w:eastAsia="仿宋" w:cs="仿宋"/>
          <w:color w:val="auto"/>
          <w:sz w:val="30"/>
          <w:szCs w:val="30"/>
          <w:highlight w:val="none"/>
        </w:rPr>
        <w:t>：袁家山</w:t>
      </w:r>
      <w:r>
        <w:rPr>
          <w:rFonts w:hint="eastAsia" w:ascii="仿宋" w:hAnsi="仿宋" w:eastAsia="仿宋" w:cs="仿宋"/>
          <w:color w:val="auto"/>
          <w:sz w:val="30"/>
          <w:szCs w:val="30"/>
          <w:highlight w:val="none"/>
          <w:lang w:val="en-US" w:eastAsia="zh-CN"/>
        </w:rPr>
        <w:t>迁改</w:t>
      </w:r>
      <w:r>
        <w:rPr>
          <w:rFonts w:hint="eastAsia" w:ascii="仿宋" w:hAnsi="仿宋" w:eastAsia="仿宋" w:cs="仿宋"/>
          <w:color w:val="auto"/>
          <w:sz w:val="30"/>
          <w:szCs w:val="30"/>
          <w:highlight w:val="none"/>
        </w:rPr>
        <w:t>1*1250kVA</w:t>
      </w:r>
      <w:r>
        <w:rPr>
          <w:rFonts w:hint="eastAsia" w:ascii="仿宋" w:hAnsi="仿宋" w:eastAsia="仿宋" w:cs="仿宋"/>
          <w:color w:val="auto"/>
          <w:sz w:val="30"/>
          <w:szCs w:val="30"/>
          <w:highlight w:val="none"/>
          <w:lang w:val="en-US" w:eastAsia="zh-CN"/>
        </w:rPr>
        <w:t>配变</w:t>
      </w:r>
      <w:r>
        <w:rPr>
          <w:rFonts w:hint="eastAsia" w:ascii="仿宋" w:hAnsi="仿宋" w:eastAsia="仿宋" w:cs="仿宋"/>
          <w:color w:val="auto"/>
          <w:sz w:val="30"/>
          <w:szCs w:val="30"/>
          <w:highlight w:val="none"/>
        </w:rPr>
        <w:t>工程建设采购项目</w:t>
      </w:r>
    </w:p>
    <w:p w14:paraId="04D2BB80">
      <w:pPr>
        <w:spacing w:line="520" w:lineRule="atLeast"/>
        <w:ind w:firstLine="602" w:firstLineChars="200"/>
        <w:rPr>
          <w:rFonts w:ascii="仿宋" w:hAnsi="仿宋" w:eastAsia="仿宋" w:cs="仿宋"/>
          <w:b/>
          <w:bCs/>
          <w:color w:val="auto"/>
          <w:sz w:val="30"/>
          <w:szCs w:val="30"/>
          <w:highlight w:val="none"/>
        </w:rPr>
      </w:pPr>
      <w:r>
        <w:rPr>
          <w:rFonts w:hint="eastAsia" w:ascii="仿宋" w:hAnsi="仿宋" w:eastAsia="仿宋" w:cs="仿宋"/>
          <w:b/>
          <w:color w:val="auto"/>
          <w:sz w:val="30"/>
          <w:szCs w:val="30"/>
          <w:highlight w:val="none"/>
        </w:rPr>
        <w:t>三、采购人名称：</w:t>
      </w:r>
      <w:r>
        <w:rPr>
          <w:rFonts w:hint="eastAsia" w:eastAsia="仿宋"/>
          <w:color w:val="auto"/>
          <w:sz w:val="28"/>
          <w:highlight w:val="none"/>
        </w:rPr>
        <w:t>西昌月城巴士充电运营服务有限公司</w:t>
      </w:r>
    </w:p>
    <w:p w14:paraId="3CB570E8">
      <w:pPr>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四、采购方式</w:t>
      </w:r>
      <w:r>
        <w:rPr>
          <w:rFonts w:hint="eastAsia" w:ascii="仿宋" w:hAnsi="仿宋" w:eastAsia="仿宋" w:cs="仿宋"/>
          <w:color w:val="auto"/>
          <w:sz w:val="30"/>
          <w:szCs w:val="30"/>
          <w:highlight w:val="none"/>
        </w:rPr>
        <w:t>：竞争性磋商</w:t>
      </w:r>
    </w:p>
    <w:p w14:paraId="22957EA4">
      <w:pPr>
        <w:pStyle w:val="3"/>
        <w:spacing w:line="520" w:lineRule="atLeast"/>
        <w:ind w:firstLine="602" w:firstLineChars="200"/>
        <w:rPr>
          <w:rFonts w:hint="default" w:ascii="仿宋" w:hAnsi="仿宋" w:eastAsia="仿宋" w:cs="仿宋"/>
          <w:color w:val="auto"/>
          <w:sz w:val="30"/>
          <w:szCs w:val="30"/>
          <w:highlight w:val="none"/>
          <w:lang w:val="en-US" w:eastAsia="zh-CN"/>
        </w:rPr>
      </w:pPr>
      <w:r>
        <w:rPr>
          <w:rFonts w:hint="eastAsia" w:ascii="仿宋" w:hAnsi="仿宋" w:eastAsia="仿宋" w:cs="仿宋"/>
          <w:b/>
          <w:color w:val="auto"/>
          <w:sz w:val="30"/>
          <w:szCs w:val="30"/>
          <w:highlight w:val="none"/>
        </w:rPr>
        <w:t>五、采购资金来源</w:t>
      </w:r>
      <w:r>
        <w:rPr>
          <w:rFonts w:hint="eastAsia" w:ascii="仿宋" w:hAnsi="仿宋" w:eastAsia="仿宋" w:cs="仿宋"/>
          <w:b/>
          <w:color w:val="auto"/>
          <w:sz w:val="30"/>
          <w:szCs w:val="30"/>
          <w:highlight w:val="none"/>
          <w:lang w:val="en-US" w:eastAsia="zh-CN"/>
        </w:rPr>
        <w:t>及预算</w:t>
      </w:r>
      <w:r>
        <w:rPr>
          <w:rFonts w:hint="eastAsia" w:ascii="仿宋" w:hAnsi="仿宋" w:eastAsia="仿宋" w:cs="仿宋"/>
          <w:color w:val="auto"/>
          <w:sz w:val="30"/>
          <w:szCs w:val="30"/>
          <w:highlight w:val="none"/>
        </w:rPr>
        <w:t>：自筹资金</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45.44万元</w:t>
      </w:r>
    </w:p>
    <w:p w14:paraId="794648C4">
      <w:pPr>
        <w:pStyle w:val="3"/>
        <w:spacing w:line="560" w:lineRule="exact"/>
        <w:ind w:firstLine="602" w:firstLineChars="200"/>
        <w:jc w:val="left"/>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六、采购项目内容</w:t>
      </w:r>
      <w:r>
        <w:rPr>
          <w:rFonts w:hint="eastAsia" w:ascii="仿宋" w:hAnsi="仿宋" w:eastAsia="仿宋" w:cs="仿宋"/>
          <w:color w:val="auto"/>
          <w:sz w:val="30"/>
          <w:szCs w:val="30"/>
          <w:highlight w:val="none"/>
        </w:rPr>
        <w:t>：袁家山</w:t>
      </w:r>
      <w:r>
        <w:rPr>
          <w:rFonts w:hint="eastAsia" w:ascii="仿宋" w:hAnsi="仿宋" w:eastAsia="仿宋" w:cs="仿宋"/>
          <w:color w:val="auto"/>
          <w:sz w:val="30"/>
          <w:szCs w:val="30"/>
          <w:highlight w:val="none"/>
          <w:lang w:val="en-US" w:eastAsia="zh-CN"/>
        </w:rPr>
        <w:t>迁改</w:t>
      </w:r>
      <w:r>
        <w:rPr>
          <w:rFonts w:hint="eastAsia" w:ascii="仿宋" w:hAnsi="仿宋" w:eastAsia="仿宋" w:cs="仿宋"/>
          <w:color w:val="auto"/>
          <w:sz w:val="30"/>
          <w:szCs w:val="30"/>
          <w:highlight w:val="none"/>
        </w:rPr>
        <w:t>1*1250kVA</w:t>
      </w:r>
      <w:r>
        <w:rPr>
          <w:rFonts w:hint="eastAsia" w:ascii="仿宋" w:hAnsi="仿宋" w:eastAsia="仿宋" w:cs="仿宋"/>
          <w:color w:val="auto"/>
          <w:sz w:val="30"/>
          <w:szCs w:val="30"/>
          <w:highlight w:val="none"/>
          <w:lang w:val="en-US" w:eastAsia="zh-CN"/>
        </w:rPr>
        <w:t>配变</w:t>
      </w:r>
      <w:r>
        <w:rPr>
          <w:rFonts w:hint="eastAsia" w:ascii="仿宋" w:hAnsi="仿宋" w:eastAsia="仿宋" w:cs="仿宋"/>
          <w:color w:val="auto"/>
          <w:sz w:val="30"/>
          <w:szCs w:val="30"/>
          <w:highlight w:val="none"/>
        </w:rPr>
        <w:t>工程建设采购项目（具体内容详见竞争性磋商文件要求的所有内容）</w:t>
      </w:r>
    </w:p>
    <w:p w14:paraId="2380D881">
      <w:pPr>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七、磋商人应具备资格要求</w:t>
      </w:r>
      <w:r>
        <w:rPr>
          <w:rFonts w:hint="eastAsia" w:ascii="仿宋" w:hAnsi="仿宋" w:eastAsia="仿宋" w:cs="仿宋"/>
          <w:color w:val="auto"/>
          <w:sz w:val="30"/>
          <w:szCs w:val="30"/>
          <w:highlight w:val="none"/>
        </w:rPr>
        <w:t>：</w:t>
      </w:r>
    </w:p>
    <w:p w14:paraId="1244C3FC">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7.1在中华人民共和国境内注册，具有独立法定代表人资格、具有独立承担民事责任能力的公司；</w:t>
      </w:r>
    </w:p>
    <w:p w14:paraId="52CE5E38">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7.2具有</w:t>
      </w:r>
      <w:r>
        <w:rPr>
          <w:rFonts w:hint="eastAsia" w:ascii="仿宋" w:hAnsi="仿宋" w:eastAsia="仿宋"/>
          <w:color w:val="auto"/>
          <w:sz w:val="30"/>
          <w:szCs w:val="30"/>
          <w:highlight w:val="none"/>
        </w:rPr>
        <w:t>良好的商业信誉和</w:t>
      </w:r>
      <w:r>
        <w:rPr>
          <w:rFonts w:hint="eastAsia" w:ascii="仿宋" w:hAnsi="仿宋" w:eastAsia="仿宋" w:cs="仿宋"/>
          <w:color w:val="auto"/>
          <w:sz w:val="30"/>
          <w:szCs w:val="30"/>
          <w:highlight w:val="none"/>
        </w:rPr>
        <w:t>健全的内部管理制度；</w:t>
      </w:r>
    </w:p>
    <w:p w14:paraId="2C476A24">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7.3具有履行合同的</w:t>
      </w:r>
      <w:r>
        <w:rPr>
          <w:rFonts w:hint="eastAsia" w:ascii="仿宋" w:hAnsi="仿宋" w:eastAsia="仿宋"/>
          <w:color w:val="auto"/>
          <w:sz w:val="30"/>
          <w:szCs w:val="30"/>
          <w:highlight w:val="none"/>
        </w:rPr>
        <w:t>所必需的资金、设备、技术和售后保障等</w:t>
      </w:r>
      <w:r>
        <w:rPr>
          <w:rFonts w:hint="eastAsia" w:ascii="仿宋" w:hAnsi="仿宋" w:eastAsia="仿宋" w:cs="仿宋"/>
          <w:color w:val="auto"/>
          <w:sz w:val="30"/>
          <w:szCs w:val="30"/>
          <w:highlight w:val="none"/>
        </w:rPr>
        <w:t>能力；</w:t>
      </w:r>
    </w:p>
    <w:p w14:paraId="6AE74D3C">
      <w:pPr>
        <w:widowControl/>
        <w:kinsoku w:val="0"/>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7.4提供截止202</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12</w:t>
      </w:r>
      <w:r>
        <w:rPr>
          <w:rFonts w:hint="eastAsia" w:ascii="仿宋" w:hAnsi="仿宋" w:eastAsia="仿宋" w:cs="仿宋"/>
          <w:color w:val="auto"/>
          <w:sz w:val="30"/>
          <w:szCs w:val="30"/>
          <w:highlight w:val="none"/>
        </w:rPr>
        <w:t>月的中国人民银行征信中心的《企业信用报告》；</w:t>
      </w:r>
    </w:p>
    <w:p w14:paraId="0E6F9BBD">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7.5国家法律、行政法规规定的其他条件;</w:t>
      </w:r>
    </w:p>
    <w:p w14:paraId="4B44E415">
      <w:pPr>
        <w:widowControl/>
        <w:spacing w:after="156" w:line="560" w:lineRule="exact"/>
        <w:ind w:firstLine="600" w:firstLineChars="200"/>
        <w:jc w:val="left"/>
        <w:rPr>
          <w:rFonts w:ascii="仿宋" w:hAnsi="仿宋" w:eastAsia="仿宋" w:cs="仿宋"/>
          <w:color w:val="auto"/>
          <w:sz w:val="30"/>
          <w:szCs w:val="30"/>
          <w:highlight w:val="none"/>
        </w:rPr>
      </w:pPr>
      <w:r>
        <w:rPr>
          <w:rFonts w:hint="eastAsia" w:ascii="仿宋" w:hAnsi="仿宋" w:eastAsia="仿宋"/>
          <w:color w:val="auto"/>
          <w:sz w:val="30"/>
          <w:szCs w:val="30"/>
          <w:highlight w:val="none"/>
        </w:rPr>
        <w:t>7.6</w:t>
      </w:r>
      <w:r>
        <w:rPr>
          <w:rFonts w:hint="eastAsia" w:ascii="仿宋" w:hAnsi="仿宋" w:eastAsia="仿宋" w:cs="仿宋"/>
          <w:color w:val="auto"/>
          <w:sz w:val="30"/>
          <w:szCs w:val="30"/>
          <w:highlight w:val="none"/>
        </w:rPr>
        <w:t>提供近三年内由第三方审计机构出具的年度财务审计报告（含审计报告正文、财务报表）；</w:t>
      </w:r>
    </w:p>
    <w:p w14:paraId="0180821C">
      <w:pPr>
        <w:widowControl/>
        <w:spacing w:after="156" w:line="560" w:lineRule="exact"/>
        <w:ind w:firstLine="600" w:firstLineChars="200"/>
        <w:jc w:val="left"/>
        <w:rPr>
          <w:rFonts w:ascii="仿宋" w:hAnsi="仿宋" w:eastAsia="仿宋"/>
          <w:color w:val="auto"/>
          <w:sz w:val="30"/>
          <w:szCs w:val="30"/>
          <w:highlight w:val="none"/>
        </w:rPr>
      </w:pPr>
      <w:r>
        <w:rPr>
          <w:rFonts w:hint="eastAsia" w:ascii="仿宋" w:hAnsi="仿宋" w:eastAsia="仿宋"/>
          <w:color w:val="auto"/>
          <w:sz w:val="30"/>
          <w:szCs w:val="30"/>
          <w:highlight w:val="none"/>
        </w:rPr>
        <w:t>7.7参加采购活动前三年内，在经营活动中没有重大违法记录；</w:t>
      </w:r>
    </w:p>
    <w:p w14:paraId="347206E1">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7.8本次采购不接受被列入失信被执行人名单、重大税收违法案件当事人名单、政府采购严重违法失信行为记录名单中的供应商；</w:t>
      </w:r>
    </w:p>
    <w:p w14:paraId="2C2005A5">
      <w:pPr>
        <w:widowControl/>
        <w:kinsoku w:val="0"/>
        <w:adjustRightInd w:val="0"/>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7.9本次采购</w:t>
      </w:r>
      <w:r>
        <w:rPr>
          <w:rFonts w:hint="eastAsia" w:ascii="仿宋" w:hAnsi="仿宋" w:eastAsia="仿宋"/>
          <w:b/>
          <w:color w:val="auto"/>
          <w:sz w:val="28"/>
          <w:szCs w:val="28"/>
          <w:highlight w:val="none"/>
        </w:rPr>
        <w:t>不接受联合体</w:t>
      </w:r>
      <w:r>
        <w:rPr>
          <w:rFonts w:hint="eastAsia" w:ascii="仿宋" w:hAnsi="仿宋" w:eastAsia="仿宋" w:cs="仿宋"/>
          <w:color w:val="auto"/>
          <w:sz w:val="30"/>
          <w:szCs w:val="30"/>
          <w:highlight w:val="none"/>
        </w:rPr>
        <w:t>磋商。</w:t>
      </w:r>
    </w:p>
    <w:p w14:paraId="34813451">
      <w:pPr>
        <w:widowControl/>
        <w:kinsoku w:val="0"/>
        <w:adjustRightInd w:val="0"/>
        <w:spacing w:after="156" w:line="520" w:lineRule="atLeas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7.10 特殊要求：</w:t>
      </w:r>
    </w:p>
    <w:p w14:paraId="455E6FBE">
      <w:pPr>
        <w:widowControl/>
        <w:kinsoku w:val="0"/>
        <w:adjustRightInd w:val="0"/>
        <w:spacing w:after="156" w:line="520" w:lineRule="atLeas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7</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rPr>
        <w:t>具有输变电工程专业承包三级及以上资质（含三级）或具有电力工程施工总承包三级及以上（含三级）资质；</w:t>
      </w:r>
    </w:p>
    <w:p w14:paraId="59012452">
      <w:pPr>
        <w:widowControl/>
        <w:kinsoku w:val="0"/>
        <w:adjustRightInd w:val="0"/>
        <w:spacing w:after="156" w:line="520" w:lineRule="atLeas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7.10.2</w:t>
      </w:r>
      <w:r>
        <w:rPr>
          <w:rFonts w:hint="eastAsia" w:ascii="仿宋" w:hAnsi="仿宋" w:eastAsia="仿宋" w:cs="仿宋"/>
          <w:color w:val="auto"/>
          <w:sz w:val="30"/>
          <w:szCs w:val="30"/>
          <w:highlight w:val="none"/>
        </w:rPr>
        <w:t>具有电力承装（修、试）电力设施许可证四级及以上（含四级）；</w:t>
      </w:r>
    </w:p>
    <w:p w14:paraId="0DEC34DD">
      <w:pPr>
        <w:widowControl/>
        <w:kinsoku w:val="0"/>
        <w:adjustRightInd w:val="0"/>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7.10.3</w:t>
      </w:r>
      <w:r>
        <w:rPr>
          <w:rFonts w:hint="eastAsia" w:ascii="仿宋" w:hAnsi="仿宋" w:eastAsia="仿宋" w:cs="仿宋"/>
          <w:color w:val="auto"/>
          <w:sz w:val="30"/>
          <w:szCs w:val="30"/>
          <w:highlight w:val="none"/>
        </w:rPr>
        <w:t>近三年（2022—2025年）内完成3个及以上类似项目业绩，并在人员、设备、资金等方面具有相应的施工能力；</w:t>
      </w:r>
    </w:p>
    <w:p w14:paraId="248AC3CF">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八、公告期限：202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2</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13</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10:00:00</w:t>
      </w:r>
      <w:r>
        <w:rPr>
          <w:rFonts w:hint="eastAsia" w:ascii="仿宋" w:hAnsi="仿宋" w:eastAsia="仿宋" w:cs="仿宋"/>
          <w:b/>
          <w:color w:val="auto"/>
          <w:sz w:val="30"/>
          <w:szCs w:val="30"/>
          <w:highlight w:val="none"/>
        </w:rPr>
        <w:t>起至202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2</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24</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17:00:00</w:t>
      </w:r>
      <w:r>
        <w:rPr>
          <w:rFonts w:hint="eastAsia" w:ascii="仿宋" w:hAnsi="仿宋" w:eastAsia="仿宋" w:cs="仿宋"/>
          <w:b/>
          <w:color w:val="auto"/>
          <w:sz w:val="30"/>
          <w:szCs w:val="30"/>
          <w:highlight w:val="none"/>
        </w:rPr>
        <w:t>止。</w:t>
      </w:r>
    </w:p>
    <w:p w14:paraId="265542CF">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九、磋商文件的获取：</w:t>
      </w:r>
    </w:p>
    <w:p w14:paraId="058D66C6">
      <w:pPr>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9.1时间：202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2</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13</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10</w:t>
      </w:r>
      <w:bookmarkStart w:id="0" w:name="_GoBack"/>
      <w:bookmarkEnd w:id="0"/>
      <w:r>
        <w:rPr>
          <w:rFonts w:hint="eastAsia" w:ascii="仿宋" w:hAnsi="仿宋" w:eastAsia="仿宋" w:cs="仿宋"/>
          <w:b/>
          <w:color w:val="auto"/>
          <w:sz w:val="30"/>
          <w:szCs w:val="30"/>
          <w:highlight w:val="none"/>
          <w:lang w:val="en-US" w:eastAsia="zh-CN"/>
        </w:rPr>
        <w:t>:00:00</w:t>
      </w:r>
      <w:r>
        <w:rPr>
          <w:rFonts w:hint="eastAsia" w:ascii="仿宋" w:hAnsi="仿宋" w:eastAsia="仿宋" w:cs="仿宋"/>
          <w:b/>
          <w:color w:val="auto"/>
          <w:sz w:val="30"/>
          <w:szCs w:val="30"/>
          <w:highlight w:val="none"/>
        </w:rPr>
        <w:t>起至202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2</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24</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u w:val="single"/>
          <w:lang w:val="en-US" w:eastAsia="zh-CN"/>
        </w:rPr>
        <w:t>17</w:t>
      </w:r>
      <w:r>
        <w:rPr>
          <w:rFonts w:hint="eastAsia" w:ascii="仿宋" w:hAnsi="仿宋" w:eastAsia="仿宋" w:cs="仿宋"/>
          <w:b/>
          <w:color w:val="auto"/>
          <w:sz w:val="30"/>
          <w:szCs w:val="30"/>
          <w:highlight w:val="none"/>
        </w:rPr>
        <w:t>：</w:t>
      </w:r>
      <w:r>
        <w:rPr>
          <w:rFonts w:hint="eastAsia" w:ascii="仿宋" w:hAnsi="仿宋" w:eastAsia="仿宋" w:cs="仿宋"/>
          <w:b/>
          <w:color w:val="auto"/>
          <w:sz w:val="30"/>
          <w:szCs w:val="30"/>
          <w:highlight w:val="none"/>
          <w:u w:val="single"/>
        </w:rPr>
        <w:t>00</w:t>
      </w:r>
      <w:r>
        <w:rPr>
          <w:rFonts w:hint="eastAsia" w:ascii="仿宋" w:hAnsi="仿宋" w:eastAsia="仿宋" w:cs="仿宋"/>
          <w:b/>
          <w:color w:val="auto"/>
          <w:sz w:val="30"/>
          <w:szCs w:val="30"/>
          <w:highlight w:val="none"/>
          <w:u w:val="none"/>
          <w:lang w:eastAsia="zh-CN"/>
        </w:rPr>
        <w:t>：</w:t>
      </w:r>
      <w:r>
        <w:rPr>
          <w:rFonts w:hint="eastAsia" w:ascii="仿宋" w:hAnsi="仿宋" w:eastAsia="仿宋" w:cs="仿宋"/>
          <w:b/>
          <w:color w:val="auto"/>
          <w:sz w:val="30"/>
          <w:szCs w:val="30"/>
          <w:highlight w:val="none"/>
          <w:u w:val="single"/>
          <w:lang w:val="en-US" w:eastAsia="zh-CN"/>
        </w:rPr>
        <w:t>00</w:t>
      </w:r>
      <w:r>
        <w:rPr>
          <w:rFonts w:hint="eastAsia" w:ascii="仿宋" w:hAnsi="仿宋" w:eastAsia="仿宋" w:cs="仿宋"/>
          <w:b/>
          <w:color w:val="auto"/>
          <w:sz w:val="30"/>
          <w:szCs w:val="30"/>
          <w:highlight w:val="none"/>
        </w:rPr>
        <w:t>止。</w:t>
      </w:r>
    </w:p>
    <w:p w14:paraId="39660575">
      <w:pPr>
        <w:tabs>
          <w:tab w:val="left" w:pos="7665"/>
        </w:tabs>
        <w:spacing w:line="520" w:lineRule="atLeas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9.2在西南联合产权交易所电子招采平台网站https://swueecg.com/#/index，按照网上操作流程（资料下载-供应商操作手册）获取。</w:t>
      </w:r>
    </w:p>
    <w:p w14:paraId="6E8CA48C">
      <w:pPr>
        <w:tabs>
          <w:tab w:val="left" w:pos="7665"/>
        </w:tabs>
        <w:spacing w:line="520" w:lineRule="atLeas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9.3本项目磋商文件费用：人民币200元/份，须通过供应商银行账户转账方式交纳磋商文件获取费用（不接收个人转账，磋商文件售后不退,磋商资格不能转让），转账前请核实招采平台转账页面的“项目信息”，认真阅读“注意事项”并按照“支付信息”进行转账。（磋商文件获取费用以费用到达指定账户为准，在文件获取截止时间内未到账的不能获取磋商文件）。</w:t>
      </w:r>
    </w:p>
    <w:p w14:paraId="2D92EDAC">
      <w:pPr>
        <w:tabs>
          <w:tab w:val="left" w:pos="7665"/>
        </w:tabs>
        <w:spacing w:line="520" w:lineRule="atLeast"/>
        <w:ind w:firstLine="600" w:firstLineChars="200"/>
        <w:rPr>
          <w:rFonts w:hint="eastAsia" w:ascii="仿宋" w:hAnsi="仿宋" w:eastAsia="仿宋" w:cs="仿宋"/>
          <w:color w:val="FF0000"/>
          <w:sz w:val="30"/>
          <w:szCs w:val="30"/>
          <w:highlight w:val="none"/>
        </w:rPr>
      </w:pPr>
      <w:r>
        <w:rPr>
          <w:rFonts w:hint="eastAsia" w:ascii="仿宋" w:hAnsi="仿宋" w:eastAsia="仿宋" w:cs="仿宋"/>
          <w:color w:val="auto"/>
          <w:sz w:val="30"/>
          <w:szCs w:val="30"/>
          <w:highlight w:val="none"/>
        </w:rPr>
        <w:t>9.4本项目文件获取费用由西南联合产权交易所阳光采购平台代采购人收取，项目结束后文件获取费用将划转至采购人指定账户处，相关发票由采购人开具。</w:t>
      </w:r>
    </w:p>
    <w:p w14:paraId="102AB423">
      <w:pPr>
        <w:tabs>
          <w:tab w:val="left" w:pos="7665"/>
        </w:tabs>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十、磋商保证金</w:t>
      </w:r>
      <w:r>
        <w:rPr>
          <w:rFonts w:hint="eastAsia" w:ascii="仿宋" w:hAnsi="仿宋" w:eastAsia="仿宋" w:cs="仿宋"/>
          <w:b/>
          <w:color w:val="auto"/>
          <w:sz w:val="30"/>
          <w:szCs w:val="30"/>
          <w:highlight w:val="none"/>
        </w:rPr>
        <w:t>缴纳金额及时间</w:t>
      </w:r>
      <w:r>
        <w:rPr>
          <w:rFonts w:hint="eastAsia" w:ascii="仿宋" w:hAnsi="仿宋" w:eastAsia="仿宋" w:cs="仿宋"/>
          <w:color w:val="auto"/>
          <w:sz w:val="30"/>
          <w:szCs w:val="30"/>
          <w:highlight w:val="none"/>
        </w:rPr>
        <w:t>：</w:t>
      </w:r>
    </w:p>
    <w:p w14:paraId="50235481">
      <w:pPr>
        <w:snapToGrid w:val="0"/>
        <w:spacing w:line="360" w:lineRule="auto"/>
        <w:ind w:right="40" w:rightChars="19"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10.1</w:t>
      </w:r>
      <w:r>
        <w:rPr>
          <w:rFonts w:hint="eastAsia" w:ascii="仿宋" w:hAnsi="仿宋" w:eastAsia="仿宋" w:cs="仿宋"/>
          <w:color w:val="auto"/>
          <w:sz w:val="30"/>
          <w:szCs w:val="30"/>
          <w:highlight w:val="none"/>
          <w:u w:val="single"/>
        </w:rPr>
        <w:t>缴纳金额及时间：202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24</w:t>
      </w:r>
      <w:r>
        <w:rPr>
          <w:rFonts w:hint="eastAsia" w:ascii="仿宋" w:hAnsi="仿宋" w:eastAsia="仿宋" w:cs="仿宋"/>
          <w:color w:val="auto"/>
          <w:sz w:val="30"/>
          <w:szCs w:val="30"/>
          <w:highlight w:val="none"/>
          <w:u w:val="single"/>
        </w:rPr>
        <w:t>日1</w:t>
      </w:r>
      <w:r>
        <w:rPr>
          <w:rFonts w:hint="eastAsia" w:ascii="仿宋" w:hAnsi="仿宋" w:eastAsia="仿宋" w:cs="仿宋"/>
          <w:color w:val="auto"/>
          <w:sz w:val="30"/>
          <w:szCs w:val="30"/>
          <w:highlight w:val="none"/>
          <w:u w:val="single"/>
          <w:lang w:val="en-US" w:eastAsia="zh-CN"/>
        </w:rPr>
        <w:t>7</w:t>
      </w:r>
      <w:r>
        <w:rPr>
          <w:rFonts w:hint="eastAsia" w:ascii="仿宋" w:hAnsi="仿宋" w:eastAsia="仿宋" w:cs="仿宋"/>
          <w:color w:val="auto"/>
          <w:sz w:val="30"/>
          <w:szCs w:val="30"/>
          <w:highlight w:val="none"/>
          <w:u w:val="single"/>
        </w:rPr>
        <w:t>:00时前缴纳磋商保证金人民币</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000.00元（大写：</w:t>
      </w:r>
      <w:r>
        <w:rPr>
          <w:rFonts w:hint="eastAsia" w:ascii="仿宋" w:hAnsi="仿宋" w:eastAsia="仿宋" w:cs="仿宋"/>
          <w:color w:val="auto"/>
          <w:sz w:val="30"/>
          <w:szCs w:val="30"/>
          <w:highlight w:val="none"/>
          <w:lang w:val="en-US" w:eastAsia="zh-CN"/>
        </w:rPr>
        <w:t>壹万</w:t>
      </w:r>
      <w:r>
        <w:rPr>
          <w:rFonts w:hint="eastAsia" w:ascii="仿宋" w:hAnsi="仿宋" w:eastAsia="仿宋" w:cs="仿宋"/>
          <w:color w:val="auto"/>
          <w:sz w:val="30"/>
          <w:szCs w:val="30"/>
          <w:highlight w:val="none"/>
        </w:rPr>
        <w:t>元整）（磋商保证金的交纳以银行到账时间为准；超过此时限到达指定账户导致响应无效的，由潜在供应商自行承担责任）。</w:t>
      </w:r>
    </w:p>
    <w:p w14:paraId="18A8C11C">
      <w:pPr>
        <w:widowControl/>
        <w:spacing w:after="156" w:line="520" w:lineRule="atLeast"/>
        <w:ind w:firstLine="600"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10.2交款方式：①通过供应商账户转账，交款账户名称和供应商名称必须一致，以到账时间为准。②以电子保函形式递交的操作流程参照西南联合产权交易所阳光采购平台供应商操作手册。</w:t>
      </w:r>
    </w:p>
    <w:p w14:paraId="688970D0">
      <w:pPr>
        <w:widowControl/>
        <w:spacing w:after="156" w:line="520" w:lineRule="atLeast"/>
        <w:ind w:firstLine="602" w:firstLineChars="200"/>
        <w:jc w:val="both"/>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特别注意：</w:t>
      </w:r>
    </w:p>
    <w:p w14:paraId="6EDC5B0F">
      <w:pPr>
        <w:widowControl/>
        <w:spacing w:after="156" w:line="520" w:lineRule="atLeast"/>
        <w:ind w:firstLine="602" w:firstLineChars="200"/>
        <w:jc w:val="both"/>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（1）潜在供应商交纳磋商保证金时，请务必核实招采平台转账页面的“项目信息”，认真阅读“注意事项”并按照“支付信息”进行转账。</w:t>
      </w:r>
    </w:p>
    <w:p w14:paraId="628B96EC">
      <w:pPr>
        <w:widowControl/>
        <w:spacing w:after="156" w:line="520" w:lineRule="atLeast"/>
        <w:ind w:firstLine="602" w:firstLineChars="200"/>
        <w:jc w:val="both"/>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（2）招采平台所提供的保证金缴纳账户，每次缴纳费用的账号基本不同，请各供应商在缴纳费用时，仔细核对收款账户、账号，避免因账号错误而造成保证金未按要求缴纳。</w:t>
      </w:r>
    </w:p>
    <w:p w14:paraId="2B8613D6">
      <w:pPr>
        <w:widowControl/>
        <w:spacing w:after="156" w:line="520" w:lineRule="atLeast"/>
        <w:ind w:firstLine="600" w:firstLineChars="200"/>
        <w:jc w:val="both"/>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10.2磋商保证金退还时间：未成交人的磋商保证金，将在竞争性磋商结束后五个工作日内全额退还（不计利息）。成交人的磋商保证金，在合同签订生效并按规定交纳了履约保证金后五个工作日内全额退还（不计利息）。</w:t>
      </w:r>
    </w:p>
    <w:p w14:paraId="20E49606">
      <w:pPr>
        <w:spacing w:line="520" w:lineRule="atLeast"/>
        <w:ind w:left="105" w:leftChars="50"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十一、磋商响应文件递交截止时间及地点：</w:t>
      </w:r>
    </w:p>
    <w:p w14:paraId="2AF6A0C0">
      <w:pPr>
        <w:spacing w:line="520" w:lineRule="atLeast"/>
        <w:ind w:firstLine="600" w:firstLineChars="200"/>
        <w:rPr>
          <w:rFonts w:ascii="仿宋" w:hAnsi="仿宋" w:eastAsia="仿宋" w:cs="仿宋"/>
          <w:b/>
          <w:color w:val="auto"/>
          <w:sz w:val="30"/>
          <w:szCs w:val="30"/>
          <w:highlight w:val="none"/>
        </w:rPr>
      </w:pPr>
      <w:r>
        <w:rPr>
          <w:rFonts w:hint="eastAsia" w:ascii="仿宋" w:hAnsi="仿宋" w:eastAsia="仿宋" w:cs="仿宋"/>
          <w:color w:val="auto"/>
          <w:sz w:val="30"/>
          <w:szCs w:val="30"/>
          <w:highlight w:val="none"/>
        </w:rPr>
        <w:t>11.1时间：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25</w:t>
      </w:r>
      <w:r>
        <w:rPr>
          <w:rFonts w:hint="eastAsia" w:ascii="仿宋" w:hAnsi="仿宋" w:eastAsia="仿宋" w:cs="仿宋"/>
          <w:color w:val="auto"/>
          <w:sz w:val="30"/>
          <w:szCs w:val="30"/>
          <w:highlight w:val="none"/>
          <w:u w:val="single"/>
        </w:rPr>
        <w:t>日上午9:00</w:t>
      </w:r>
      <w:r>
        <w:rPr>
          <w:rFonts w:hint="eastAsia" w:ascii="仿宋" w:hAnsi="仿宋" w:eastAsia="仿宋" w:cs="仿宋"/>
          <w:color w:val="auto"/>
          <w:sz w:val="30"/>
          <w:szCs w:val="30"/>
          <w:highlight w:val="none"/>
          <w:u w:val="single"/>
          <w:lang w:val="en-US" w:eastAsia="zh-CN"/>
        </w:rPr>
        <w:t>:00</w:t>
      </w:r>
      <w:r>
        <w:rPr>
          <w:rFonts w:hint="eastAsia" w:ascii="仿宋" w:hAnsi="仿宋" w:eastAsia="仿宋" w:cs="仿宋"/>
          <w:color w:val="auto"/>
          <w:sz w:val="30"/>
          <w:szCs w:val="30"/>
          <w:highlight w:val="none"/>
          <w:u w:val="single"/>
        </w:rPr>
        <w:t>整</w:t>
      </w:r>
    </w:p>
    <w:p w14:paraId="21AF24E7">
      <w:pPr>
        <w:tabs>
          <w:tab w:val="left" w:pos="7665"/>
        </w:tabs>
        <w:spacing w:line="520" w:lineRule="atLeast"/>
        <w:ind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11.2地点：</w:t>
      </w:r>
      <w:r>
        <w:rPr>
          <w:rFonts w:hint="eastAsia" w:ascii="仿宋" w:hAnsi="仿宋" w:eastAsia="仿宋" w:cs="仿宋"/>
          <w:color w:val="auto"/>
          <w:sz w:val="30"/>
          <w:szCs w:val="30"/>
          <w:highlight w:val="none"/>
          <w:u w:val="single"/>
        </w:rPr>
        <w:t>西昌市西客站三楼西昌月城公共交通有限公司会议室</w:t>
      </w:r>
    </w:p>
    <w:p w14:paraId="3B89B583">
      <w:pPr>
        <w:spacing w:line="520" w:lineRule="atLeast"/>
        <w:ind w:left="105" w:leftChars="50"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（逾期递交或者未送达指定地点的磋商响应文件不予接受）</w:t>
      </w:r>
    </w:p>
    <w:p w14:paraId="6FDAB909">
      <w:pPr>
        <w:spacing w:line="520" w:lineRule="atLeast"/>
        <w:ind w:left="105" w:leftChars="50"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十二、磋商时间及地点</w:t>
      </w:r>
      <w:r>
        <w:rPr>
          <w:rFonts w:hint="eastAsia" w:ascii="仿宋" w:hAnsi="仿宋" w:eastAsia="仿宋" w:cs="仿宋"/>
          <w:color w:val="auto"/>
          <w:sz w:val="30"/>
          <w:szCs w:val="30"/>
          <w:highlight w:val="none"/>
        </w:rPr>
        <w:t>：</w:t>
      </w:r>
    </w:p>
    <w:p w14:paraId="45FE079C">
      <w:pPr>
        <w:spacing w:line="520" w:lineRule="atLeast"/>
        <w:ind w:firstLine="600" w:firstLineChars="200"/>
        <w:rPr>
          <w:rFonts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12.1时间：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25</w:t>
      </w:r>
      <w:r>
        <w:rPr>
          <w:rFonts w:hint="eastAsia" w:ascii="仿宋" w:hAnsi="仿宋" w:eastAsia="仿宋" w:cs="仿宋"/>
          <w:color w:val="auto"/>
          <w:sz w:val="30"/>
          <w:szCs w:val="30"/>
          <w:highlight w:val="none"/>
          <w:u w:val="single"/>
        </w:rPr>
        <w:t>日上午9:00</w:t>
      </w:r>
      <w:r>
        <w:rPr>
          <w:rFonts w:hint="eastAsia" w:ascii="仿宋" w:hAnsi="仿宋" w:eastAsia="仿宋" w:cs="仿宋"/>
          <w:color w:val="auto"/>
          <w:sz w:val="30"/>
          <w:szCs w:val="30"/>
          <w:highlight w:val="none"/>
          <w:u w:val="single"/>
          <w:lang w:val="en-US" w:eastAsia="zh-CN"/>
        </w:rPr>
        <w:t>:00</w:t>
      </w:r>
      <w:r>
        <w:rPr>
          <w:rFonts w:hint="eastAsia" w:ascii="仿宋" w:hAnsi="仿宋" w:eastAsia="仿宋" w:cs="仿宋"/>
          <w:color w:val="auto"/>
          <w:sz w:val="30"/>
          <w:szCs w:val="30"/>
          <w:highlight w:val="none"/>
          <w:u w:val="single"/>
        </w:rPr>
        <w:t>截标后</w:t>
      </w:r>
    </w:p>
    <w:p w14:paraId="6D366AD7">
      <w:pPr>
        <w:tabs>
          <w:tab w:val="left" w:pos="7665"/>
        </w:tabs>
        <w:spacing w:line="520" w:lineRule="atLeast"/>
        <w:ind w:firstLine="600"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12.2地点：</w:t>
      </w:r>
      <w:r>
        <w:rPr>
          <w:rFonts w:hint="eastAsia" w:ascii="仿宋" w:hAnsi="仿宋" w:eastAsia="仿宋" w:cs="仿宋"/>
          <w:color w:val="auto"/>
          <w:sz w:val="30"/>
          <w:szCs w:val="30"/>
          <w:highlight w:val="none"/>
          <w:u w:val="single"/>
          <w:lang w:eastAsia="zh-CN"/>
        </w:rPr>
        <w:t>西昌市西客站三楼西昌月城公共交通有限公司会议室</w:t>
      </w:r>
    </w:p>
    <w:p w14:paraId="47313ED5">
      <w:pPr>
        <w:spacing w:line="520" w:lineRule="atLeast"/>
        <w:ind w:left="105" w:leftChars="50"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十三、联系方式及电话：</w:t>
      </w:r>
    </w:p>
    <w:p w14:paraId="55A1D5CC">
      <w:pPr>
        <w:spacing w:line="520" w:lineRule="atLeast"/>
        <w:ind w:left="105" w:leftChars="50"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杨女士：17608190884（商务咨询）</w:t>
      </w:r>
    </w:p>
    <w:p w14:paraId="6DCCD981">
      <w:pPr>
        <w:spacing w:line="520" w:lineRule="atLeast"/>
        <w:ind w:left="105" w:leftChars="50"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谢女士：13550408423（技术参数咨询）</w:t>
      </w:r>
    </w:p>
    <w:p w14:paraId="5D26575A">
      <w:pPr>
        <w:spacing w:line="520" w:lineRule="atLeast"/>
        <w:ind w:left="105" w:leftChars="50" w:firstLine="600" w:firstLineChars="200"/>
        <w:rPr>
          <w:rFonts w:hint="eastAsia" w:ascii="仿宋" w:hAnsi="仿宋" w:eastAsia="仿宋" w:cs="仿宋"/>
          <w:color w:val="auto"/>
          <w:sz w:val="30"/>
          <w:szCs w:val="30"/>
          <w:highlight w:val="none"/>
        </w:rPr>
      </w:pPr>
    </w:p>
    <w:p w14:paraId="3ED71E4A">
      <w:pPr>
        <w:pStyle w:val="6"/>
        <w:ind w:firstLine="480" w:firstLineChars="0"/>
        <w:rPr>
          <w:rFonts w:ascii="宋体" w:hAnsi="宋体" w:cs="仿宋"/>
          <w:color w:val="auto"/>
          <w:sz w:val="24"/>
          <w:highlight w:val="none"/>
        </w:rPr>
      </w:pPr>
      <w:r>
        <w:rPr>
          <w:rFonts w:hint="eastAsia" w:ascii="宋体" w:hAnsi="宋体" w:cs="仿宋"/>
          <w:color w:val="auto"/>
          <w:sz w:val="24"/>
          <w:highlight w:val="none"/>
        </w:rPr>
        <w:t>注：1.标书费发票开具请在磋商结果公告后联系采购人申请（开票信息详见磋商文件格式附件</w:t>
      </w:r>
      <w:r>
        <w:rPr>
          <w:rFonts w:ascii="宋体" w:hAnsi="宋体" w:cs="仿宋"/>
          <w:color w:val="auto"/>
          <w:sz w:val="24"/>
          <w:highlight w:val="none"/>
        </w:rPr>
        <w:t>“</w:t>
      </w:r>
      <w:r>
        <w:rPr>
          <w:rFonts w:hint="eastAsia" w:ascii="宋体" w:hAnsi="宋体" w:cs="仿宋"/>
          <w:color w:val="auto"/>
          <w:sz w:val="24"/>
          <w:highlight w:val="none"/>
        </w:rPr>
        <w:t>开票信息</w:t>
      </w:r>
      <w:r>
        <w:rPr>
          <w:rFonts w:ascii="宋体" w:hAnsi="宋体" w:cs="仿宋"/>
          <w:color w:val="auto"/>
          <w:sz w:val="24"/>
          <w:highlight w:val="none"/>
        </w:rPr>
        <w:t>”</w:t>
      </w:r>
      <w:r>
        <w:rPr>
          <w:rFonts w:hint="eastAsia" w:ascii="宋体" w:hAnsi="宋体" w:cs="仿宋"/>
          <w:color w:val="auto"/>
          <w:sz w:val="24"/>
          <w:highlight w:val="none"/>
        </w:rPr>
        <w:t>）</w:t>
      </w:r>
    </w:p>
    <w:p w14:paraId="0F68BCCD">
      <w:pPr>
        <w:pStyle w:val="6"/>
        <w:ind w:firstLine="480" w:firstLineChars="0"/>
        <w:rPr>
          <w:color w:val="auto"/>
          <w:highlight w:val="none"/>
        </w:rPr>
      </w:pPr>
      <w:r>
        <w:rPr>
          <w:rFonts w:hint="eastAsia" w:ascii="宋体" w:hAnsi="宋体" w:cs="仿宋"/>
          <w:color w:val="auto"/>
          <w:sz w:val="24"/>
          <w:highlight w:val="none"/>
        </w:rPr>
        <w:t>2.平台注册、报名、缴费请咨询：028-86123300</w:t>
      </w:r>
    </w:p>
    <w:p w14:paraId="20D0A6C6">
      <w:pPr>
        <w:spacing w:line="420" w:lineRule="exact"/>
        <w:rPr>
          <w:rFonts w:hint="eastAsia"/>
          <w:b/>
          <w:bCs/>
          <w:color w:val="auto"/>
          <w:highlight w:val="none"/>
        </w:rPr>
        <w:sectPr>
          <w:pgSz w:w="11907" w:h="16840"/>
          <w:pgMar w:top="1440" w:right="1474" w:bottom="1440" w:left="1474" w:header="851" w:footer="992" w:gutter="0"/>
          <w:cols w:space="720" w:num="1"/>
          <w:docGrid w:linePitch="312" w:charSpace="0"/>
        </w:sectPr>
      </w:pPr>
    </w:p>
    <w:p w14:paraId="61A220A4">
      <w:pPr>
        <w:spacing w:line="420" w:lineRule="exact"/>
        <w:rPr>
          <w:b/>
          <w:bCs/>
          <w:color w:val="auto"/>
          <w:highlight w:val="none"/>
        </w:rPr>
      </w:pPr>
      <w:r>
        <w:rPr>
          <w:rFonts w:hint="eastAsia"/>
          <w:b/>
          <w:bCs/>
          <w:color w:val="auto"/>
          <w:highlight w:val="none"/>
        </w:rPr>
        <w:t>附件：开票信息</w:t>
      </w:r>
    </w:p>
    <w:p w14:paraId="4D3EC34D">
      <w:pPr>
        <w:pStyle w:val="2"/>
        <w:ind w:left="0" w:leftChars="0"/>
        <w:rPr>
          <w:rFonts w:ascii="宋体" w:hAnsi="宋体"/>
          <w:color w:val="auto"/>
          <w:highlight w:val="none"/>
        </w:rPr>
      </w:pPr>
    </w:p>
    <w:p w14:paraId="29BAB2C0">
      <w:pPr>
        <w:spacing w:line="360" w:lineRule="auto"/>
        <w:jc w:val="center"/>
        <w:rPr>
          <w:b/>
          <w:bCs/>
          <w:color w:val="auto"/>
          <w:highlight w:val="none"/>
        </w:rPr>
      </w:pPr>
      <w:r>
        <w:rPr>
          <w:rFonts w:hint="eastAsia"/>
          <w:b/>
          <w:bCs/>
          <w:color w:val="auto"/>
          <w:highlight w:val="none"/>
        </w:rPr>
        <w:t>开 票 信 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6419"/>
      </w:tblGrid>
      <w:tr w14:paraId="21CD6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EACB457">
            <w:pPr>
              <w:spacing w:line="360" w:lineRule="auto"/>
              <w:rPr>
                <w:color w:val="auto"/>
                <w:highlight w:val="none"/>
              </w:rPr>
            </w:pPr>
            <w:r>
              <w:rPr>
                <w:rFonts w:hint="eastAsia"/>
                <w:color w:val="auto"/>
                <w:highlight w:val="none"/>
              </w:rPr>
              <w:t>开票项目名称</w:t>
            </w:r>
          </w:p>
        </w:tc>
        <w:tc>
          <w:tcPr>
            <w:tcW w:w="6940" w:type="dxa"/>
          </w:tcPr>
          <w:p w14:paraId="7522CDBC">
            <w:pPr>
              <w:spacing w:line="360" w:lineRule="auto"/>
              <w:rPr>
                <w:color w:val="auto"/>
                <w:highlight w:val="none"/>
              </w:rPr>
            </w:pPr>
          </w:p>
        </w:tc>
      </w:tr>
      <w:tr w14:paraId="2A449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9FE1BBB">
            <w:pPr>
              <w:spacing w:line="360" w:lineRule="auto"/>
              <w:rPr>
                <w:color w:val="auto"/>
                <w:highlight w:val="none"/>
              </w:rPr>
            </w:pPr>
            <w:r>
              <w:rPr>
                <w:rFonts w:hint="eastAsia"/>
                <w:color w:val="auto"/>
                <w:highlight w:val="none"/>
              </w:rPr>
              <w:t>开票项目编号</w:t>
            </w:r>
          </w:p>
        </w:tc>
        <w:tc>
          <w:tcPr>
            <w:tcW w:w="6940" w:type="dxa"/>
          </w:tcPr>
          <w:p w14:paraId="5B76D42E">
            <w:pPr>
              <w:spacing w:line="360" w:lineRule="auto"/>
              <w:rPr>
                <w:color w:val="auto"/>
                <w:highlight w:val="none"/>
              </w:rPr>
            </w:pPr>
          </w:p>
        </w:tc>
      </w:tr>
      <w:tr w14:paraId="0EC6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D44237B">
            <w:pPr>
              <w:spacing w:line="360" w:lineRule="auto"/>
              <w:rPr>
                <w:color w:val="auto"/>
                <w:highlight w:val="none"/>
              </w:rPr>
            </w:pPr>
            <w:r>
              <w:rPr>
                <w:rFonts w:hint="eastAsia"/>
                <w:color w:val="auto"/>
                <w:highlight w:val="none"/>
              </w:rPr>
              <w:t>开票单位</w:t>
            </w:r>
          </w:p>
        </w:tc>
        <w:tc>
          <w:tcPr>
            <w:tcW w:w="6940" w:type="dxa"/>
          </w:tcPr>
          <w:p w14:paraId="732110F4">
            <w:pPr>
              <w:spacing w:line="360" w:lineRule="auto"/>
              <w:rPr>
                <w:color w:val="auto"/>
                <w:highlight w:val="none"/>
              </w:rPr>
            </w:pPr>
          </w:p>
        </w:tc>
      </w:tr>
      <w:tr w14:paraId="05E2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6B4DB45">
            <w:pPr>
              <w:spacing w:line="360" w:lineRule="auto"/>
              <w:rPr>
                <w:color w:val="auto"/>
                <w:highlight w:val="none"/>
              </w:rPr>
            </w:pPr>
            <w:r>
              <w:rPr>
                <w:rFonts w:hint="eastAsia"/>
                <w:color w:val="auto"/>
                <w:highlight w:val="none"/>
              </w:rPr>
              <w:t>纳税人识别号</w:t>
            </w:r>
          </w:p>
        </w:tc>
        <w:tc>
          <w:tcPr>
            <w:tcW w:w="6940" w:type="dxa"/>
          </w:tcPr>
          <w:p w14:paraId="42DCF21F">
            <w:pPr>
              <w:spacing w:line="360" w:lineRule="auto"/>
              <w:rPr>
                <w:color w:val="auto"/>
                <w:highlight w:val="none"/>
              </w:rPr>
            </w:pPr>
          </w:p>
        </w:tc>
      </w:tr>
      <w:tr w14:paraId="19BC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1689F8DE">
            <w:pPr>
              <w:spacing w:line="360" w:lineRule="auto"/>
              <w:rPr>
                <w:color w:val="auto"/>
                <w:highlight w:val="none"/>
              </w:rPr>
            </w:pPr>
            <w:r>
              <w:rPr>
                <w:rFonts w:hint="eastAsia"/>
                <w:color w:val="auto"/>
                <w:highlight w:val="none"/>
              </w:rPr>
              <w:t>地址、电话</w:t>
            </w:r>
          </w:p>
        </w:tc>
        <w:tc>
          <w:tcPr>
            <w:tcW w:w="6940" w:type="dxa"/>
          </w:tcPr>
          <w:p w14:paraId="2A4C3425">
            <w:pPr>
              <w:spacing w:line="360" w:lineRule="auto"/>
              <w:rPr>
                <w:color w:val="auto"/>
                <w:highlight w:val="none"/>
              </w:rPr>
            </w:pPr>
          </w:p>
        </w:tc>
      </w:tr>
      <w:tr w14:paraId="0468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0AD82099">
            <w:pPr>
              <w:spacing w:line="360" w:lineRule="auto"/>
              <w:rPr>
                <w:color w:val="auto"/>
                <w:highlight w:val="none"/>
              </w:rPr>
            </w:pPr>
            <w:r>
              <w:rPr>
                <w:rFonts w:hint="eastAsia"/>
                <w:color w:val="auto"/>
                <w:highlight w:val="none"/>
              </w:rPr>
              <w:t>开户行及账号</w:t>
            </w:r>
          </w:p>
        </w:tc>
        <w:tc>
          <w:tcPr>
            <w:tcW w:w="6940" w:type="dxa"/>
          </w:tcPr>
          <w:p w14:paraId="3BD6BC13">
            <w:pPr>
              <w:spacing w:line="360" w:lineRule="auto"/>
              <w:rPr>
                <w:color w:val="auto"/>
                <w:highlight w:val="none"/>
              </w:rPr>
            </w:pPr>
          </w:p>
        </w:tc>
      </w:tr>
      <w:tr w14:paraId="0D6F5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AF0E72C">
            <w:pPr>
              <w:spacing w:line="360" w:lineRule="auto"/>
              <w:rPr>
                <w:color w:val="auto"/>
                <w:highlight w:val="none"/>
              </w:rPr>
            </w:pPr>
            <w:r>
              <w:rPr>
                <w:rFonts w:hint="eastAsia"/>
                <w:color w:val="auto"/>
                <w:highlight w:val="none"/>
              </w:rPr>
              <w:t>发票类型（单击□选择）</w:t>
            </w:r>
          </w:p>
        </w:tc>
        <w:tc>
          <w:tcPr>
            <w:tcW w:w="6940" w:type="dxa"/>
          </w:tcPr>
          <w:p w14:paraId="3C1EC853">
            <w:pPr>
              <w:spacing w:line="360" w:lineRule="auto"/>
              <w:rPr>
                <w:color w:val="auto"/>
                <w:highlight w:val="none"/>
              </w:rPr>
            </w:pPr>
            <w:r>
              <w:rPr>
                <w:rFonts w:ascii="Segoe UI Symbol" w:hAnsi="Segoe UI Symbol" w:cs="Segoe UI Symbol"/>
                <w:color w:val="auto"/>
                <w:highlight w:val="none"/>
              </w:rPr>
              <w:t>☐</w:t>
            </w:r>
            <w:r>
              <w:rPr>
                <w:rFonts w:hint="eastAsia"/>
                <w:color w:val="auto"/>
                <w:highlight w:val="none"/>
              </w:rPr>
              <w:t xml:space="preserve">增值税普通电子发票 </w:t>
            </w:r>
            <w:r>
              <w:rPr>
                <w:rFonts w:ascii="Segoe UI Symbol" w:hAnsi="Segoe UI Symbol" w:cs="Segoe UI Symbol"/>
                <w:color w:val="auto"/>
                <w:highlight w:val="none"/>
              </w:rPr>
              <w:t>☐</w:t>
            </w:r>
            <w:r>
              <w:rPr>
                <w:rFonts w:hint="eastAsia"/>
                <w:color w:val="auto"/>
                <w:highlight w:val="none"/>
              </w:rPr>
              <w:t>增值税专用电子发票</w:t>
            </w:r>
          </w:p>
          <w:p w14:paraId="7760AE90">
            <w:pPr>
              <w:pStyle w:val="2"/>
              <w:ind w:left="0" w:leftChars="0"/>
              <w:rPr>
                <w:rFonts w:ascii="宋体" w:hAnsi="宋体"/>
                <w:b/>
                <w:bCs/>
                <w:color w:val="auto"/>
                <w:highlight w:val="none"/>
              </w:rPr>
            </w:pPr>
            <w:r>
              <w:rPr>
                <w:rFonts w:hint="eastAsia" w:ascii="宋体" w:hAnsi="宋体"/>
                <w:b/>
                <w:bCs/>
                <w:color w:val="auto"/>
                <w:highlight w:val="none"/>
              </w:rPr>
              <w:t>注1：目前只支持开具增值税普通电子发票和增值税专用电子发票。</w:t>
            </w:r>
          </w:p>
        </w:tc>
      </w:tr>
      <w:tr w14:paraId="46BB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748C220">
            <w:pPr>
              <w:spacing w:line="360" w:lineRule="auto"/>
              <w:rPr>
                <w:color w:val="auto"/>
                <w:highlight w:val="none"/>
              </w:rPr>
            </w:pPr>
            <w:r>
              <w:rPr>
                <w:rFonts w:hint="eastAsia"/>
                <w:color w:val="auto"/>
                <w:highlight w:val="none"/>
              </w:rPr>
              <w:t>邮寄地址、联系人、电话</w:t>
            </w:r>
          </w:p>
        </w:tc>
        <w:tc>
          <w:tcPr>
            <w:tcW w:w="6940" w:type="dxa"/>
          </w:tcPr>
          <w:p w14:paraId="3A2973C5">
            <w:pPr>
              <w:spacing w:line="360" w:lineRule="auto"/>
              <w:rPr>
                <w:color w:val="auto"/>
                <w:highlight w:val="none"/>
              </w:rPr>
            </w:pPr>
          </w:p>
        </w:tc>
      </w:tr>
      <w:tr w14:paraId="0A07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8306C33">
            <w:pPr>
              <w:spacing w:line="360" w:lineRule="auto"/>
              <w:rPr>
                <w:color w:val="auto"/>
                <w:highlight w:val="none"/>
              </w:rPr>
            </w:pPr>
            <w:r>
              <w:rPr>
                <w:rFonts w:hint="eastAsia"/>
                <w:color w:val="auto"/>
                <w:highlight w:val="none"/>
              </w:rPr>
              <w:t>联系人邮箱</w:t>
            </w:r>
          </w:p>
        </w:tc>
        <w:tc>
          <w:tcPr>
            <w:tcW w:w="6940" w:type="dxa"/>
          </w:tcPr>
          <w:p w14:paraId="23B39C54">
            <w:pPr>
              <w:spacing w:line="360" w:lineRule="auto"/>
              <w:rPr>
                <w:color w:val="auto"/>
                <w:highlight w:val="none"/>
              </w:rPr>
            </w:pPr>
          </w:p>
        </w:tc>
      </w:tr>
      <w:tr w14:paraId="49B1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2B6A61A8">
            <w:pPr>
              <w:spacing w:line="360" w:lineRule="auto"/>
              <w:rPr>
                <w:color w:val="auto"/>
                <w:highlight w:val="none"/>
              </w:rPr>
            </w:pPr>
            <w:r>
              <w:rPr>
                <w:rFonts w:hint="eastAsia"/>
                <w:color w:val="auto"/>
                <w:highlight w:val="none"/>
              </w:rPr>
              <w:t>开票金额（人民币）</w:t>
            </w:r>
          </w:p>
        </w:tc>
        <w:tc>
          <w:tcPr>
            <w:tcW w:w="6940" w:type="dxa"/>
          </w:tcPr>
          <w:p w14:paraId="568A4630">
            <w:pPr>
              <w:spacing w:line="360" w:lineRule="auto"/>
              <w:rPr>
                <w:color w:val="auto"/>
                <w:highlight w:val="none"/>
              </w:rPr>
            </w:pPr>
          </w:p>
        </w:tc>
      </w:tr>
      <w:tr w14:paraId="0AFC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2551835">
            <w:pPr>
              <w:spacing w:line="360" w:lineRule="auto"/>
              <w:rPr>
                <w:color w:val="auto"/>
                <w:highlight w:val="none"/>
              </w:rPr>
            </w:pPr>
            <w:r>
              <w:rPr>
                <w:rFonts w:hint="eastAsia"/>
                <w:color w:val="auto"/>
                <w:highlight w:val="none"/>
              </w:rPr>
              <w:t>费用到账时间</w:t>
            </w:r>
          </w:p>
        </w:tc>
        <w:tc>
          <w:tcPr>
            <w:tcW w:w="6940" w:type="dxa"/>
          </w:tcPr>
          <w:p w14:paraId="112E0162">
            <w:pPr>
              <w:spacing w:line="360" w:lineRule="auto"/>
              <w:rPr>
                <w:color w:val="auto"/>
                <w:highlight w:val="none"/>
              </w:rPr>
            </w:pPr>
          </w:p>
        </w:tc>
      </w:tr>
      <w:tr w14:paraId="1491A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6F60891">
            <w:pPr>
              <w:spacing w:line="360" w:lineRule="auto"/>
              <w:rPr>
                <w:color w:val="auto"/>
                <w:highlight w:val="none"/>
              </w:rPr>
            </w:pPr>
            <w:r>
              <w:rPr>
                <w:rFonts w:hint="eastAsia"/>
                <w:color w:val="auto"/>
                <w:highlight w:val="none"/>
              </w:rPr>
              <w:t>发票申请人姓名、手机号</w:t>
            </w:r>
          </w:p>
        </w:tc>
        <w:tc>
          <w:tcPr>
            <w:tcW w:w="6940" w:type="dxa"/>
          </w:tcPr>
          <w:p w14:paraId="6A8788A3">
            <w:pPr>
              <w:spacing w:line="360" w:lineRule="auto"/>
              <w:rPr>
                <w:color w:val="auto"/>
                <w:highlight w:val="none"/>
              </w:rPr>
            </w:pPr>
          </w:p>
        </w:tc>
      </w:tr>
    </w:tbl>
    <w:p w14:paraId="36A5FD53">
      <w:pPr>
        <w:spacing w:line="360" w:lineRule="auto"/>
        <w:rPr>
          <w:color w:val="auto"/>
          <w:highlight w:val="none"/>
        </w:rPr>
      </w:pPr>
      <w:r>
        <w:rPr>
          <w:rFonts w:hint="eastAsia"/>
          <w:color w:val="auto"/>
          <w:highlight w:val="none"/>
        </w:rPr>
        <w:t>附：费用付款凭证截图</w:t>
      </w:r>
    </w:p>
    <w:p w14:paraId="3124139A">
      <w:pPr>
        <w:pStyle w:val="2"/>
        <w:ind w:left="0" w:leftChars="0"/>
        <w:rPr>
          <w:rFonts w:ascii="宋体" w:hAnsi="宋体"/>
          <w:color w:val="auto"/>
          <w:highlight w:val="none"/>
        </w:rPr>
      </w:pPr>
    </w:p>
    <w:p w14:paraId="5ACB93F6">
      <w:pPr>
        <w:pStyle w:val="2"/>
        <w:ind w:left="0" w:leftChars="0"/>
      </w:pPr>
      <w:r>
        <w:rPr>
          <w:rFonts w:hint="eastAsia" w:ascii="宋体" w:hAnsi="宋体"/>
          <w:b/>
          <w:bCs/>
          <w:color w:val="auto"/>
          <w:highlight w:val="none"/>
        </w:rPr>
        <w:t>注：若供应商需要磋商文件费用发票的须填写以上开票信息表，待项目磋商结果公告后发送至采购人工作人员邮箱（</w:t>
      </w:r>
      <w:r>
        <w:rPr>
          <w:rFonts w:hint="eastAsia" w:ascii="宋体" w:hAnsi="宋体"/>
          <w:b/>
          <w:bCs/>
          <w:color w:val="auto"/>
          <w:highlight w:val="none"/>
          <w:lang w:val="en-US" w:eastAsia="zh-CN"/>
        </w:rPr>
        <w:t>963046020</w:t>
      </w:r>
      <w:r>
        <w:rPr>
          <w:rFonts w:hint="eastAsia" w:ascii="宋体" w:hAnsi="宋体"/>
          <w:b/>
          <w:bCs/>
          <w:color w:val="auto"/>
          <w:highlight w:val="none"/>
        </w:rPr>
        <w:t>@qq.com）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C623B"/>
    <w:rsid w:val="03572690"/>
    <w:rsid w:val="10812704"/>
    <w:rsid w:val="22074B09"/>
    <w:rsid w:val="330B6B27"/>
    <w:rsid w:val="64E30C79"/>
    <w:rsid w:val="66273707"/>
    <w:rsid w:val="7B1C62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index 8"/>
    <w:basedOn w:val="1"/>
    <w:next w:val="1"/>
    <w:qFormat/>
    <w:uiPriority w:val="0"/>
    <w:pPr>
      <w:ind w:left="1400" w:leftChars="1400"/>
    </w:pPr>
  </w:style>
  <w:style w:type="paragraph" w:styleId="3">
    <w:name w:val="Plain Text"/>
    <w:basedOn w:val="1"/>
    <w:qFormat/>
    <w:uiPriority w:val="0"/>
    <w:rPr>
      <w:rFonts w:ascii="宋体" w:hAnsi="Courier New"/>
      <w:szCs w:val="20"/>
    </w:rPr>
  </w:style>
  <w:style w:type="paragraph" w:customStyle="1" w:styleId="6">
    <w:name w:val="正文首行缩进两字符"/>
    <w:basedOn w:val="1"/>
    <w:qFormat/>
    <w:uiPriority w:val="0"/>
    <w:pPr>
      <w:spacing w:line="360" w:lineRule="auto"/>
      <w:ind w:firstLine="200" w:firstLineChars="200"/>
    </w:pPr>
    <w:rPr>
      <w:rFonts w:ascii="Calibri" w:hAnsi="Calibri" w:cs="宋体"/>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1905</Words>
  <Characters>2176</Characters>
  <Lines>0</Lines>
  <Paragraphs>0</Paragraphs>
  <TotalTime>1</TotalTime>
  <ScaleCrop>false</ScaleCrop>
  <LinksUpToDate>false</LinksUpToDate>
  <CharactersWithSpaces>2181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2026-01-27T08:29:00Z</dcterms:created>
  <dc:creator>盒盒配盒盒</dc:creator>
  <cp:lastModifiedBy>盒盒配盒盒</cp:lastModifiedBy>
  <dcterms:modified xsi:type="dcterms:W3CDTF">2026-02-12T09:27:12Z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257282DB265048F5BF9FEAD7DD64DA4F_11</vt:lpwstr>
  </property>
  <property fmtid="{D5CDD505-2E9C-101B-9397-08002B2CF9AE}" pid="4" name="KSOTemplateDocerSaveRecord">
    <vt:lpwstr>eyJoZGlkIjoiOWIxMzRmNjcwYmUwNzNmZjA5NWZhODczZjQ1M2JlZjgiLCJ1c2VySWQiOiI2MjUzMzE3MzAifQ==</vt:lpwstr>
  </property>
</Properties>
</file>