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9F2EB4">
      <w:pPr>
        <w:widowControl/>
        <w:spacing w:line="578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附件6 </w:t>
      </w:r>
    </w:p>
    <w:p w14:paraId="7788822B">
      <w:pPr>
        <w:spacing w:line="578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评审办法</w:t>
      </w:r>
    </w:p>
    <w:p w14:paraId="7C586B62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本次遴选采用综合评分法，综合评分法采用书面材料评分和机构路演评分的方式，书面材料和机构路演评分分值权重分别为80%和20%。最终评分的取值按四舍五入法，保留小数点后两位。由评审小组按评分标准进行综合评定，符合资格条件且总得分排名前三的申请机构进入尽调阶段。参加此次遴选，视为接受本评选要求。</w:t>
      </w:r>
    </w:p>
    <w:p w14:paraId="7248285C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书面材料评分指标见下表</w:t>
      </w:r>
      <w:r>
        <w:rPr>
          <w:rFonts w:hint="eastAsia" w:eastAsia="仿宋_GB2312"/>
          <w:spacing w:val="4"/>
          <w:sz w:val="32"/>
          <w:szCs w:val="32"/>
        </w:rPr>
        <w:t>：</w:t>
      </w:r>
      <w:r>
        <w:rPr>
          <w:rFonts w:eastAsia="仿宋_GB2312"/>
          <w:spacing w:val="4"/>
          <w:sz w:val="32"/>
          <w:szCs w:val="32"/>
        </w:rPr>
        <w:t xml:space="preserve"> 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6"/>
        <w:gridCol w:w="1457"/>
        <w:gridCol w:w="5759"/>
      </w:tblGrid>
      <w:tr w14:paraId="198B8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766" w:type="pct"/>
            <w:shd w:val="clear" w:color="000000" w:fill="E7E6E6"/>
            <w:vAlign w:val="center"/>
          </w:tcPr>
          <w:p w14:paraId="65F5906C">
            <w:pPr>
              <w:widowControl/>
              <w:jc w:val="center"/>
              <w:rPr>
                <w:rFonts w:eastAsia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宋体"/>
                <w:b/>
                <w:bCs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855" w:type="pct"/>
            <w:shd w:val="clear" w:color="000000" w:fill="E7E6E6"/>
            <w:vAlign w:val="center"/>
          </w:tcPr>
          <w:p w14:paraId="18B276F9">
            <w:pPr>
              <w:widowControl/>
              <w:jc w:val="center"/>
              <w:rPr>
                <w:rFonts w:eastAsia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宋体"/>
                <w:b/>
                <w:bCs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3379" w:type="pct"/>
            <w:shd w:val="clear" w:color="000000" w:fill="E7E6E6"/>
            <w:vAlign w:val="center"/>
          </w:tcPr>
          <w:p w14:paraId="118AEBFA">
            <w:pPr>
              <w:widowControl/>
              <w:jc w:val="center"/>
              <w:rPr>
                <w:rFonts w:eastAsia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="宋体"/>
                <w:b/>
                <w:bCs/>
                <w:kern w:val="0"/>
                <w:sz w:val="24"/>
                <w:szCs w:val="24"/>
              </w:rPr>
              <w:t>可提供的证明材料</w:t>
            </w:r>
          </w:p>
        </w:tc>
      </w:tr>
      <w:tr w14:paraId="3DD3A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766" w:type="pct"/>
            <w:vMerge w:val="restart"/>
            <w:vAlign w:val="center"/>
          </w:tcPr>
          <w:p w14:paraId="19D9D1E1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基本资质（30分）</w:t>
            </w:r>
          </w:p>
        </w:tc>
        <w:tc>
          <w:tcPr>
            <w:tcW w:w="855" w:type="pct"/>
            <w:vAlign w:val="center"/>
          </w:tcPr>
          <w:p w14:paraId="54555870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经营年限</w:t>
            </w:r>
          </w:p>
        </w:tc>
        <w:tc>
          <w:tcPr>
            <w:tcW w:w="3379" w:type="pct"/>
            <w:vAlign w:val="center"/>
          </w:tcPr>
          <w:p w14:paraId="692EA743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管理机构营业执照复印件；企业信用报告。</w:t>
            </w:r>
          </w:p>
        </w:tc>
      </w:tr>
      <w:tr w14:paraId="59AC5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766" w:type="pct"/>
            <w:vMerge w:val="continue"/>
            <w:vAlign w:val="center"/>
          </w:tcPr>
          <w:p w14:paraId="7BFCDD48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</w:p>
        </w:tc>
        <w:tc>
          <w:tcPr>
            <w:tcW w:w="855" w:type="pct"/>
            <w:vAlign w:val="center"/>
          </w:tcPr>
          <w:p w14:paraId="2EC1FAB5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团队专业性</w:t>
            </w:r>
          </w:p>
        </w:tc>
        <w:tc>
          <w:tcPr>
            <w:tcW w:w="3379" w:type="pct"/>
            <w:vAlign w:val="center"/>
          </w:tcPr>
          <w:p w14:paraId="62BBCCCA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管理机构法定代表人、执行事务合伙人</w:t>
            </w:r>
            <w:r>
              <w:rPr>
                <w:rFonts w:hint="eastAsia" w:eastAsia="仿宋_GB2312"/>
                <w:spacing w:val="4"/>
                <w:sz w:val="24"/>
                <w:szCs w:val="24"/>
              </w:rPr>
              <w:t>（</w:t>
            </w:r>
            <w:r>
              <w:rPr>
                <w:rFonts w:eastAsia="仿宋_GB2312"/>
                <w:spacing w:val="4"/>
                <w:sz w:val="24"/>
                <w:szCs w:val="24"/>
              </w:rPr>
              <w:t>委派代表</w:t>
            </w:r>
            <w:r>
              <w:rPr>
                <w:rFonts w:hint="eastAsia" w:eastAsia="仿宋_GB2312"/>
                <w:spacing w:val="4"/>
                <w:sz w:val="24"/>
                <w:szCs w:val="24"/>
              </w:rPr>
              <w:t>）</w:t>
            </w:r>
            <w:r>
              <w:rPr>
                <w:rFonts w:eastAsia="仿宋_GB2312"/>
                <w:spacing w:val="4"/>
                <w:sz w:val="24"/>
                <w:szCs w:val="24"/>
              </w:rPr>
              <w:t>、总经理、副总经理、财务负责人、合规/风控负责人等高级管理人员、专业投资人员（含财务和法务专业人员）的名单及简历、在管理机构任职证明及相关职业资格证书并加盖公章。</w:t>
            </w:r>
          </w:p>
        </w:tc>
      </w:tr>
      <w:tr w14:paraId="2E6F3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766" w:type="pct"/>
            <w:vMerge w:val="continue"/>
            <w:vAlign w:val="center"/>
          </w:tcPr>
          <w:p w14:paraId="43653D78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</w:p>
        </w:tc>
        <w:tc>
          <w:tcPr>
            <w:tcW w:w="855" w:type="pct"/>
            <w:vAlign w:val="center"/>
          </w:tcPr>
          <w:p w14:paraId="1DF3F8D1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团队专职服务能力</w:t>
            </w:r>
          </w:p>
        </w:tc>
        <w:tc>
          <w:tcPr>
            <w:tcW w:w="3379" w:type="pct"/>
            <w:vAlign w:val="center"/>
          </w:tcPr>
          <w:p w14:paraId="339D23B2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管理机构提供为达州新质生产力基金拟配备专职人员名单、管理机构常驻达州市办公人员名单，或提供相关说明或承诺并加盖公章。</w:t>
            </w:r>
          </w:p>
        </w:tc>
      </w:tr>
      <w:tr w14:paraId="1B60A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atLeast"/>
        </w:trPr>
        <w:tc>
          <w:tcPr>
            <w:tcW w:w="766" w:type="pct"/>
            <w:vMerge w:val="restart"/>
            <w:vAlign w:val="center"/>
          </w:tcPr>
          <w:p w14:paraId="7CD96C8F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管理能力</w:t>
            </w:r>
          </w:p>
          <w:p w14:paraId="3C2697A5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（20分）</w:t>
            </w:r>
          </w:p>
        </w:tc>
        <w:tc>
          <w:tcPr>
            <w:tcW w:w="855" w:type="pct"/>
            <w:vAlign w:val="center"/>
          </w:tcPr>
          <w:p w14:paraId="2F946BC9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机构管理规模</w:t>
            </w:r>
          </w:p>
        </w:tc>
        <w:tc>
          <w:tcPr>
            <w:tcW w:w="3379" w:type="pct"/>
            <w:vAlign w:val="center"/>
          </w:tcPr>
          <w:p w14:paraId="6BF7C580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申报的管理机构过往累计管理的基金合伙协议、运营报告或第三方机构出具的审计报告等证明材料并加盖公章。</w:t>
            </w:r>
          </w:p>
        </w:tc>
      </w:tr>
      <w:tr w14:paraId="477AC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766" w:type="pct"/>
            <w:vMerge w:val="continue"/>
            <w:vAlign w:val="center"/>
          </w:tcPr>
          <w:p w14:paraId="658B1D78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</w:p>
        </w:tc>
        <w:tc>
          <w:tcPr>
            <w:tcW w:w="855" w:type="pct"/>
            <w:vAlign w:val="center"/>
          </w:tcPr>
          <w:p w14:paraId="24F67118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政府投资基金管理经验</w:t>
            </w:r>
          </w:p>
        </w:tc>
        <w:tc>
          <w:tcPr>
            <w:tcW w:w="3379" w:type="pct"/>
            <w:vAlign w:val="center"/>
          </w:tcPr>
          <w:p w14:paraId="1D5D59CC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1.申报的管理机构填写过往管理政府投资基金情况详见附件2第五点格式要求；</w:t>
            </w:r>
          </w:p>
          <w:p w14:paraId="214AA3CE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2.提供管理基金的中选通知书或批文或合伙协议关键页（需含合伙人出资信息）或考核评价结果文件（如有）等并加盖公章。</w:t>
            </w:r>
          </w:p>
        </w:tc>
      </w:tr>
      <w:tr w14:paraId="049C5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766" w:type="pct"/>
            <w:vAlign w:val="center"/>
          </w:tcPr>
          <w:p w14:paraId="4D478B33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投资能力（10分）</w:t>
            </w:r>
          </w:p>
        </w:tc>
        <w:tc>
          <w:tcPr>
            <w:tcW w:w="855" w:type="pct"/>
            <w:vAlign w:val="center"/>
          </w:tcPr>
          <w:p w14:paraId="4CB3F978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投资项目经验</w:t>
            </w:r>
          </w:p>
        </w:tc>
        <w:tc>
          <w:tcPr>
            <w:tcW w:w="3379" w:type="pct"/>
            <w:vAlign w:val="center"/>
          </w:tcPr>
          <w:p w14:paraId="2F76578C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1.申报的管理机构填写过往投资及退出案例详见附件2第四点格式要求；</w:t>
            </w:r>
          </w:p>
          <w:p w14:paraId="6A095F5D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2.管理机构管理基金的最新季度/年度运营报告/LP报告；投资项目佐证材料并加盖公章。</w:t>
            </w:r>
          </w:p>
        </w:tc>
      </w:tr>
      <w:tr w14:paraId="04373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766" w:type="pct"/>
            <w:vAlign w:val="center"/>
          </w:tcPr>
          <w:p w14:paraId="7C4B3B40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退出能力</w:t>
            </w:r>
          </w:p>
          <w:p w14:paraId="6D2CF5E4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（10分）</w:t>
            </w:r>
          </w:p>
        </w:tc>
        <w:tc>
          <w:tcPr>
            <w:tcW w:w="855" w:type="pct"/>
            <w:vAlign w:val="center"/>
          </w:tcPr>
          <w:p w14:paraId="70E21E8A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机构管理业绩</w:t>
            </w:r>
          </w:p>
        </w:tc>
        <w:tc>
          <w:tcPr>
            <w:tcW w:w="3379" w:type="pct"/>
            <w:vAlign w:val="center"/>
          </w:tcPr>
          <w:p w14:paraId="2DBA97EF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1. 申报的管理机构填写过往业绩表详见附件2第四点格式要求；管理机构及核心团队过往累计管理的运营报告、第三方机构出具的审计报告等证明材料并加盖公章。</w:t>
            </w:r>
          </w:p>
          <w:p w14:paraId="6A6372C7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2.成功IPO项目股票代码；成功退出项目的尽职调查、投资决策、工商确权、项目投资、退出凭证（银行流水）等相关材料并加盖公章。</w:t>
            </w:r>
          </w:p>
        </w:tc>
      </w:tr>
      <w:tr w14:paraId="3089A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766" w:type="pct"/>
            <w:vAlign w:val="center"/>
          </w:tcPr>
          <w:p w14:paraId="562CC4E7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政策目标（20分）</w:t>
            </w:r>
          </w:p>
        </w:tc>
        <w:tc>
          <w:tcPr>
            <w:tcW w:w="855" w:type="pct"/>
            <w:vAlign w:val="center"/>
          </w:tcPr>
          <w:p w14:paraId="0E8AB4D4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储备项目情况</w:t>
            </w:r>
          </w:p>
        </w:tc>
        <w:tc>
          <w:tcPr>
            <w:tcW w:w="3379" w:type="pct"/>
            <w:vAlign w:val="center"/>
          </w:tcPr>
          <w:p w14:paraId="7A47D37F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储备项目列表、详细介绍材料、书面说明材料、立项会决议</w:t>
            </w:r>
            <w:r>
              <w:rPr>
                <w:rFonts w:hint="eastAsia" w:eastAsia="仿宋_GB2312"/>
                <w:spacing w:val="4"/>
                <w:sz w:val="24"/>
                <w:szCs w:val="24"/>
              </w:rPr>
              <w:t>（</w:t>
            </w:r>
            <w:r>
              <w:rPr>
                <w:rFonts w:eastAsia="仿宋_GB2312"/>
                <w:spacing w:val="4"/>
                <w:sz w:val="24"/>
                <w:szCs w:val="24"/>
              </w:rPr>
              <w:t>如有</w:t>
            </w:r>
            <w:r>
              <w:rPr>
                <w:rFonts w:hint="eastAsia" w:eastAsia="仿宋_GB2312"/>
                <w:spacing w:val="4"/>
                <w:sz w:val="24"/>
                <w:szCs w:val="24"/>
              </w:rPr>
              <w:t>）</w:t>
            </w:r>
            <w:r>
              <w:rPr>
                <w:rFonts w:eastAsia="仿宋_GB2312"/>
                <w:spacing w:val="4"/>
                <w:sz w:val="24"/>
                <w:szCs w:val="24"/>
              </w:rPr>
              <w:t>、尽调报告</w:t>
            </w:r>
            <w:r>
              <w:rPr>
                <w:rFonts w:hint="eastAsia" w:eastAsia="仿宋_GB2312"/>
                <w:spacing w:val="4"/>
                <w:sz w:val="24"/>
                <w:szCs w:val="24"/>
              </w:rPr>
              <w:t>（</w:t>
            </w:r>
            <w:r>
              <w:rPr>
                <w:rFonts w:eastAsia="仿宋_GB2312"/>
                <w:spacing w:val="4"/>
                <w:sz w:val="24"/>
                <w:szCs w:val="24"/>
              </w:rPr>
              <w:t>如有</w:t>
            </w:r>
            <w:r>
              <w:rPr>
                <w:rFonts w:hint="eastAsia" w:eastAsia="仿宋_GB2312"/>
                <w:spacing w:val="4"/>
                <w:sz w:val="24"/>
                <w:szCs w:val="24"/>
              </w:rPr>
              <w:t>）</w:t>
            </w:r>
            <w:r>
              <w:rPr>
                <w:rFonts w:eastAsia="仿宋_GB2312"/>
                <w:spacing w:val="4"/>
                <w:sz w:val="24"/>
                <w:szCs w:val="24"/>
              </w:rPr>
              <w:t>等并加盖公章。</w:t>
            </w:r>
          </w:p>
        </w:tc>
      </w:tr>
      <w:tr w14:paraId="4A1CE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66" w:type="pct"/>
            <w:vAlign w:val="center"/>
          </w:tcPr>
          <w:p w14:paraId="2D0A0F13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募集能力</w:t>
            </w:r>
            <w:r>
              <w:rPr>
                <w:rFonts w:eastAsia="仿宋_GB2312"/>
                <w:spacing w:val="4"/>
                <w:sz w:val="24"/>
                <w:szCs w:val="24"/>
              </w:rPr>
              <w:br w:type="textWrapping"/>
            </w:r>
            <w:r>
              <w:rPr>
                <w:rFonts w:eastAsia="仿宋_GB2312"/>
                <w:spacing w:val="4"/>
                <w:sz w:val="24"/>
                <w:szCs w:val="24"/>
              </w:rPr>
              <w:t>（10分）</w:t>
            </w:r>
          </w:p>
        </w:tc>
        <w:tc>
          <w:tcPr>
            <w:tcW w:w="855" w:type="pct"/>
            <w:vAlign w:val="center"/>
          </w:tcPr>
          <w:p w14:paraId="75F12178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管理人及其募集的社会资本在基金中出资比例不低于基金总规模的8%。</w:t>
            </w:r>
          </w:p>
        </w:tc>
        <w:tc>
          <w:tcPr>
            <w:tcW w:w="3379" w:type="pct"/>
            <w:vAlign w:val="center"/>
          </w:tcPr>
          <w:p w14:paraId="3E9DE311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宋体"/>
                <w:kern w:val="0"/>
                <w:sz w:val="24"/>
                <w:szCs w:val="24"/>
              </w:rPr>
              <w:t>管</w:t>
            </w:r>
            <w:r>
              <w:rPr>
                <w:rFonts w:eastAsia="仿宋_GB2312"/>
                <w:spacing w:val="4"/>
                <w:sz w:val="24"/>
                <w:szCs w:val="24"/>
              </w:rPr>
              <w:t>理机构或其母（总）公司近三年审计报告及近一期的财务报表、社会资本出资意向证明材料等并加盖公章。</w:t>
            </w:r>
          </w:p>
        </w:tc>
      </w:tr>
      <w:tr w14:paraId="4B9A0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3"/>
            <w:vAlign w:val="center"/>
          </w:tcPr>
          <w:p w14:paraId="50FE6CA0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合计分值（100分）</w:t>
            </w:r>
          </w:p>
        </w:tc>
      </w:tr>
      <w:tr w14:paraId="6C562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6" w:hRule="atLeast"/>
        </w:trPr>
        <w:tc>
          <w:tcPr>
            <w:tcW w:w="766" w:type="pct"/>
            <w:vMerge w:val="restart"/>
            <w:vAlign w:val="center"/>
          </w:tcPr>
          <w:p w14:paraId="6EFED870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加分项</w:t>
            </w:r>
          </w:p>
          <w:p w14:paraId="41C2265E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（15分）</w:t>
            </w:r>
          </w:p>
        </w:tc>
        <w:tc>
          <w:tcPr>
            <w:tcW w:w="855" w:type="pct"/>
            <w:vAlign w:val="center"/>
          </w:tcPr>
          <w:p w14:paraId="5046AA5B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管理机构主体或主要发起人的实控人背景</w:t>
            </w:r>
          </w:p>
        </w:tc>
        <w:tc>
          <w:tcPr>
            <w:tcW w:w="3379" w:type="pct"/>
            <w:vAlign w:val="center"/>
          </w:tcPr>
          <w:p w14:paraId="42024677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管理机构提供股权结构说明、实控人背景情况、过往所获得的行业荣誉并加盖公章。</w:t>
            </w:r>
          </w:p>
        </w:tc>
      </w:tr>
      <w:tr w14:paraId="32DA5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6" w:hRule="atLeast"/>
        </w:trPr>
        <w:tc>
          <w:tcPr>
            <w:tcW w:w="766" w:type="pct"/>
            <w:vMerge w:val="continue"/>
            <w:vAlign w:val="center"/>
          </w:tcPr>
          <w:p w14:paraId="3F69846B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</w:p>
        </w:tc>
        <w:tc>
          <w:tcPr>
            <w:tcW w:w="855" w:type="pct"/>
            <w:vAlign w:val="center"/>
          </w:tcPr>
          <w:p w14:paraId="4E09CAB9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基金返投要求</w:t>
            </w:r>
          </w:p>
        </w:tc>
        <w:tc>
          <w:tcPr>
            <w:tcW w:w="3379" w:type="pct"/>
            <w:vAlign w:val="center"/>
          </w:tcPr>
          <w:p w14:paraId="68B2EA7B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由基金管理人提供书面承诺书，并作为签订基金合伙协议返投比例依据。</w:t>
            </w:r>
          </w:p>
        </w:tc>
      </w:tr>
      <w:tr w14:paraId="70D5A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6" w:hRule="atLeast"/>
        </w:trPr>
        <w:tc>
          <w:tcPr>
            <w:tcW w:w="766" w:type="pct"/>
            <w:vMerge w:val="continue"/>
            <w:vAlign w:val="center"/>
          </w:tcPr>
          <w:p w14:paraId="7C6C7CB5">
            <w:pPr>
              <w:widowControl/>
              <w:jc w:val="center"/>
              <w:rPr>
                <w:rFonts w:eastAsia="宋体"/>
                <w:kern w:val="0"/>
                <w:sz w:val="24"/>
                <w:szCs w:val="24"/>
              </w:rPr>
            </w:pPr>
          </w:p>
        </w:tc>
        <w:tc>
          <w:tcPr>
            <w:tcW w:w="855" w:type="pct"/>
            <w:vAlign w:val="center"/>
          </w:tcPr>
          <w:p w14:paraId="68F9383E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基金管理费报价</w:t>
            </w:r>
          </w:p>
        </w:tc>
        <w:tc>
          <w:tcPr>
            <w:tcW w:w="3379" w:type="pct"/>
            <w:vAlign w:val="center"/>
          </w:tcPr>
          <w:p w14:paraId="3BEF928B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管理机构说明文件并加盖公章，并作为签订基金合伙协议基金管理费确定依据。</w:t>
            </w:r>
          </w:p>
        </w:tc>
      </w:tr>
    </w:tbl>
    <w:p w14:paraId="160803C0">
      <w:pPr>
        <w:pStyle w:val="4"/>
        <w:ind w:left="0" w:leftChars="0"/>
      </w:pPr>
    </w:p>
    <w:p w14:paraId="1DC86CAD">
      <w:pPr>
        <w:spacing w:line="590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机构路演评分指标见下表：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6197"/>
      </w:tblGrid>
      <w:tr w14:paraId="25A21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pct"/>
          </w:tcPr>
          <w:p w14:paraId="7BD2C99B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指标</w:t>
            </w:r>
          </w:p>
        </w:tc>
        <w:tc>
          <w:tcPr>
            <w:tcW w:w="3636" w:type="pct"/>
          </w:tcPr>
          <w:p w14:paraId="608D3E76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指标说明</w:t>
            </w:r>
          </w:p>
        </w:tc>
      </w:tr>
      <w:tr w14:paraId="68936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pct"/>
          </w:tcPr>
          <w:p w14:paraId="56853721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资金募集（20分）</w:t>
            </w:r>
          </w:p>
        </w:tc>
        <w:tc>
          <w:tcPr>
            <w:tcW w:w="3636" w:type="pct"/>
          </w:tcPr>
          <w:p w14:paraId="4FA0D836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评估募集方案的合理性与可行性，包括资金来源、募集节奏安排、分期出资计划及比例等。</w:t>
            </w:r>
          </w:p>
        </w:tc>
      </w:tr>
      <w:tr w14:paraId="78D91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pct"/>
          </w:tcPr>
          <w:p w14:paraId="79D723F5">
            <w:pPr>
              <w:pStyle w:val="4"/>
              <w:ind w:left="0" w:leftChars="0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项目投资（20分）</w:t>
            </w:r>
          </w:p>
        </w:tc>
        <w:tc>
          <w:tcPr>
            <w:tcW w:w="3636" w:type="pct"/>
          </w:tcPr>
          <w:p w14:paraId="4D8B6CC8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评估投资策略的科学性与有效性，重点关注行业聚焦、项目筛选机制及决策流程。</w:t>
            </w:r>
          </w:p>
        </w:tc>
      </w:tr>
      <w:tr w14:paraId="63B65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pct"/>
          </w:tcPr>
          <w:p w14:paraId="3BFC5991">
            <w:pPr>
              <w:pStyle w:val="4"/>
              <w:ind w:left="0" w:leftChars="0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投后管理（20分）</w:t>
            </w:r>
          </w:p>
        </w:tc>
        <w:tc>
          <w:tcPr>
            <w:tcW w:w="3636" w:type="pct"/>
          </w:tcPr>
          <w:p w14:paraId="5B04D6EE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评价投后履职与增值服务能力，包括定期跟踪、风险监控及对企业运营的赋能作用。</w:t>
            </w:r>
          </w:p>
        </w:tc>
      </w:tr>
      <w:tr w14:paraId="4FFA6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pct"/>
          </w:tcPr>
          <w:p w14:paraId="665BC4A1">
            <w:pPr>
              <w:pStyle w:val="4"/>
              <w:ind w:left="0" w:leftChars="0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项目退出（20分）</w:t>
            </w:r>
          </w:p>
        </w:tc>
        <w:tc>
          <w:tcPr>
            <w:tcW w:w="3636" w:type="pct"/>
          </w:tcPr>
          <w:p w14:paraId="699338E4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评估子基金及项目退出路径的多元设计与可行性，评估团队对市场周期的判断能力、退出时机选择的合理性。</w:t>
            </w:r>
          </w:p>
        </w:tc>
      </w:tr>
      <w:tr w14:paraId="04378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pct"/>
          </w:tcPr>
          <w:p w14:paraId="550C4369">
            <w:pPr>
              <w:pStyle w:val="4"/>
              <w:ind w:left="0" w:leftChars="0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制度建设（20分）</w:t>
            </w:r>
          </w:p>
        </w:tc>
        <w:tc>
          <w:tcPr>
            <w:tcW w:w="3636" w:type="pct"/>
          </w:tcPr>
          <w:p w14:paraId="5282EFD4">
            <w:pPr>
              <w:widowControl/>
              <w:jc w:val="center"/>
              <w:rPr>
                <w:rFonts w:eastAsia="仿宋_GB2312"/>
                <w:spacing w:val="4"/>
                <w:sz w:val="24"/>
                <w:szCs w:val="24"/>
              </w:rPr>
            </w:pPr>
            <w:r>
              <w:rPr>
                <w:rFonts w:eastAsia="仿宋_GB2312"/>
                <w:spacing w:val="4"/>
                <w:sz w:val="24"/>
                <w:szCs w:val="24"/>
              </w:rPr>
              <w:t>评估机构是否构建</w:t>
            </w:r>
            <w:r>
              <w:rPr>
                <w:rFonts w:hint="eastAsia" w:eastAsia="仿宋_GB2312"/>
                <w:spacing w:val="4"/>
                <w:sz w:val="24"/>
                <w:szCs w:val="24"/>
              </w:rPr>
              <w:t>了</w:t>
            </w:r>
            <w:r>
              <w:rPr>
                <w:rFonts w:eastAsia="仿宋_GB2312"/>
                <w:spacing w:val="4"/>
                <w:sz w:val="24"/>
                <w:szCs w:val="24"/>
              </w:rPr>
              <w:t>覆盖“募投管退”全流程的制度体系及内控管理制度体系，并对制度建设的系统性、规范性、有效性进行评价。</w:t>
            </w:r>
          </w:p>
        </w:tc>
      </w:tr>
    </w:tbl>
    <w:p w14:paraId="174CD3D6">
      <w:pPr>
        <w:pStyle w:val="4"/>
      </w:pPr>
    </w:p>
    <w:p w14:paraId="1A49C9E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47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华文楷体" w:cs="Times New Roman"/>
      <w:kern w:val="2"/>
      <w:sz w:val="21"/>
      <w:szCs w:val="15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oc 5"/>
    <w:basedOn w:val="1"/>
    <w:next w:val="1"/>
    <w:qFormat/>
    <w:uiPriority w:val="0"/>
    <w:pPr>
      <w:ind w:left="800" w:leftChars="800"/>
    </w:pPr>
    <w:rPr>
      <w:rFonts w:eastAsia="宋体"/>
    </w:rPr>
  </w:style>
  <w:style w:type="paragraph" w:styleId="4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2026-01-29T03:40:53Z</dcterms:created>
  <dc:creator>Administrator</dc:creator>
  <cp:lastModifiedBy>李军</cp:lastModifiedBy>
  <dcterms:modified xsi:type="dcterms:W3CDTF">2026-01-29T03:41:06Z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eyJoZGlkIjoiNjRiMGFiNTI0Yjc2OTI3OWY1ZDM3MjUzNzkwZTYyMTgiLCJ1c2VySWQiOiI1Njg1NDE0NjQifQ==</vt:lpwstr>
  </property>
  <property fmtid="{D5CDD505-2E9C-101B-9397-08002B2CF9AE}" pid="4" name="ICV">
    <vt:lpwstr>6510AEFCC0504477B2781CBE4C3D615F_12</vt:lpwstr>
  </property>
</Properties>
</file>