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D744E3">
      <w:pPr>
        <w:spacing w:line="520" w:lineRule="atLeast"/>
        <w:ind w:firstLine="643" w:firstLineChars="200"/>
        <w:jc w:val="center"/>
        <w:rPr>
          <w:rFonts w:ascii="宋体" w:hAnsi="宋体" w:cs="宋体"/>
          <w:b/>
          <w:color w:val="auto"/>
          <w:sz w:val="32"/>
          <w:szCs w:val="32"/>
          <w:highlight w:val="none"/>
        </w:rPr>
      </w:pPr>
      <w:r>
        <w:rPr>
          <w:rFonts w:hint="eastAsia" w:ascii="宋体" w:hAnsi="宋体" w:cs="宋体"/>
          <w:b/>
          <w:color w:val="auto"/>
          <w:sz w:val="32"/>
          <w:szCs w:val="32"/>
          <w:highlight w:val="none"/>
        </w:rPr>
        <w:t>西昌月城巴士充电运营服务有限公司</w:t>
      </w:r>
    </w:p>
    <w:p w14:paraId="41B16BC2">
      <w:pPr>
        <w:spacing w:line="520" w:lineRule="atLeast"/>
        <w:ind w:firstLine="643" w:firstLineChars="200"/>
        <w:jc w:val="center"/>
        <w:rPr>
          <w:rFonts w:ascii="宋体" w:hAnsi="宋体" w:cs="宋体"/>
          <w:b/>
          <w:color w:val="auto"/>
          <w:sz w:val="32"/>
          <w:szCs w:val="32"/>
          <w:highlight w:val="none"/>
        </w:rPr>
      </w:pPr>
      <w:r>
        <w:rPr>
          <w:rFonts w:hint="eastAsia" w:ascii="宋体" w:hAnsi="宋体" w:cs="宋体"/>
          <w:b/>
          <w:color w:val="auto"/>
          <w:sz w:val="32"/>
          <w:szCs w:val="32"/>
          <w:highlight w:val="none"/>
        </w:rPr>
        <w:t>城北充电站光伏建设采购项目</w:t>
      </w:r>
    </w:p>
    <w:p w14:paraId="73A13FEA">
      <w:pPr>
        <w:spacing w:line="520" w:lineRule="atLeast"/>
        <w:ind w:firstLine="643" w:firstLineChars="200"/>
        <w:jc w:val="center"/>
        <w:rPr>
          <w:rFonts w:ascii="宋体" w:hAnsi="宋体" w:cs="宋体"/>
          <w:b/>
          <w:color w:val="auto"/>
          <w:sz w:val="32"/>
          <w:szCs w:val="32"/>
          <w:highlight w:val="none"/>
        </w:rPr>
      </w:pPr>
      <w:r>
        <w:rPr>
          <w:rFonts w:hint="eastAsia" w:ascii="宋体" w:hAnsi="宋体" w:cs="宋体"/>
          <w:b/>
          <w:color w:val="auto"/>
          <w:sz w:val="32"/>
          <w:szCs w:val="32"/>
          <w:highlight w:val="none"/>
        </w:rPr>
        <w:t>竞争性磋商公告</w:t>
      </w:r>
    </w:p>
    <w:p w14:paraId="5F0EA4BA">
      <w:pPr>
        <w:pStyle w:val="3"/>
        <w:spacing w:line="520" w:lineRule="atLeast"/>
        <w:ind w:left="-17" w:leftChars="-8" w:firstLine="602" w:firstLineChars="200"/>
        <w:jc w:val="left"/>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西昌月城巴士充电运营服务有限公司</w:t>
      </w:r>
      <w:r>
        <w:rPr>
          <w:rFonts w:hint="eastAsia" w:ascii="仿宋" w:hAnsi="仿宋" w:eastAsia="仿宋" w:cs="仿宋"/>
          <w:color w:val="auto"/>
          <w:sz w:val="30"/>
          <w:szCs w:val="30"/>
          <w:highlight w:val="none"/>
        </w:rPr>
        <w:t>拟对城北充电站光伏建设</w:t>
      </w:r>
      <w:r>
        <w:rPr>
          <w:rFonts w:hint="eastAsia" w:ascii="仿宋" w:hAnsi="仿宋" w:eastAsia="仿宋" w:cs="仿宋"/>
          <w:color w:val="auto"/>
          <w:sz w:val="30"/>
          <w:szCs w:val="30"/>
          <w:highlight w:val="none"/>
          <w:u w:val="single"/>
        </w:rPr>
        <w:t>采购项目</w:t>
      </w:r>
      <w:r>
        <w:rPr>
          <w:rFonts w:hint="eastAsia" w:ascii="仿宋" w:hAnsi="仿宋" w:eastAsia="仿宋" w:cs="仿宋"/>
          <w:color w:val="auto"/>
          <w:sz w:val="30"/>
          <w:szCs w:val="30"/>
          <w:highlight w:val="none"/>
        </w:rPr>
        <w:t>以竞争性磋商的方式进行采购，欢迎符合本次采购要求的供应商（以下称：供应商）参加本次竞争性磋商。现将有关事项公告如下：</w:t>
      </w:r>
    </w:p>
    <w:p w14:paraId="20962206">
      <w:pPr>
        <w:pStyle w:val="3"/>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一、采购项目编号</w:t>
      </w:r>
      <w:r>
        <w:rPr>
          <w:rFonts w:hint="eastAsia" w:ascii="仿宋" w:hAnsi="仿宋" w:eastAsia="仿宋" w:cs="仿宋"/>
          <w:color w:val="auto"/>
          <w:sz w:val="30"/>
          <w:szCs w:val="30"/>
          <w:highlight w:val="none"/>
        </w:rPr>
        <w:t>：YCCD20250001</w:t>
      </w:r>
    </w:p>
    <w:p w14:paraId="2A0597A5">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二、项目名称</w:t>
      </w:r>
      <w:r>
        <w:rPr>
          <w:rFonts w:hint="eastAsia" w:ascii="仿宋" w:hAnsi="仿宋" w:eastAsia="仿宋" w:cs="仿宋"/>
          <w:color w:val="auto"/>
          <w:sz w:val="30"/>
          <w:szCs w:val="30"/>
          <w:highlight w:val="none"/>
        </w:rPr>
        <w:t>：城北充电站光伏建设采购项目</w:t>
      </w:r>
    </w:p>
    <w:p w14:paraId="04D2BB80">
      <w:pPr>
        <w:spacing w:line="520" w:lineRule="atLeast"/>
        <w:ind w:firstLine="602" w:firstLineChars="200"/>
        <w:rPr>
          <w:rFonts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t>三、采购人名称：</w:t>
      </w:r>
      <w:r>
        <w:rPr>
          <w:rFonts w:hint="eastAsia" w:eastAsia="仿宋"/>
          <w:color w:val="auto"/>
          <w:sz w:val="28"/>
          <w:highlight w:val="none"/>
        </w:rPr>
        <w:t>西昌月城巴士充电运营服务有限公司</w:t>
      </w:r>
    </w:p>
    <w:p w14:paraId="3CB570E8">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四、采购方式</w:t>
      </w:r>
      <w:r>
        <w:rPr>
          <w:rFonts w:hint="eastAsia" w:ascii="仿宋" w:hAnsi="仿宋" w:eastAsia="仿宋" w:cs="仿宋"/>
          <w:color w:val="auto"/>
          <w:sz w:val="30"/>
          <w:szCs w:val="30"/>
          <w:highlight w:val="none"/>
        </w:rPr>
        <w:t>：竞争性磋商</w:t>
      </w:r>
    </w:p>
    <w:p w14:paraId="22957EA4">
      <w:pPr>
        <w:pStyle w:val="3"/>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五、采购资金来源</w:t>
      </w:r>
      <w:r>
        <w:rPr>
          <w:rFonts w:hint="eastAsia" w:ascii="仿宋" w:hAnsi="仿宋" w:eastAsia="仿宋" w:cs="仿宋"/>
          <w:color w:val="auto"/>
          <w:sz w:val="30"/>
          <w:szCs w:val="30"/>
          <w:highlight w:val="none"/>
        </w:rPr>
        <w:t>：自筹资金</w:t>
      </w:r>
    </w:p>
    <w:p w14:paraId="794648C4">
      <w:pPr>
        <w:pStyle w:val="3"/>
        <w:spacing w:line="560" w:lineRule="exact"/>
        <w:ind w:firstLine="602" w:firstLineChars="200"/>
        <w:jc w:val="left"/>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六、采购项目内容</w:t>
      </w:r>
      <w:r>
        <w:rPr>
          <w:rFonts w:hint="eastAsia" w:ascii="仿宋" w:hAnsi="仿宋" w:eastAsia="仿宋" w:cs="仿宋"/>
          <w:color w:val="auto"/>
          <w:sz w:val="30"/>
          <w:szCs w:val="30"/>
          <w:highlight w:val="none"/>
        </w:rPr>
        <w:t>：城北充电站光伏建设采购项目（具体内容详见竞争性磋商文件要求的所有内容）</w:t>
      </w:r>
    </w:p>
    <w:p w14:paraId="2380D881">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七、磋商人应具备资格要求</w:t>
      </w:r>
      <w:r>
        <w:rPr>
          <w:rFonts w:hint="eastAsia" w:ascii="仿宋" w:hAnsi="仿宋" w:eastAsia="仿宋" w:cs="仿宋"/>
          <w:color w:val="auto"/>
          <w:sz w:val="30"/>
          <w:szCs w:val="30"/>
          <w:highlight w:val="none"/>
        </w:rPr>
        <w:t>：</w:t>
      </w:r>
    </w:p>
    <w:p w14:paraId="1244C3FC">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7.1在中华人民共和国境内注册，具有独立法定代表人资格、具有独立承担民事责任能力的公司；</w:t>
      </w:r>
    </w:p>
    <w:p w14:paraId="52CE5E38">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7.2具有</w:t>
      </w:r>
      <w:r>
        <w:rPr>
          <w:rFonts w:hint="eastAsia" w:ascii="仿宋" w:hAnsi="仿宋" w:eastAsia="仿宋"/>
          <w:color w:val="auto"/>
          <w:sz w:val="28"/>
          <w:szCs w:val="28"/>
          <w:highlight w:val="none"/>
        </w:rPr>
        <w:t>良好的商业信誉和</w:t>
      </w:r>
      <w:r>
        <w:rPr>
          <w:rFonts w:hint="eastAsia" w:ascii="仿宋" w:hAnsi="仿宋" w:eastAsia="仿宋" w:cs="仿宋"/>
          <w:color w:val="auto"/>
          <w:sz w:val="30"/>
          <w:szCs w:val="30"/>
          <w:highlight w:val="none"/>
        </w:rPr>
        <w:t>健全的内部管理制度；</w:t>
      </w:r>
    </w:p>
    <w:p w14:paraId="2C476A24">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7.3具有履行合同的</w:t>
      </w:r>
      <w:r>
        <w:rPr>
          <w:rFonts w:hint="eastAsia" w:ascii="仿宋" w:hAnsi="仿宋" w:eastAsia="仿宋"/>
          <w:color w:val="auto"/>
          <w:sz w:val="28"/>
          <w:szCs w:val="28"/>
          <w:highlight w:val="none"/>
        </w:rPr>
        <w:t>所必需的资金、设备、技术和售后保障等</w:t>
      </w:r>
      <w:r>
        <w:rPr>
          <w:rFonts w:hint="eastAsia" w:ascii="仿宋" w:hAnsi="仿宋" w:eastAsia="仿宋" w:cs="仿宋"/>
          <w:color w:val="auto"/>
          <w:sz w:val="30"/>
          <w:szCs w:val="30"/>
          <w:highlight w:val="none"/>
        </w:rPr>
        <w:t>能力；</w:t>
      </w:r>
    </w:p>
    <w:p w14:paraId="6AE74D3C">
      <w:pPr>
        <w:widowControl/>
        <w:kinsoku w:val="0"/>
        <w:spacing w:after="156" w:line="520" w:lineRule="atLeast"/>
        <w:ind w:firstLine="560" w:firstLineChars="200"/>
        <w:jc w:val="left"/>
        <w:rPr>
          <w:rFonts w:ascii="仿宋" w:hAnsi="仿宋" w:eastAsia="仿宋" w:cs="仿宋"/>
          <w:color w:val="auto"/>
          <w:sz w:val="30"/>
          <w:szCs w:val="30"/>
          <w:highlight w:val="none"/>
        </w:rPr>
      </w:pPr>
      <w:r>
        <w:rPr>
          <w:rFonts w:hint="eastAsia" w:ascii="仿宋" w:hAnsi="仿宋" w:eastAsia="仿宋" w:cs="仿宋"/>
          <w:color w:val="auto"/>
          <w:sz w:val="28"/>
          <w:szCs w:val="28"/>
          <w:highlight w:val="none"/>
        </w:rPr>
        <w:t>7.4</w:t>
      </w:r>
      <w:r>
        <w:rPr>
          <w:rFonts w:hint="eastAsia" w:ascii="仿宋" w:hAnsi="仿宋" w:eastAsia="仿宋" w:cs="仿宋"/>
          <w:color w:val="auto"/>
          <w:sz w:val="30"/>
          <w:szCs w:val="30"/>
          <w:highlight w:val="none"/>
        </w:rPr>
        <w:t>提供截止2025年</w:t>
      </w:r>
      <w:r>
        <w:rPr>
          <w:rFonts w:hint="eastAsia" w:ascii="仿宋" w:hAnsi="仿宋" w:eastAsia="仿宋" w:cs="仿宋"/>
          <w:color w:val="auto"/>
          <w:sz w:val="30"/>
          <w:szCs w:val="30"/>
          <w:highlight w:val="none"/>
          <w:lang w:val="en-US" w:eastAsia="zh-CN"/>
        </w:rPr>
        <w:t>9</w:t>
      </w:r>
      <w:r>
        <w:rPr>
          <w:rFonts w:hint="eastAsia" w:ascii="仿宋" w:hAnsi="仿宋" w:eastAsia="仿宋" w:cs="仿宋"/>
          <w:color w:val="auto"/>
          <w:sz w:val="30"/>
          <w:szCs w:val="30"/>
          <w:highlight w:val="none"/>
        </w:rPr>
        <w:t>月的中国人民银行征信中心的《企业信用报告》；</w:t>
      </w:r>
    </w:p>
    <w:p w14:paraId="0E6F9BBD">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7.5国家法律、行政法规规定的其他条件;</w:t>
      </w:r>
    </w:p>
    <w:p w14:paraId="4B44E415">
      <w:pPr>
        <w:widowControl/>
        <w:spacing w:after="156" w:line="560" w:lineRule="exact"/>
        <w:ind w:firstLine="560" w:firstLineChars="200"/>
        <w:jc w:val="left"/>
        <w:rPr>
          <w:rFonts w:ascii="仿宋" w:hAnsi="仿宋" w:eastAsia="仿宋" w:cs="仿宋"/>
          <w:color w:val="auto"/>
          <w:sz w:val="30"/>
          <w:szCs w:val="30"/>
          <w:highlight w:val="none"/>
        </w:rPr>
      </w:pPr>
      <w:r>
        <w:rPr>
          <w:rFonts w:hint="eastAsia" w:ascii="仿宋" w:hAnsi="仿宋" w:eastAsia="仿宋"/>
          <w:color w:val="auto"/>
          <w:sz w:val="28"/>
          <w:szCs w:val="28"/>
          <w:highlight w:val="none"/>
        </w:rPr>
        <w:t>7.6</w:t>
      </w:r>
      <w:r>
        <w:rPr>
          <w:rFonts w:hint="eastAsia" w:ascii="仿宋" w:hAnsi="仿宋" w:eastAsia="仿宋" w:cs="仿宋"/>
          <w:color w:val="auto"/>
          <w:sz w:val="30"/>
          <w:szCs w:val="30"/>
          <w:highlight w:val="none"/>
        </w:rPr>
        <w:t>提供近三年内由第三方审计机构出具的年度财务审计报告（含审计报告正文、财务报表）；</w:t>
      </w:r>
    </w:p>
    <w:p w14:paraId="0180821C">
      <w:pPr>
        <w:widowControl/>
        <w:spacing w:after="156" w:line="560" w:lineRule="exact"/>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7.7参加采购活动前三年内，在经营活动中没有重大违法记录；</w:t>
      </w:r>
    </w:p>
    <w:p w14:paraId="347206E1">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7.8本次采购不接受被列入失信被执行人名单、重大税收违法案件当事人名单、政府采购严重违法失信行为记录名单中的供应商；</w:t>
      </w:r>
    </w:p>
    <w:p w14:paraId="2C2005A5">
      <w:pPr>
        <w:widowControl/>
        <w:kinsoku w:val="0"/>
        <w:adjustRightInd w:val="0"/>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7.9本次采购</w:t>
      </w:r>
      <w:r>
        <w:rPr>
          <w:rFonts w:hint="eastAsia" w:ascii="仿宋" w:hAnsi="仿宋" w:eastAsia="仿宋"/>
          <w:b/>
          <w:color w:val="auto"/>
          <w:sz w:val="28"/>
          <w:szCs w:val="28"/>
          <w:highlight w:val="none"/>
        </w:rPr>
        <w:t>不接受联合体</w:t>
      </w:r>
      <w:r>
        <w:rPr>
          <w:rFonts w:hint="eastAsia" w:ascii="仿宋" w:hAnsi="仿宋" w:eastAsia="仿宋" w:cs="仿宋"/>
          <w:color w:val="auto"/>
          <w:sz w:val="30"/>
          <w:szCs w:val="30"/>
          <w:highlight w:val="none"/>
        </w:rPr>
        <w:t>磋商。</w:t>
      </w:r>
    </w:p>
    <w:p w14:paraId="0DEC34DD">
      <w:pPr>
        <w:widowControl/>
        <w:kinsoku w:val="0"/>
        <w:adjustRightInd w:val="0"/>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7.10 特殊要求：具有承装修试电力设施许可证及电力工程总承包三级</w:t>
      </w:r>
      <w:r>
        <w:rPr>
          <w:rFonts w:hint="eastAsia" w:ascii="仿宋" w:hAnsi="仿宋" w:eastAsia="仿宋" w:cs="仿宋"/>
          <w:color w:val="auto"/>
          <w:sz w:val="30"/>
          <w:szCs w:val="30"/>
          <w:highlight w:val="none"/>
          <w:lang w:val="en-US" w:eastAsia="zh-CN"/>
        </w:rPr>
        <w:t>及以上资质</w:t>
      </w:r>
      <w:r>
        <w:rPr>
          <w:rFonts w:hint="eastAsia" w:ascii="仿宋" w:hAnsi="仿宋" w:eastAsia="仿宋" w:cs="仿宋"/>
          <w:color w:val="auto"/>
          <w:sz w:val="30"/>
          <w:szCs w:val="30"/>
          <w:highlight w:val="none"/>
        </w:rPr>
        <w:t>。</w:t>
      </w:r>
    </w:p>
    <w:p w14:paraId="248AC3CF">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八、公告期限：2025年</w:t>
      </w:r>
      <w:r>
        <w:rPr>
          <w:rFonts w:hint="eastAsia" w:ascii="仿宋" w:hAnsi="仿宋" w:eastAsia="仿宋" w:cs="仿宋"/>
          <w:b/>
          <w:color w:val="auto"/>
          <w:sz w:val="30"/>
          <w:szCs w:val="30"/>
          <w:highlight w:val="none"/>
          <w:lang w:val="en-US" w:eastAsia="zh-CN"/>
        </w:rPr>
        <w:t>10</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19</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19:00:00</w:t>
      </w:r>
      <w:r>
        <w:rPr>
          <w:rFonts w:hint="eastAsia" w:ascii="仿宋" w:hAnsi="仿宋" w:eastAsia="仿宋" w:cs="仿宋"/>
          <w:b/>
          <w:color w:val="auto"/>
          <w:sz w:val="30"/>
          <w:szCs w:val="30"/>
          <w:highlight w:val="none"/>
        </w:rPr>
        <w:t>起至2025年</w:t>
      </w:r>
      <w:r>
        <w:rPr>
          <w:rFonts w:hint="eastAsia" w:ascii="仿宋" w:hAnsi="仿宋" w:eastAsia="仿宋" w:cs="仿宋"/>
          <w:b/>
          <w:color w:val="auto"/>
          <w:sz w:val="30"/>
          <w:szCs w:val="30"/>
          <w:highlight w:val="none"/>
          <w:lang w:val="en-US" w:eastAsia="zh-CN"/>
        </w:rPr>
        <w:t>10</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lang w:val="en-US" w:eastAsia="zh-CN"/>
        </w:rPr>
        <w:t>26</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17:00:00</w:t>
      </w:r>
      <w:r>
        <w:rPr>
          <w:rFonts w:hint="eastAsia" w:ascii="仿宋" w:hAnsi="仿宋" w:eastAsia="仿宋" w:cs="仿宋"/>
          <w:b/>
          <w:color w:val="auto"/>
          <w:sz w:val="30"/>
          <w:szCs w:val="30"/>
          <w:highlight w:val="none"/>
        </w:rPr>
        <w:t>止。</w:t>
      </w:r>
    </w:p>
    <w:p w14:paraId="265542CF">
      <w:pPr>
        <w:spacing w:line="520" w:lineRule="atLeast"/>
        <w:ind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九、磋商文件的获取：</w:t>
      </w:r>
    </w:p>
    <w:p w14:paraId="058D66C6">
      <w:pPr>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9.1时间：2025年</w:t>
      </w:r>
      <w:r>
        <w:rPr>
          <w:rFonts w:hint="eastAsia" w:ascii="仿宋" w:hAnsi="仿宋" w:eastAsia="仿宋" w:cs="仿宋"/>
          <w:b/>
          <w:color w:val="auto"/>
          <w:sz w:val="30"/>
          <w:szCs w:val="30"/>
          <w:highlight w:val="none"/>
          <w:lang w:val="en-US" w:eastAsia="zh-CN"/>
        </w:rPr>
        <w:t>10</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19</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lang w:val="en-US" w:eastAsia="zh-CN"/>
        </w:rPr>
        <w:t>19</w:t>
      </w:r>
      <w:bookmarkStart w:id="0" w:name="_GoBack"/>
      <w:bookmarkEnd w:id="0"/>
      <w:r>
        <w:rPr>
          <w:rFonts w:hint="eastAsia" w:ascii="仿宋" w:hAnsi="仿宋" w:eastAsia="仿宋" w:cs="仿宋"/>
          <w:b/>
          <w:color w:val="auto"/>
          <w:sz w:val="30"/>
          <w:szCs w:val="30"/>
          <w:highlight w:val="none"/>
          <w:lang w:val="en-US" w:eastAsia="zh-CN"/>
        </w:rPr>
        <w:t>:00:00</w:t>
      </w:r>
      <w:r>
        <w:rPr>
          <w:rFonts w:hint="eastAsia" w:ascii="仿宋" w:hAnsi="仿宋" w:eastAsia="仿宋" w:cs="仿宋"/>
          <w:b/>
          <w:color w:val="auto"/>
          <w:sz w:val="30"/>
          <w:szCs w:val="30"/>
          <w:highlight w:val="none"/>
        </w:rPr>
        <w:t>起至2025年</w:t>
      </w:r>
      <w:r>
        <w:rPr>
          <w:rFonts w:hint="eastAsia" w:ascii="仿宋" w:hAnsi="仿宋" w:eastAsia="仿宋" w:cs="仿宋"/>
          <w:b/>
          <w:color w:val="auto"/>
          <w:sz w:val="30"/>
          <w:szCs w:val="30"/>
          <w:highlight w:val="none"/>
          <w:lang w:val="en-US" w:eastAsia="zh-CN"/>
        </w:rPr>
        <w:t>10</w:t>
      </w:r>
      <w:r>
        <w:rPr>
          <w:rFonts w:hint="eastAsia" w:ascii="仿宋" w:hAnsi="仿宋" w:eastAsia="仿宋" w:cs="仿宋"/>
          <w:b/>
          <w:color w:val="auto"/>
          <w:sz w:val="30"/>
          <w:szCs w:val="30"/>
          <w:highlight w:val="none"/>
        </w:rPr>
        <w:t>月</w:t>
      </w:r>
      <w:r>
        <w:rPr>
          <w:rFonts w:hint="eastAsia" w:ascii="仿宋" w:hAnsi="仿宋" w:eastAsia="仿宋" w:cs="仿宋"/>
          <w:b/>
          <w:color w:val="auto"/>
          <w:sz w:val="30"/>
          <w:szCs w:val="30"/>
          <w:highlight w:val="none"/>
          <w:u w:val="single"/>
          <w:lang w:val="en-US" w:eastAsia="zh-CN"/>
        </w:rPr>
        <w:t>26</w:t>
      </w:r>
      <w:r>
        <w:rPr>
          <w:rFonts w:hint="eastAsia" w:ascii="仿宋" w:hAnsi="仿宋" w:eastAsia="仿宋" w:cs="仿宋"/>
          <w:b/>
          <w:color w:val="auto"/>
          <w:sz w:val="30"/>
          <w:szCs w:val="30"/>
          <w:highlight w:val="none"/>
        </w:rPr>
        <w:t>日</w:t>
      </w:r>
      <w:r>
        <w:rPr>
          <w:rFonts w:hint="eastAsia" w:ascii="仿宋" w:hAnsi="仿宋" w:eastAsia="仿宋" w:cs="仿宋"/>
          <w:b/>
          <w:color w:val="auto"/>
          <w:sz w:val="30"/>
          <w:szCs w:val="30"/>
          <w:highlight w:val="none"/>
          <w:u w:val="single"/>
          <w:lang w:val="en-US" w:eastAsia="zh-CN"/>
        </w:rPr>
        <w:t>17</w:t>
      </w:r>
      <w:r>
        <w:rPr>
          <w:rFonts w:hint="eastAsia" w:ascii="仿宋" w:hAnsi="仿宋" w:eastAsia="仿宋" w:cs="仿宋"/>
          <w:b/>
          <w:color w:val="auto"/>
          <w:sz w:val="30"/>
          <w:szCs w:val="30"/>
          <w:highlight w:val="none"/>
        </w:rPr>
        <w:t>：</w:t>
      </w:r>
      <w:r>
        <w:rPr>
          <w:rFonts w:hint="eastAsia" w:ascii="仿宋" w:hAnsi="仿宋" w:eastAsia="仿宋" w:cs="仿宋"/>
          <w:b/>
          <w:color w:val="auto"/>
          <w:sz w:val="30"/>
          <w:szCs w:val="30"/>
          <w:highlight w:val="none"/>
          <w:u w:val="single"/>
        </w:rPr>
        <w:t>00</w:t>
      </w:r>
      <w:r>
        <w:rPr>
          <w:rFonts w:hint="eastAsia" w:ascii="仿宋" w:hAnsi="仿宋" w:eastAsia="仿宋" w:cs="仿宋"/>
          <w:b/>
          <w:color w:val="auto"/>
          <w:sz w:val="30"/>
          <w:szCs w:val="30"/>
          <w:highlight w:val="none"/>
          <w:u w:val="none"/>
          <w:lang w:eastAsia="zh-CN"/>
        </w:rPr>
        <w:t>：</w:t>
      </w:r>
      <w:r>
        <w:rPr>
          <w:rFonts w:hint="eastAsia" w:ascii="仿宋" w:hAnsi="仿宋" w:eastAsia="仿宋" w:cs="仿宋"/>
          <w:b/>
          <w:color w:val="auto"/>
          <w:sz w:val="30"/>
          <w:szCs w:val="30"/>
          <w:highlight w:val="none"/>
          <w:u w:val="single"/>
          <w:lang w:val="en-US" w:eastAsia="zh-CN"/>
        </w:rPr>
        <w:t>00</w:t>
      </w:r>
      <w:r>
        <w:rPr>
          <w:rFonts w:hint="eastAsia" w:ascii="仿宋" w:hAnsi="仿宋" w:eastAsia="仿宋" w:cs="仿宋"/>
          <w:b/>
          <w:color w:val="auto"/>
          <w:sz w:val="30"/>
          <w:szCs w:val="30"/>
          <w:highlight w:val="none"/>
        </w:rPr>
        <w:t>时止。</w:t>
      </w:r>
    </w:p>
    <w:p w14:paraId="6FEB6220">
      <w:pPr>
        <w:tabs>
          <w:tab w:val="left" w:pos="7665"/>
        </w:tabs>
        <w:spacing w:line="520" w:lineRule="atLeast"/>
        <w:ind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9.2在西南联合产权交易所电子招采平台网站https://swueecg.com/#/index，按照网上操作流程（资料下载-供应商操作手册）获取。</w:t>
      </w:r>
    </w:p>
    <w:p w14:paraId="0EB4C65F">
      <w:pPr>
        <w:tabs>
          <w:tab w:val="left" w:pos="7665"/>
        </w:tabs>
        <w:spacing w:line="520" w:lineRule="atLeast"/>
        <w:ind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9.3本项目磋商文件费用：人民币200元/份，须通过供应商银行账户转账方式交纳磋商文件获取费用（不接收个人转账，磋商文件售后不退,磋商资格不能转让），转账前请核实招采平台转账页面的“项目信息”，认真阅读“注意事项”并按照“支付信息”进行转账。（磋商文件获取费用以费用到达指定账户为准，在文件获取截止时间内未到账的不能获取磋商文件）。</w:t>
      </w:r>
    </w:p>
    <w:p w14:paraId="3B67E1A6">
      <w:pPr>
        <w:tabs>
          <w:tab w:val="left" w:pos="7665"/>
        </w:tabs>
        <w:spacing w:line="520" w:lineRule="atLeast"/>
        <w:ind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9.4本项目文件获取费用由西南联合产权交易所阳光采购平台代采购人收取，项目结束后文件获取费用将划转至采购人指定账户处，相关发票由采购人开具。</w:t>
      </w:r>
    </w:p>
    <w:p w14:paraId="102AB423">
      <w:pPr>
        <w:tabs>
          <w:tab w:val="left" w:pos="7665"/>
        </w:tabs>
        <w:spacing w:line="520" w:lineRule="atLeast"/>
        <w:ind w:firstLine="602" w:firstLineChars="200"/>
        <w:rPr>
          <w:rFonts w:ascii="仿宋" w:hAnsi="仿宋" w:eastAsia="仿宋" w:cs="仿宋"/>
          <w:color w:val="auto"/>
          <w:sz w:val="30"/>
          <w:szCs w:val="30"/>
          <w:highlight w:val="none"/>
        </w:rPr>
      </w:pPr>
      <w:r>
        <w:rPr>
          <w:rFonts w:hint="eastAsia" w:ascii="仿宋" w:hAnsi="仿宋" w:eastAsia="仿宋" w:cs="仿宋"/>
          <w:b/>
          <w:bCs/>
          <w:color w:val="auto"/>
          <w:sz w:val="30"/>
          <w:szCs w:val="30"/>
          <w:highlight w:val="none"/>
        </w:rPr>
        <w:t>十、磋商保证金</w:t>
      </w:r>
      <w:r>
        <w:rPr>
          <w:rFonts w:hint="eastAsia" w:ascii="仿宋" w:hAnsi="仿宋" w:eastAsia="仿宋" w:cs="仿宋"/>
          <w:b/>
          <w:color w:val="auto"/>
          <w:sz w:val="30"/>
          <w:szCs w:val="30"/>
          <w:highlight w:val="none"/>
        </w:rPr>
        <w:t>缴纳金额及时间</w:t>
      </w:r>
      <w:r>
        <w:rPr>
          <w:rFonts w:hint="eastAsia" w:ascii="仿宋" w:hAnsi="仿宋" w:eastAsia="仿宋" w:cs="仿宋"/>
          <w:color w:val="auto"/>
          <w:sz w:val="30"/>
          <w:szCs w:val="30"/>
          <w:highlight w:val="none"/>
        </w:rPr>
        <w:t>：</w:t>
      </w:r>
    </w:p>
    <w:p w14:paraId="50235481">
      <w:pPr>
        <w:snapToGrid w:val="0"/>
        <w:spacing w:line="360" w:lineRule="auto"/>
        <w:ind w:right="40" w:rightChars="19"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10.1</w:t>
      </w:r>
      <w:r>
        <w:rPr>
          <w:rFonts w:hint="eastAsia" w:ascii="仿宋" w:hAnsi="仿宋" w:eastAsia="仿宋" w:cs="仿宋"/>
          <w:color w:val="auto"/>
          <w:sz w:val="30"/>
          <w:szCs w:val="30"/>
          <w:highlight w:val="none"/>
          <w:u w:val="single"/>
        </w:rPr>
        <w:t>缴纳金额及时间：2025年</w:t>
      </w:r>
      <w:r>
        <w:rPr>
          <w:rFonts w:hint="eastAsia" w:ascii="仿宋" w:hAnsi="仿宋" w:eastAsia="仿宋" w:cs="仿宋"/>
          <w:color w:val="auto"/>
          <w:sz w:val="30"/>
          <w:szCs w:val="30"/>
          <w:highlight w:val="none"/>
          <w:u w:val="single"/>
          <w:lang w:val="en-US" w:eastAsia="zh-CN"/>
        </w:rPr>
        <w:t>10</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26</w:t>
      </w:r>
      <w:r>
        <w:rPr>
          <w:rFonts w:hint="eastAsia" w:ascii="仿宋" w:hAnsi="仿宋" w:eastAsia="仿宋" w:cs="仿宋"/>
          <w:color w:val="auto"/>
          <w:sz w:val="30"/>
          <w:szCs w:val="30"/>
          <w:highlight w:val="none"/>
          <w:u w:val="single"/>
        </w:rPr>
        <w:t>日17:00时前缴纳磋商保证金人民币</w:t>
      </w:r>
      <w:r>
        <w:rPr>
          <w:rFonts w:hint="eastAsia" w:ascii="仿宋" w:hAnsi="仿宋" w:eastAsia="仿宋" w:cs="仿宋"/>
          <w:color w:val="auto"/>
          <w:sz w:val="30"/>
          <w:szCs w:val="30"/>
          <w:highlight w:val="none"/>
        </w:rPr>
        <w:t>48000.00元（大写：肆万捌仟元整）（磋商保证金的交纳以银行到账时间为准；超过此时限到达指定账户导致响应无效的，由潜在供应商自行承担责任）。</w:t>
      </w:r>
    </w:p>
    <w:p w14:paraId="015E9EAE">
      <w:pPr>
        <w:snapToGrid w:val="0"/>
        <w:spacing w:line="360" w:lineRule="auto"/>
        <w:ind w:right="40" w:rightChars="19"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10.2交款方式：</w:t>
      </w:r>
      <w:r>
        <w:rPr>
          <w:rFonts w:hint="eastAsia" w:ascii="仿宋" w:hAnsi="仿宋" w:eastAsia="仿宋" w:cs="仿宋"/>
          <w:color w:val="auto"/>
          <w:sz w:val="30"/>
          <w:szCs w:val="30"/>
          <w:highlight w:val="none"/>
          <w:lang w:val="zh-CN"/>
        </w:rPr>
        <w:fldChar w:fldCharType="begin"/>
      </w:r>
      <w:r>
        <w:rPr>
          <w:rFonts w:hint="eastAsia" w:ascii="仿宋" w:hAnsi="仿宋" w:eastAsia="仿宋" w:cs="仿宋"/>
          <w:color w:val="auto"/>
          <w:sz w:val="30"/>
          <w:szCs w:val="30"/>
          <w:highlight w:val="none"/>
          <w:lang w:val="zh-CN"/>
        </w:rPr>
        <w:instrText xml:space="preserve"> = 1 \* GB3 </w:instrText>
      </w:r>
      <w:r>
        <w:rPr>
          <w:rFonts w:hint="eastAsia" w:ascii="仿宋" w:hAnsi="仿宋" w:eastAsia="仿宋" w:cs="仿宋"/>
          <w:color w:val="auto"/>
          <w:sz w:val="30"/>
          <w:szCs w:val="30"/>
          <w:highlight w:val="none"/>
          <w:lang w:val="zh-CN"/>
        </w:rPr>
        <w:fldChar w:fldCharType="separate"/>
      </w:r>
      <w:r>
        <w:rPr>
          <w:rFonts w:hint="eastAsia" w:ascii="仿宋" w:hAnsi="仿宋" w:eastAsia="仿宋" w:cs="仿宋"/>
          <w:color w:val="auto"/>
          <w:sz w:val="30"/>
          <w:szCs w:val="30"/>
          <w:highlight w:val="none"/>
          <w:lang w:val="zh-CN"/>
        </w:rPr>
        <w:t>①</w:t>
      </w:r>
      <w:r>
        <w:rPr>
          <w:rFonts w:hint="eastAsia" w:ascii="仿宋" w:hAnsi="仿宋" w:eastAsia="仿宋" w:cs="仿宋"/>
          <w:color w:val="auto"/>
          <w:sz w:val="30"/>
          <w:szCs w:val="30"/>
          <w:highlight w:val="none"/>
          <w:lang w:val="zh-CN"/>
        </w:rPr>
        <w:fldChar w:fldCharType="end"/>
      </w:r>
      <w:r>
        <w:rPr>
          <w:rFonts w:hint="eastAsia" w:ascii="仿宋" w:hAnsi="仿宋" w:eastAsia="仿宋" w:cs="仿宋"/>
          <w:color w:val="auto"/>
          <w:sz w:val="30"/>
          <w:szCs w:val="30"/>
          <w:highlight w:val="none"/>
        </w:rPr>
        <w:t>通过供应商账户转账，交款账户名称和供应商名称必须一致，以到账时间为准。②以电子保函形式递交的操作流程参照西南联合产权交易所阳光采购平台供应商操作手册。</w:t>
      </w:r>
    </w:p>
    <w:p w14:paraId="1E10BCA7">
      <w:pPr>
        <w:widowControl/>
        <w:spacing w:after="156" w:line="520" w:lineRule="atLeast"/>
        <w:ind w:firstLine="562" w:firstLineChars="200"/>
        <w:jc w:val="left"/>
        <w:rPr>
          <w:rFonts w:ascii="仿宋" w:hAnsi="仿宋" w:eastAsia="仿宋"/>
          <w:b/>
          <w:color w:val="auto"/>
          <w:sz w:val="28"/>
          <w:szCs w:val="28"/>
          <w:highlight w:val="none"/>
        </w:rPr>
      </w:pPr>
      <w:r>
        <w:rPr>
          <w:rFonts w:hint="eastAsia" w:ascii="仿宋" w:hAnsi="仿宋" w:eastAsia="仿宋"/>
          <w:b/>
          <w:color w:val="auto"/>
          <w:sz w:val="28"/>
          <w:szCs w:val="28"/>
          <w:highlight w:val="none"/>
        </w:rPr>
        <w:t>特别注意：</w:t>
      </w:r>
    </w:p>
    <w:p w14:paraId="241A81F8">
      <w:pPr>
        <w:widowControl/>
        <w:spacing w:after="156" w:line="520" w:lineRule="atLeast"/>
        <w:ind w:firstLine="562" w:firstLineChars="200"/>
        <w:jc w:val="left"/>
        <w:rPr>
          <w:rFonts w:ascii="仿宋" w:hAnsi="仿宋" w:eastAsia="仿宋"/>
          <w:b/>
          <w:color w:val="auto"/>
          <w:sz w:val="28"/>
          <w:szCs w:val="28"/>
          <w:highlight w:val="none"/>
        </w:rPr>
      </w:pPr>
      <w:r>
        <w:rPr>
          <w:rFonts w:hint="eastAsia" w:ascii="仿宋" w:hAnsi="仿宋" w:eastAsia="仿宋"/>
          <w:b/>
          <w:color w:val="auto"/>
          <w:sz w:val="28"/>
          <w:szCs w:val="28"/>
          <w:highlight w:val="none"/>
        </w:rPr>
        <w:t>（1）潜在供应商交纳磋商保证金时，请务必核实招采平台转账页面的“项目信息”，认真阅读“注意事项”并按照“支付信息”进行转账。</w:t>
      </w:r>
    </w:p>
    <w:p w14:paraId="7E3CF275">
      <w:pPr>
        <w:widowControl/>
        <w:spacing w:after="156" w:line="520" w:lineRule="atLeast"/>
        <w:ind w:firstLine="562" w:firstLineChars="200"/>
        <w:jc w:val="left"/>
        <w:rPr>
          <w:rFonts w:ascii="仿宋" w:hAnsi="仿宋" w:eastAsia="仿宋"/>
          <w:b/>
          <w:color w:val="auto"/>
          <w:sz w:val="28"/>
          <w:szCs w:val="28"/>
          <w:highlight w:val="none"/>
        </w:rPr>
      </w:pPr>
      <w:r>
        <w:rPr>
          <w:rFonts w:hint="eastAsia" w:ascii="仿宋" w:hAnsi="仿宋" w:eastAsia="仿宋"/>
          <w:b/>
          <w:color w:val="auto"/>
          <w:sz w:val="28"/>
          <w:szCs w:val="28"/>
          <w:highlight w:val="none"/>
        </w:rPr>
        <w:t>（2）招采平台所提供的保证金缴纳账户，每次缴纳费用的账号基本不同，请各供应商在缴纳费用时，仔细核对收款账户、账号，避免因账号错误而造成保证金未按要求缴纳。</w:t>
      </w:r>
    </w:p>
    <w:p w14:paraId="2B8613D6">
      <w:pPr>
        <w:widowControl/>
        <w:spacing w:after="156" w:line="520" w:lineRule="atLeast"/>
        <w:ind w:firstLine="600" w:firstLineChars="200"/>
        <w:jc w:val="lef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10.2磋商保证金退还时间：未成交人的磋商保证金，将在竞争性磋商结束后五个工作日内全额退还（不计利息）。成交人的磋商保证金，在合同签订生效并按规定交纳了履约保证金后五个工作日内全额退还（不计利息）。</w:t>
      </w:r>
    </w:p>
    <w:p w14:paraId="20E49606">
      <w:pPr>
        <w:spacing w:line="520" w:lineRule="atLeast"/>
        <w:ind w:left="105" w:leftChars="50"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十一、磋商响应文件递交截止时间及地点：</w:t>
      </w:r>
    </w:p>
    <w:p w14:paraId="2AF6A0C0">
      <w:pPr>
        <w:spacing w:line="520" w:lineRule="atLeast"/>
        <w:ind w:firstLine="600" w:firstLineChars="200"/>
        <w:rPr>
          <w:rFonts w:ascii="仿宋" w:hAnsi="仿宋" w:eastAsia="仿宋" w:cs="仿宋"/>
          <w:b/>
          <w:color w:val="auto"/>
          <w:sz w:val="30"/>
          <w:szCs w:val="30"/>
          <w:highlight w:val="none"/>
        </w:rPr>
      </w:pPr>
      <w:r>
        <w:rPr>
          <w:rFonts w:hint="eastAsia" w:ascii="仿宋" w:hAnsi="仿宋" w:eastAsia="仿宋" w:cs="仿宋"/>
          <w:color w:val="auto"/>
          <w:sz w:val="30"/>
          <w:szCs w:val="30"/>
          <w:highlight w:val="none"/>
        </w:rPr>
        <w:t>11.1时间：</w:t>
      </w:r>
      <w:r>
        <w:rPr>
          <w:rFonts w:hint="eastAsia" w:ascii="仿宋" w:hAnsi="仿宋" w:eastAsia="仿宋" w:cs="仿宋"/>
          <w:color w:val="auto"/>
          <w:sz w:val="30"/>
          <w:szCs w:val="30"/>
          <w:highlight w:val="none"/>
          <w:u w:val="single"/>
        </w:rPr>
        <w:t>2025年</w:t>
      </w:r>
      <w:r>
        <w:rPr>
          <w:rFonts w:hint="eastAsia" w:ascii="仿宋" w:hAnsi="仿宋" w:eastAsia="仿宋" w:cs="仿宋"/>
          <w:color w:val="auto"/>
          <w:sz w:val="30"/>
          <w:szCs w:val="30"/>
          <w:highlight w:val="none"/>
          <w:u w:val="single"/>
          <w:lang w:val="en-US" w:eastAsia="zh-CN"/>
        </w:rPr>
        <w:t>10</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28</w:t>
      </w:r>
      <w:r>
        <w:rPr>
          <w:rFonts w:hint="eastAsia" w:ascii="仿宋" w:hAnsi="仿宋" w:eastAsia="仿宋" w:cs="仿宋"/>
          <w:color w:val="auto"/>
          <w:sz w:val="30"/>
          <w:szCs w:val="30"/>
          <w:highlight w:val="none"/>
          <w:u w:val="single"/>
        </w:rPr>
        <w:t>日上午9:00</w:t>
      </w:r>
      <w:r>
        <w:rPr>
          <w:rFonts w:hint="eastAsia" w:ascii="仿宋" w:hAnsi="仿宋" w:eastAsia="仿宋" w:cs="仿宋"/>
          <w:color w:val="auto"/>
          <w:sz w:val="30"/>
          <w:szCs w:val="30"/>
          <w:highlight w:val="none"/>
          <w:u w:val="single"/>
          <w:lang w:val="en-US" w:eastAsia="zh-CN"/>
        </w:rPr>
        <w:t>:00</w:t>
      </w:r>
      <w:r>
        <w:rPr>
          <w:rFonts w:hint="eastAsia" w:ascii="仿宋" w:hAnsi="仿宋" w:eastAsia="仿宋" w:cs="仿宋"/>
          <w:color w:val="auto"/>
          <w:sz w:val="30"/>
          <w:szCs w:val="30"/>
          <w:highlight w:val="none"/>
          <w:u w:val="single"/>
        </w:rPr>
        <w:t>时整</w:t>
      </w:r>
    </w:p>
    <w:p w14:paraId="21AF24E7">
      <w:pPr>
        <w:tabs>
          <w:tab w:val="left" w:pos="7665"/>
        </w:tabs>
        <w:spacing w:line="520" w:lineRule="atLeast"/>
        <w:ind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11.2地点：</w:t>
      </w:r>
      <w:r>
        <w:rPr>
          <w:rFonts w:hint="eastAsia" w:ascii="仿宋" w:hAnsi="仿宋" w:eastAsia="仿宋" w:cs="仿宋"/>
          <w:color w:val="auto"/>
          <w:sz w:val="30"/>
          <w:szCs w:val="30"/>
          <w:highlight w:val="none"/>
          <w:u w:val="single"/>
        </w:rPr>
        <w:t>西昌市西客站三楼西昌月城公共交通有限公司会议室</w:t>
      </w:r>
    </w:p>
    <w:p w14:paraId="3B89B583">
      <w:pPr>
        <w:spacing w:line="520" w:lineRule="atLeast"/>
        <w:ind w:left="105" w:leftChars="50"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（逾期递交或者未送达指定地点的磋商响应文件不予接受）</w:t>
      </w:r>
    </w:p>
    <w:p w14:paraId="6FDAB909">
      <w:pPr>
        <w:spacing w:line="520" w:lineRule="atLeast"/>
        <w:ind w:left="105" w:leftChars="50" w:firstLine="602" w:firstLineChars="200"/>
        <w:rPr>
          <w:rFonts w:ascii="仿宋" w:hAnsi="仿宋" w:eastAsia="仿宋" w:cs="仿宋"/>
          <w:color w:val="auto"/>
          <w:sz w:val="30"/>
          <w:szCs w:val="30"/>
          <w:highlight w:val="none"/>
        </w:rPr>
      </w:pPr>
      <w:r>
        <w:rPr>
          <w:rFonts w:hint="eastAsia" w:ascii="仿宋" w:hAnsi="仿宋" w:eastAsia="仿宋" w:cs="仿宋"/>
          <w:b/>
          <w:color w:val="auto"/>
          <w:sz w:val="30"/>
          <w:szCs w:val="30"/>
          <w:highlight w:val="none"/>
        </w:rPr>
        <w:t>十二、磋商时间及地点</w:t>
      </w:r>
      <w:r>
        <w:rPr>
          <w:rFonts w:hint="eastAsia" w:ascii="仿宋" w:hAnsi="仿宋" w:eastAsia="仿宋" w:cs="仿宋"/>
          <w:color w:val="auto"/>
          <w:sz w:val="30"/>
          <w:szCs w:val="30"/>
          <w:highlight w:val="none"/>
        </w:rPr>
        <w:t>：</w:t>
      </w:r>
    </w:p>
    <w:p w14:paraId="45FE079C">
      <w:pPr>
        <w:spacing w:line="520" w:lineRule="atLeast"/>
        <w:ind w:firstLine="600" w:firstLineChars="200"/>
        <w:rPr>
          <w:rFonts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12.1时间：</w:t>
      </w:r>
      <w:r>
        <w:rPr>
          <w:rFonts w:hint="eastAsia" w:ascii="仿宋" w:hAnsi="仿宋" w:eastAsia="仿宋" w:cs="仿宋"/>
          <w:color w:val="auto"/>
          <w:sz w:val="30"/>
          <w:szCs w:val="30"/>
          <w:highlight w:val="none"/>
          <w:u w:val="single"/>
        </w:rPr>
        <w:t>2025年</w:t>
      </w:r>
      <w:r>
        <w:rPr>
          <w:rFonts w:hint="eastAsia" w:ascii="仿宋" w:hAnsi="仿宋" w:eastAsia="仿宋" w:cs="仿宋"/>
          <w:color w:val="auto"/>
          <w:sz w:val="30"/>
          <w:szCs w:val="30"/>
          <w:highlight w:val="none"/>
          <w:u w:val="single"/>
          <w:lang w:val="en-US" w:eastAsia="zh-CN"/>
        </w:rPr>
        <w:t>10</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28</w:t>
      </w:r>
      <w:r>
        <w:rPr>
          <w:rFonts w:hint="eastAsia" w:ascii="仿宋" w:hAnsi="仿宋" w:eastAsia="仿宋" w:cs="仿宋"/>
          <w:color w:val="auto"/>
          <w:sz w:val="30"/>
          <w:szCs w:val="30"/>
          <w:highlight w:val="none"/>
          <w:u w:val="single"/>
        </w:rPr>
        <w:t>日上午9:00</w:t>
      </w:r>
      <w:r>
        <w:rPr>
          <w:rFonts w:hint="eastAsia" w:ascii="仿宋" w:hAnsi="仿宋" w:eastAsia="仿宋" w:cs="仿宋"/>
          <w:color w:val="auto"/>
          <w:sz w:val="30"/>
          <w:szCs w:val="30"/>
          <w:highlight w:val="none"/>
          <w:u w:val="single"/>
          <w:lang w:val="en-US" w:eastAsia="zh-CN"/>
        </w:rPr>
        <w:t>:00</w:t>
      </w:r>
      <w:r>
        <w:rPr>
          <w:rFonts w:hint="eastAsia" w:ascii="仿宋" w:hAnsi="仿宋" w:eastAsia="仿宋" w:cs="仿宋"/>
          <w:color w:val="auto"/>
          <w:sz w:val="30"/>
          <w:szCs w:val="30"/>
          <w:highlight w:val="none"/>
          <w:u w:val="single"/>
        </w:rPr>
        <w:t>时截标后</w:t>
      </w:r>
    </w:p>
    <w:p w14:paraId="6D366AD7">
      <w:pPr>
        <w:tabs>
          <w:tab w:val="left" w:pos="7665"/>
        </w:tabs>
        <w:spacing w:line="520" w:lineRule="atLeast"/>
        <w:ind w:firstLine="600"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12.2地点：</w:t>
      </w:r>
      <w:r>
        <w:rPr>
          <w:rFonts w:hint="eastAsia" w:ascii="仿宋" w:hAnsi="仿宋" w:eastAsia="仿宋" w:cs="仿宋"/>
          <w:color w:val="auto"/>
          <w:sz w:val="30"/>
          <w:szCs w:val="30"/>
          <w:highlight w:val="none"/>
          <w:u w:val="single"/>
          <w:lang w:eastAsia="zh-CN"/>
        </w:rPr>
        <w:t>西昌市西客站三楼西昌月城公共交通有限公司会议室</w:t>
      </w:r>
    </w:p>
    <w:p w14:paraId="47313ED5">
      <w:pPr>
        <w:spacing w:line="520" w:lineRule="atLeast"/>
        <w:ind w:left="105" w:leftChars="50" w:firstLine="602" w:firstLineChars="200"/>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十三、联系方式及电话：</w:t>
      </w:r>
    </w:p>
    <w:p w14:paraId="55A1D5CC">
      <w:pPr>
        <w:spacing w:line="520" w:lineRule="atLeast"/>
        <w:ind w:left="105" w:leftChars="50"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杨女士：17608190884（商务咨询）</w:t>
      </w:r>
    </w:p>
    <w:p w14:paraId="6DCCD981">
      <w:pPr>
        <w:spacing w:line="520" w:lineRule="atLeast"/>
        <w:ind w:left="105" w:leftChars="50" w:firstLine="600" w:firstLineChars="2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谢女士：13550408423（技术参数咨询）</w:t>
      </w:r>
    </w:p>
    <w:p w14:paraId="3ED71E4A">
      <w:pPr>
        <w:pStyle w:val="6"/>
        <w:ind w:firstLine="480" w:firstLineChars="0"/>
        <w:rPr>
          <w:rFonts w:ascii="宋体" w:hAnsi="宋体" w:cs="仿宋"/>
          <w:color w:val="auto"/>
          <w:sz w:val="24"/>
          <w:highlight w:val="none"/>
        </w:rPr>
      </w:pPr>
      <w:r>
        <w:rPr>
          <w:rFonts w:hint="eastAsia" w:ascii="宋体" w:hAnsi="宋体" w:cs="仿宋"/>
          <w:color w:val="auto"/>
          <w:sz w:val="24"/>
          <w:highlight w:val="none"/>
        </w:rPr>
        <w:t>注：1.标书费发票开具请在磋商结果公告后联系采购人申请（开票信息详见磋商文件格式附件</w:t>
      </w:r>
      <w:r>
        <w:rPr>
          <w:rFonts w:ascii="宋体" w:hAnsi="宋体" w:cs="仿宋"/>
          <w:color w:val="auto"/>
          <w:sz w:val="24"/>
          <w:highlight w:val="none"/>
        </w:rPr>
        <w:t>“</w:t>
      </w:r>
      <w:r>
        <w:rPr>
          <w:rFonts w:hint="eastAsia" w:ascii="宋体" w:hAnsi="宋体" w:cs="仿宋"/>
          <w:color w:val="auto"/>
          <w:sz w:val="24"/>
          <w:highlight w:val="none"/>
        </w:rPr>
        <w:t>开票信息</w:t>
      </w:r>
      <w:r>
        <w:rPr>
          <w:rFonts w:ascii="宋体" w:hAnsi="宋体" w:cs="仿宋"/>
          <w:color w:val="auto"/>
          <w:sz w:val="24"/>
          <w:highlight w:val="none"/>
        </w:rPr>
        <w:t>”</w:t>
      </w:r>
      <w:r>
        <w:rPr>
          <w:rFonts w:hint="eastAsia" w:ascii="宋体" w:hAnsi="宋体" w:cs="仿宋"/>
          <w:color w:val="auto"/>
          <w:sz w:val="24"/>
          <w:highlight w:val="none"/>
        </w:rPr>
        <w:t>）</w:t>
      </w:r>
    </w:p>
    <w:p w14:paraId="0F68BCCD">
      <w:pPr>
        <w:pStyle w:val="6"/>
        <w:ind w:firstLine="480" w:firstLineChars="0"/>
        <w:rPr>
          <w:color w:val="auto"/>
          <w:highlight w:val="none"/>
        </w:rPr>
      </w:pPr>
      <w:r>
        <w:rPr>
          <w:rFonts w:hint="eastAsia" w:ascii="宋体" w:hAnsi="宋体" w:cs="仿宋"/>
          <w:color w:val="auto"/>
          <w:sz w:val="24"/>
          <w:highlight w:val="none"/>
        </w:rPr>
        <w:t>2.平台注册、报名、缴费请咨询：028-86123300</w:t>
      </w:r>
    </w:p>
    <w:p w14:paraId="61A220A4">
      <w:pPr>
        <w:spacing w:line="420" w:lineRule="exact"/>
        <w:rPr>
          <w:b/>
          <w:bCs/>
          <w:color w:val="auto"/>
          <w:highlight w:val="none"/>
        </w:rPr>
      </w:pPr>
      <w:r>
        <w:rPr>
          <w:rFonts w:hint="eastAsia"/>
          <w:b/>
          <w:bCs/>
          <w:color w:val="auto"/>
          <w:highlight w:val="none"/>
        </w:rPr>
        <w:t>附件：开票信息</w:t>
      </w:r>
    </w:p>
    <w:p w14:paraId="4D3EC34D">
      <w:pPr>
        <w:pStyle w:val="2"/>
        <w:ind w:left="0" w:leftChars="0"/>
        <w:rPr>
          <w:rFonts w:ascii="宋体" w:hAnsi="宋体"/>
          <w:color w:val="auto"/>
          <w:highlight w:val="none"/>
        </w:rPr>
      </w:pPr>
    </w:p>
    <w:p w14:paraId="29BAB2C0">
      <w:pPr>
        <w:spacing w:line="360" w:lineRule="auto"/>
        <w:jc w:val="center"/>
        <w:rPr>
          <w:b/>
          <w:bCs/>
          <w:color w:val="auto"/>
          <w:highlight w:val="none"/>
        </w:rPr>
      </w:pPr>
      <w:r>
        <w:rPr>
          <w:rFonts w:hint="eastAsia"/>
          <w:b/>
          <w:bCs/>
          <w:color w:val="auto"/>
          <w:highlight w:val="none"/>
        </w:rPr>
        <w:t>开 票 信 息</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3"/>
        <w:gridCol w:w="6419"/>
      </w:tblGrid>
      <w:tr w14:paraId="21CD6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35" w:type="dxa"/>
          </w:tcPr>
          <w:p w14:paraId="6EACB457">
            <w:pPr>
              <w:spacing w:line="360" w:lineRule="auto"/>
              <w:rPr>
                <w:color w:val="auto"/>
                <w:highlight w:val="none"/>
              </w:rPr>
            </w:pPr>
            <w:r>
              <w:rPr>
                <w:rFonts w:hint="eastAsia"/>
                <w:color w:val="auto"/>
                <w:highlight w:val="none"/>
              </w:rPr>
              <w:t>开票项目名称</w:t>
            </w:r>
          </w:p>
        </w:tc>
        <w:tc>
          <w:tcPr>
            <w:tcW w:w="6940" w:type="dxa"/>
          </w:tcPr>
          <w:p w14:paraId="7522CDBC">
            <w:pPr>
              <w:spacing w:line="360" w:lineRule="auto"/>
              <w:rPr>
                <w:color w:val="auto"/>
                <w:highlight w:val="none"/>
              </w:rPr>
            </w:pPr>
          </w:p>
        </w:tc>
      </w:tr>
      <w:tr w14:paraId="2A449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79FE1BBB">
            <w:pPr>
              <w:spacing w:line="360" w:lineRule="auto"/>
              <w:rPr>
                <w:color w:val="auto"/>
                <w:highlight w:val="none"/>
              </w:rPr>
            </w:pPr>
            <w:r>
              <w:rPr>
                <w:rFonts w:hint="eastAsia"/>
                <w:color w:val="auto"/>
                <w:highlight w:val="none"/>
              </w:rPr>
              <w:t>开票项目编号</w:t>
            </w:r>
          </w:p>
        </w:tc>
        <w:tc>
          <w:tcPr>
            <w:tcW w:w="6940" w:type="dxa"/>
          </w:tcPr>
          <w:p w14:paraId="5B76D42E">
            <w:pPr>
              <w:spacing w:line="360" w:lineRule="auto"/>
              <w:rPr>
                <w:color w:val="auto"/>
                <w:highlight w:val="none"/>
              </w:rPr>
            </w:pPr>
          </w:p>
        </w:tc>
      </w:tr>
      <w:tr w14:paraId="0EC61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D44237B">
            <w:pPr>
              <w:spacing w:line="360" w:lineRule="auto"/>
              <w:rPr>
                <w:color w:val="auto"/>
                <w:highlight w:val="none"/>
              </w:rPr>
            </w:pPr>
            <w:r>
              <w:rPr>
                <w:rFonts w:hint="eastAsia"/>
                <w:color w:val="auto"/>
                <w:highlight w:val="none"/>
              </w:rPr>
              <w:t>开票单位</w:t>
            </w:r>
          </w:p>
        </w:tc>
        <w:tc>
          <w:tcPr>
            <w:tcW w:w="6940" w:type="dxa"/>
          </w:tcPr>
          <w:p w14:paraId="732110F4">
            <w:pPr>
              <w:spacing w:line="360" w:lineRule="auto"/>
              <w:rPr>
                <w:color w:val="auto"/>
                <w:highlight w:val="none"/>
              </w:rPr>
            </w:pPr>
          </w:p>
        </w:tc>
      </w:tr>
      <w:tr w14:paraId="05E2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35" w:type="dxa"/>
          </w:tcPr>
          <w:p w14:paraId="76B4DB45">
            <w:pPr>
              <w:spacing w:line="360" w:lineRule="auto"/>
              <w:rPr>
                <w:color w:val="auto"/>
                <w:highlight w:val="none"/>
              </w:rPr>
            </w:pPr>
            <w:r>
              <w:rPr>
                <w:rFonts w:hint="eastAsia"/>
                <w:color w:val="auto"/>
                <w:highlight w:val="none"/>
              </w:rPr>
              <w:t>纳税人识别号</w:t>
            </w:r>
          </w:p>
        </w:tc>
        <w:tc>
          <w:tcPr>
            <w:tcW w:w="6940" w:type="dxa"/>
          </w:tcPr>
          <w:p w14:paraId="42DCF21F">
            <w:pPr>
              <w:spacing w:line="360" w:lineRule="auto"/>
              <w:rPr>
                <w:color w:val="auto"/>
                <w:highlight w:val="none"/>
              </w:rPr>
            </w:pPr>
          </w:p>
        </w:tc>
      </w:tr>
      <w:tr w14:paraId="19BC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1689F8DE">
            <w:pPr>
              <w:spacing w:line="360" w:lineRule="auto"/>
              <w:rPr>
                <w:color w:val="auto"/>
                <w:highlight w:val="none"/>
              </w:rPr>
            </w:pPr>
            <w:r>
              <w:rPr>
                <w:rFonts w:hint="eastAsia"/>
                <w:color w:val="auto"/>
                <w:highlight w:val="none"/>
              </w:rPr>
              <w:t>地址、电话</w:t>
            </w:r>
          </w:p>
        </w:tc>
        <w:tc>
          <w:tcPr>
            <w:tcW w:w="6940" w:type="dxa"/>
          </w:tcPr>
          <w:p w14:paraId="2A4C3425">
            <w:pPr>
              <w:spacing w:line="360" w:lineRule="auto"/>
              <w:rPr>
                <w:color w:val="auto"/>
                <w:highlight w:val="none"/>
              </w:rPr>
            </w:pPr>
          </w:p>
        </w:tc>
      </w:tr>
      <w:tr w14:paraId="0468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0AD82099">
            <w:pPr>
              <w:spacing w:line="360" w:lineRule="auto"/>
              <w:rPr>
                <w:color w:val="auto"/>
                <w:highlight w:val="none"/>
              </w:rPr>
            </w:pPr>
            <w:r>
              <w:rPr>
                <w:rFonts w:hint="eastAsia"/>
                <w:color w:val="auto"/>
                <w:highlight w:val="none"/>
              </w:rPr>
              <w:t>开户行及账号</w:t>
            </w:r>
          </w:p>
        </w:tc>
        <w:tc>
          <w:tcPr>
            <w:tcW w:w="6940" w:type="dxa"/>
          </w:tcPr>
          <w:p w14:paraId="3BD6BC13">
            <w:pPr>
              <w:spacing w:line="360" w:lineRule="auto"/>
              <w:rPr>
                <w:color w:val="auto"/>
                <w:highlight w:val="none"/>
              </w:rPr>
            </w:pPr>
          </w:p>
        </w:tc>
      </w:tr>
      <w:tr w14:paraId="0D6F5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AF0E72C">
            <w:pPr>
              <w:spacing w:line="360" w:lineRule="auto"/>
              <w:rPr>
                <w:color w:val="auto"/>
                <w:highlight w:val="none"/>
              </w:rPr>
            </w:pPr>
            <w:r>
              <w:rPr>
                <w:rFonts w:hint="eastAsia"/>
                <w:color w:val="auto"/>
                <w:highlight w:val="none"/>
              </w:rPr>
              <w:t>发票类型（单击□选择）</w:t>
            </w:r>
          </w:p>
        </w:tc>
        <w:tc>
          <w:tcPr>
            <w:tcW w:w="6940" w:type="dxa"/>
          </w:tcPr>
          <w:p w14:paraId="3C1EC853">
            <w:pPr>
              <w:spacing w:line="360" w:lineRule="auto"/>
              <w:rPr>
                <w:color w:val="auto"/>
                <w:highlight w:val="none"/>
              </w:rPr>
            </w:pPr>
            <w:r>
              <w:rPr>
                <w:rFonts w:ascii="Segoe UI Symbol" w:hAnsi="Segoe UI Symbol" w:cs="Segoe UI Symbol"/>
                <w:color w:val="auto"/>
                <w:highlight w:val="none"/>
              </w:rPr>
              <w:t>☐</w:t>
            </w:r>
            <w:r>
              <w:rPr>
                <w:rFonts w:hint="eastAsia"/>
                <w:color w:val="auto"/>
                <w:highlight w:val="none"/>
              </w:rPr>
              <w:t xml:space="preserve">增值税普通电子发票 </w:t>
            </w:r>
            <w:r>
              <w:rPr>
                <w:rFonts w:ascii="Segoe UI Symbol" w:hAnsi="Segoe UI Symbol" w:cs="Segoe UI Symbol"/>
                <w:color w:val="auto"/>
                <w:highlight w:val="none"/>
              </w:rPr>
              <w:t>☐</w:t>
            </w:r>
            <w:r>
              <w:rPr>
                <w:rFonts w:hint="eastAsia"/>
                <w:color w:val="auto"/>
                <w:highlight w:val="none"/>
              </w:rPr>
              <w:t>增值税专用电子发票</w:t>
            </w:r>
          </w:p>
          <w:p w14:paraId="7760AE90">
            <w:pPr>
              <w:pStyle w:val="2"/>
              <w:ind w:left="0" w:leftChars="0"/>
              <w:rPr>
                <w:rFonts w:ascii="宋体" w:hAnsi="宋体"/>
                <w:b/>
                <w:bCs/>
                <w:color w:val="auto"/>
                <w:highlight w:val="none"/>
              </w:rPr>
            </w:pPr>
            <w:r>
              <w:rPr>
                <w:rFonts w:hint="eastAsia" w:ascii="宋体" w:hAnsi="宋体"/>
                <w:b/>
                <w:bCs/>
                <w:color w:val="auto"/>
                <w:highlight w:val="none"/>
              </w:rPr>
              <w:t>注1：目前只支持开具增值税普通电子发票和增值税专用电子发票。</w:t>
            </w:r>
          </w:p>
        </w:tc>
      </w:tr>
      <w:tr w14:paraId="46BB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748C220">
            <w:pPr>
              <w:spacing w:line="360" w:lineRule="auto"/>
              <w:rPr>
                <w:color w:val="auto"/>
                <w:highlight w:val="none"/>
              </w:rPr>
            </w:pPr>
            <w:r>
              <w:rPr>
                <w:rFonts w:hint="eastAsia"/>
                <w:color w:val="auto"/>
                <w:highlight w:val="none"/>
              </w:rPr>
              <w:t>邮寄地址、联系人、电话</w:t>
            </w:r>
          </w:p>
        </w:tc>
        <w:tc>
          <w:tcPr>
            <w:tcW w:w="6940" w:type="dxa"/>
          </w:tcPr>
          <w:p w14:paraId="3A2973C5">
            <w:pPr>
              <w:spacing w:line="360" w:lineRule="auto"/>
              <w:rPr>
                <w:color w:val="auto"/>
                <w:highlight w:val="none"/>
              </w:rPr>
            </w:pPr>
          </w:p>
        </w:tc>
      </w:tr>
      <w:tr w14:paraId="0A07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38306C33">
            <w:pPr>
              <w:spacing w:line="360" w:lineRule="auto"/>
              <w:rPr>
                <w:color w:val="auto"/>
                <w:highlight w:val="none"/>
              </w:rPr>
            </w:pPr>
            <w:r>
              <w:rPr>
                <w:rFonts w:hint="eastAsia"/>
                <w:color w:val="auto"/>
                <w:highlight w:val="none"/>
              </w:rPr>
              <w:t>联系人邮箱</w:t>
            </w:r>
          </w:p>
        </w:tc>
        <w:tc>
          <w:tcPr>
            <w:tcW w:w="6940" w:type="dxa"/>
          </w:tcPr>
          <w:p w14:paraId="23B39C54">
            <w:pPr>
              <w:spacing w:line="360" w:lineRule="auto"/>
              <w:rPr>
                <w:color w:val="auto"/>
                <w:highlight w:val="none"/>
              </w:rPr>
            </w:pPr>
          </w:p>
        </w:tc>
      </w:tr>
      <w:tr w14:paraId="49B1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2B6A61A8">
            <w:pPr>
              <w:spacing w:line="360" w:lineRule="auto"/>
              <w:rPr>
                <w:color w:val="auto"/>
                <w:highlight w:val="none"/>
              </w:rPr>
            </w:pPr>
            <w:r>
              <w:rPr>
                <w:rFonts w:hint="eastAsia"/>
                <w:color w:val="auto"/>
                <w:highlight w:val="none"/>
              </w:rPr>
              <w:t>开票金额（人民币）</w:t>
            </w:r>
          </w:p>
        </w:tc>
        <w:tc>
          <w:tcPr>
            <w:tcW w:w="6940" w:type="dxa"/>
          </w:tcPr>
          <w:p w14:paraId="568A4630">
            <w:pPr>
              <w:spacing w:line="360" w:lineRule="auto"/>
              <w:rPr>
                <w:color w:val="auto"/>
                <w:highlight w:val="none"/>
              </w:rPr>
            </w:pPr>
          </w:p>
        </w:tc>
      </w:tr>
      <w:tr w14:paraId="0AFC8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52551835">
            <w:pPr>
              <w:spacing w:line="360" w:lineRule="auto"/>
              <w:rPr>
                <w:color w:val="auto"/>
                <w:highlight w:val="none"/>
              </w:rPr>
            </w:pPr>
            <w:r>
              <w:rPr>
                <w:rFonts w:hint="eastAsia"/>
                <w:color w:val="auto"/>
                <w:highlight w:val="none"/>
              </w:rPr>
              <w:t>费用到账时间</w:t>
            </w:r>
          </w:p>
        </w:tc>
        <w:tc>
          <w:tcPr>
            <w:tcW w:w="6940" w:type="dxa"/>
          </w:tcPr>
          <w:p w14:paraId="112E0162">
            <w:pPr>
              <w:spacing w:line="360" w:lineRule="auto"/>
              <w:rPr>
                <w:color w:val="auto"/>
                <w:highlight w:val="none"/>
              </w:rPr>
            </w:pPr>
          </w:p>
        </w:tc>
      </w:tr>
      <w:tr w14:paraId="1491A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tcPr>
          <w:p w14:paraId="46F60891">
            <w:pPr>
              <w:spacing w:line="360" w:lineRule="auto"/>
              <w:rPr>
                <w:color w:val="auto"/>
                <w:highlight w:val="none"/>
              </w:rPr>
            </w:pPr>
            <w:r>
              <w:rPr>
                <w:rFonts w:hint="eastAsia"/>
                <w:color w:val="auto"/>
                <w:highlight w:val="none"/>
              </w:rPr>
              <w:t>发票申请人姓名、手机号</w:t>
            </w:r>
          </w:p>
        </w:tc>
        <w:tc>
          <w:tcPr>
            <w:tcW w:w="6940" w:type="dxa"/>
          </w:tcPr>
          <w:p w14:paraId="6A8788A3">
            <w:pPr>
              <w:spacing w:line="360" w:lineRule="auto"/>
              <w:rPr>
                <w:color w:val="auto"/>
                <w:highlight w:val="none"/>
              </w:rPr>
            </w:pPr>
          </w:p>
        </w:tc>
      </w:tr>
    </w:tbl>
    <w:p w14:paraId="36A5FD53">
      <w:pPr>
        <w:spacing w:line="360" w:lineRule="auto"/>
        <w:rPr>
          <w:color w:val="auto"/>
          <w:highlight w:val="none"/>
        </w:rPr>
      </w:pPr>
      <w:r>
        <w:rPr>
          <w:rFonts w:hint="eastAsia"/>
          <w:color w:val="auto"/>
          <w:highlight w:val="none"/>
        </w:rPr>
        <w:t>附：费用付款凭证截图</w:t>
      </w:r>
    </w:p>
    <w:p w14:paraId="3124139A">
      <w:pPr>
        <w:pStyle w:val="2"/>
        <w:ind w:left="0" w:leftChars="0"/>
        <w:rPr>
          <w:rFonts w:ascii="宋体" w:hAnsi="宋体"/>
          <w:color w:val="auto"/>
          <w:highlight w:val="none"/>
        </w:rPr>
      </w:pPr>
    </w:p>
    <w:p w14:paraId="3D05DF81">
      <w:pPr>
        <w:pStyle w:val="2"/>
        <w:ind w:left="0" w:leftChars="0"/>
        <w:rPr>
          <w:rFonts w:ascii="宋体" w:hAnsi="宋体"/>
          <w:b/>
          <w:bCs/>
          <w:color w:val="auto"/>
          <w:highlight w:val="none"/>
        </w:rPr>
      </w:pPr>
      <w:r>
        <w:rPr>
          <w:rFonts w:hint="eastAsia" w:ascii="宋体" w:hAnsi="宋体"/>
          <w:b/>
          <w:bCs/>
          <w:color w:val="auto"/>
          <w:highlight w:val="none"/>
        </w:rPr>
        <w:t>注：若供应商需要磋商文件费用发票的须填写以上开票信息表，待项目磋商结果公告后发送至采购人工作人员邮箱（390646599@qq.com）。</w:t>
      </w:r>
    </w:p>
    <w:p w14:paraId="4804ACB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6C5168"/>
    <w:rsid w:val="027645A8"/>
    <w:rsid w:val="1B2C1440"/>
    <w:rsid w:val="2C6C5168"/>
    <w:rsid w:val="493D2390"/>
    <w:rsid w:val="6A705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index 8"/>
    <w:basedOn w:val="1"/>
    <w:next w:val="1"/>
    <w:qFormat/>
    <w:uiPriority w:val="0"/>
    <w:pPr>
      <w:ind w:left="1400" w:leftChars="1400"/>
    </w:pPr>
  </w:style>
  <w:style w:type="paragraph" w:styleId="3">
    <w:name w:val="Plain Text"/>
    <w:basedOn w:val="1"/>
    <w:qFormat/>
    <w:uiPriority w:val="0"/>
    <w:rPr>
      <w:rFonts w:ascii="宋体" w:hAnsi="Courier New"/>
      <w:szCs w:val="20"/>
    </w:rPr>
  </w:style>
  <w:style w:type="paragraph" w:customStyle="1" w:styleId="6">
    <w:name w:val="正文首行缩进两字符"/>
    <w:basedOn w:val="1"/>
    <w:qFormat/>
    <w:uiPriority w:val="0"/>
    <w:pPr>
      <w:spacing w:line="360" w:lineRule="auto"/>
      <w:ind w:firstLine="200" w:firstLineChars="200"/>
    </w:pPr>
    <w:rPr>
      <w:rFonts w:ascii="Calibri" w:hAnsi="Calibri" w:cs="宋体"/>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1794</Words>
  <Characters>2016</Characters>
  <Lines>0</Lines>
  <Paragraphs>0</Paragraphs>
  <TotalTime>5</TotalTime>
  <ScaleCrop>false</ScaleCrop>
  <LinksUpToDate>false</LinksUpToDate>
  <CharactersWithSpaces>2021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2025-10-17T11:40:00Z</dcterms:created>
  <dc:creator>盒盒配盒盒</dc:creator>
  <cp:lastModifiedBy>盒盒配盒盒</cp:lastModifiedBy>
  <dcterms:modified xsi:type="dcterms:W3CDTF">2025-10-19T09:42:21Z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0D4301E5E66E4733B29FC4BC3E86EBD0_13</vt:lpwstr>
  </property>
  <property fmtid="{D5CDD505-2E9C-101B-9397-08002B2CF9AE}" pid="4" name="KSOTemplateDocerSaveRecord">
    <vt:lpwstr>eyJoZGlkIjoiMDQ3YzNhNGFlZmRlYjRkNGM3YzBkMzM0YWMxMjQzNjkiLCJ1c2VySWQiOiI2MjUzMzE3MzAifQ==</vt:lpwstr>
  </property>
</Properties>
</file>