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16C87">
      <w:pPr>
        <w:pStyle w:val="2"/>
        <w:spacing w:line="360" w:lineRule="auto"/>
        <w:rPr>
          <w:rFonts w:hint="eastAsia"/>
          <w:color w:val="000000"/>
        </w:rPr>
      </w:pPr>
      <w:bookmarkStart w:id="0" w:name="_Toc96702571"/>
      <w:r>
        <w:rPr>
          <w:rFonts w:hint="eastAsia"/>
          <w:color w:val="000000"/>
        </w:rPr>
        <w:t>第</w:t>
      </w:r>
      <w:r>
        <w:rPr>
          <w:rFonts w:hint="eastAsia"/>
          <w:color w:val="000000"/>
          <w:lang w:eastAsia="zh-CN"/>
        </w:rPr>
        <w:t>三</w:t>
      </w:r>
      <w:r>
        <w:rPr>
          <w:rFonts w:hint="eastAsia"/>
          <w:color w:val="000000"/>
        </w:rPr>
        <w:t>章  采购</w:t>
      </w:r>
      <w:r>
        <w:rPr>
          <w:rFonts w:hint="eastAsia"/>
          <w:color w:val="000000"/>
          <w:lang w:eastAsia="zh-CN"/>
        </w:rPr>
        <w:t>人</w:t>
      </w:r>
      <w:r>
        <w:rPr>
          <w:rFonts w:hint="eastAsia"/>
          <w:color w:val="000000"/>
        </w:rPr>
        <w:t>要求</w:t>
      </w:r>
      <w:bookmarkEnd w:id="0"/>
    </w:p>
    <w:p w14:paraId="73ED04F5">
      <w:pPr>
        <w:pStyle w:val="7"/>
        <w:spacing w:line="440" w:lineRule="exact"/>
        <w:rPr>
          <w:rFonts w:hint="eastAsia"/>
          <w:b/>
          <w:bCs/>
          <w:color w:val="000000"/>
          <w:sz w:val="28"/>
          <w:szCs w:val="28"/>
        </w:rPr>
      </w:pPr>
      <w:r>
        <w:rPr>
          <w:rFonts w:hint="eastAsia"/>
          <w:b/>
          <w:bCs/>
          <w:color w:val="000000"/>
          <w:sz w:val="28"/>
          <w:szCs w:val="28"/>
        </w:rPr>
        <w:t>一、项目概述</w:t>
      </w:r>
    </w:p>
    <w:p w14:paraId="686A3487">
      <w:pPr>
        <w:pStyle w:val="10"/>
        <w:adjustRightInd w:val="0"/>
        <w:snapToGrid w:val="0"/>
        <w:spacing w:line="440" w:lineRule="exact"/>
        <w:ind w:firstLine="458" w:firstLineChars="191"/>
        <w:rPr>
          <w:rFonts w:hint="eastAsia"/>
          <w:b/>
          <w:bCs/>
          <w:color w:val="000000"/>
          <w:sz w:val="28"/>
          <w:szCs w:val="28"/>
        </w:rPr>
      </w:pPr>
      <w:r>
        <w:rPr>
          <w:rFonts w:hint="eastAsia" w:ascii="宋体" w:hAnsi="宋体" w:cs="宋体"/>
          <w:color w:val="000000"/>
          <w:sz w:val="24"/>
          <w:szCs w:val="24"/>
        </w:rPr>
        <w:t>德阳昊华清平磷矿有限公司因生产需要，需采购复合土工膜2万㎡、HDPE土工膜3万㎡。</w:t>
      </w:r>
    </w:p>
    <w:p w14:paraId="09AA6F9B">
      <w:pPr>
        <w:pStyle w:val="7"/>
        <w:spacing w:line="440" w:lineRule="exact"/>
        <w:rPr>
          <w:b/>
          <w:bCs/>
          <w:color w:val="000000"/>
          <w:sz w:val="28"/>
          <w:szCs w:val="28"/>
        </w:rPr>
      </w:pPr>
      <w:r>
        <w:rPr>
          <w:rFonts w:hint="eastAsia"/>
          <w:b/>
          <w:bCs/>
          <w:color w:val="000000"/>
          <w:sz w:val="28"/>
          <w:szCs w:val="28"/>
        </w:rPr>
        <w:t>二、采购数量及技术参数要求</w:t>
      </w:r>
    </w:p>
    <w:p w14:paraId="51AD64F0">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1、复合土工膜:2万㎡。</w:t>
      </w:r>
      <w:bookmarkStart w:id="1" w:name="OLE_LINK3"/>
      <w:bookmarkStart w:id="2" w:name="OLE_LINK4"/>
      <w:r>
        <w:rPr>
          <w:rFonts w:hint="eastAsia" w:ascii="宋体" w:hAnsi="宋体" w:cs="宋体"/>
          <w:color w:val="000000"/>
          <w:sz w:val="24"/>
          <w:szCs w:val="24"/>
        </w:rPr>
        <w:t>按GB/T 17642-2008《复合土工膜》国家标准执行：</w:t>
      </w:r>
    </w:p>
    <w:bookmarkEnd w:id="1"/>
    <w:bookmarkEnd w:id="2"/>
    <w:p w14:paraId="65B82898">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规格型号:灰布黑膜，一布一膜</w:t>
      </w:r>
    </w:p>
    <w:p w14:paraId="063DE7EB">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厚度（SN/PE）：200g/0.2mm*6m*50m；</w:t>
      </w:r>
    </w:p>
    <w:p w14:paraId="6B6D4276">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宽幅偏差（%）：-1.0；</w:t>
      </w:r>
      <w:bookmarkStart w:id="19" w:name="_GoBack"/>
      <w:bookmarkEnd w:id="19"/>
    </w:p>
    <w:p w14:paraId="22433147">
      <w:pPr>
        <w:pStyle w:val="10"/>
        <w:adjustRightInd w:val="0"/>
        <w:snapToGrid w:val="0"/>
        <w:spacing w:line="440" w:lineRule="exact"/>
        <w:ind w:firstLine="480"/>
        <w:rPr>
          <w:rFonts w:hint="eastAsia" w:ascii="宋体" w:hAnsi="宋体" w:cs="宋体"/>
          <w:color w:val="000000"/>
          <w:sz w:val="24"/>
          <w:szCs w:val="24"/>
        </w:rPr>
      </w:pPr>
      <w:bookmarkStart w:id="3" w:name="OLE_LINK2"/>
      <w:bookmarkStart w:id="4" w:name="OLE_LINK1"/>
      <w:r>
        <w:rPr>
          <w:rFonts w:hint="eastAsia" w:ascii="宋体" w:hAnsi="宋体" w:cs="宋体"/>
          <w:color w:val="000000"/>
          <w:sz w:val="24"/>
          <w:szCs w:val="24"/>
        </w:rPr>
        <w:t>（纵、横向）断裂强度（KN/m）：≥5；</w:t>
      </w:r>
    </w:p>
    <w:bookmarkEnd w:id="3"/>
    <w:bookmarkEnd w:id="4"/>
    <w:p w14:paraId="7708B3C7">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（纵、横向）断裂伸长率（%）：30-100；</w:t>
      </w:r>
    </w:p>
    <w:p w14:paraId="645B16C9">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（纵、横向）撕破强力（KN）：≥0.15；</w:t>
      </w:r>
    </w:p>
    <w:p w14:paraId="13EB0BD8">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CBR顶破强力（KN）：≥1.1；</w:t>
      </w:r>
    </w:p>
    <w:p w14:paraId="3A1257A2">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剥离强度（N/cm）：≥6；</w:t>
      </w:r>
    </w:p>
    <w:p w14:paraId="099A7263">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耐静水压（Mpa）：≥0.4-0.6。</w:t>
      </w:r>
    </w:p>
    <w:p w14:paraId="3A0730A9">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2、HDPE土工膜:3万㎡。按GB/T 17643-2011（GH-2S型）《环保双光面高密度聚乙烯土工膜》国家标准执行：</w:t>
      </w:r>
    </w:p>
    <w:p w14:paraId="7C8BF0C7">
      <w:pPr>
        <w:pStyle w:val="10"/>
        <w:adjustRightInd w:val="0"/>
        <w:snapToGrid w:val="0"/>
        <w:spacing w:line="440" w:lineRule="exact"/>
        <w:ind w:firstLine="480"/>
        <w:rPr>
          <w:rFonts w:hint="eastAsia" w:ascii="宋体" w:hAnsi="宋体" w:cs="宋体"/>
          <w:color w:val="000000"/>
          <w:sz w:val="24"/>
          <w:szCs w:val="24"/>
        </w:rPr>
      </w:pPr>
      <w:r>
        <w:rPr>
          <w:rFonts w:ascii="宋体" w:hAnsi="宋体" w:cs="宋体"/>
          <w:color w:val="000000"/>
          <w:sz w:val="24"/>
          <w:szCs w:val="24"/>
        </w:rPr>
        <w:t>厚度：</w:t>
      </w:r>
      <w:r>
        <w:rPr>
          <w:rFonts w:hint="eastAsia" w:ascii="宋体" w:hAnsi="宋体" w:cs="宋体"/>
          <w:color w:val="000000"/>
          <w:sz w:val="24"/>
          <w:szCs w:val="24"/>
        </w:rPr>
        <w:t>1.0mm*8m*50m；</w:t>
      </w:r>
    </w:p>
    <w:p w14:paraId="6CDF700F">
      <w:pPr>
        <w:pStyle w:val="10"/>
        <w:adjustRightInd w:val="0"/>
        <w:snapToGrid w:val="0"/>
        <w:spacing w:line="440" w:lineRule="exact"/>
        <w:ind w:firstLine="480"/>
        <w:rPr>
          <w:rFonts w:hint="eastAsia" w:ascii="LNUHNF+SimSun" w:hAnsi="LNUHNF+SimSun" w:cs="宋体"/>
          <w:color w:val="000000"/>
          <w:kern w:val="0"/>
          <w:sz w:val="24"/>
        </w:rPr>
      </w:pPr>
      <w:r>
        <w:rPr>
          <w:rFonts w:ascii="宋体" w:hAnsi="宋体" w:cs="宋体"/>
          <w:color w:val="000000"/>
          <w:sz w:val="24"/>
          <w:szCs w:val="24"/>
        </w:rPr>
        <w:t>密</w:t>
      </w:r>
      <w:r>
        <w:rPr>
          <w:rFonts w:ascii="LNUHNF+SimSun" w:hAnsi="LNUHNF+SimSun" w:cs="宋体"/>
          <w:color w:val="000000"/>
          <w:kern w:val="0"/>
          <w:sz w:val="24"/>
        </w:rPr>
        <w:t>度（g</w:t>
      </w:r>
      <w:r>
        <w:rPr>
          <w:rFonts w:hint="eastAsia" w:ascii="LNUHNF+SimSun" w:hAnsi="LNUHNF+SimSun" w:cs="宋体"/>
          <w:color w:val="000000"/>
          <w:kern w:val="0"/>
          <w:sz w:val="24"/>
        </w:rPr>
        <w:t>/cm3</w:t>
      </w:r>
      <w:r>
        <w:rPr>
          <w:rFonts w:ascii="LNUHNF+SimSun" w:hAnsi="LNUHNF+SimSun" w:cs="宋体"/>
          <w:color w:val="000000"/>
          <w:kern w:val="0"/>
          <w:sz w:val="24"/>
        </w:rPr>
        <w:t>）：≥</w:t>
      </w:r>
      <w:r>
        <w:rPr>
          <w:rFonts w:hint="eastAsia" w:ascii="LNUHNF+SimSun" w:hAnsi="LNUHNF+SimSun" w:cs="宋体"/>
          <w:color w:val="000000"/>
          <w:kern w:val="0"/>
          <w:sz w:val="24"/>
        </w:rPr>
        <w:t>0.940；</w:t>
      </w:r>
    </w:p>
    <w:p w14:paraId="10B71DF0">
      <w:pPr>
        <w:pStyle w:val="10"/>
        <w:adjustRightInd w:val="0"/>
        <w:snapToGrid w:val="0"/>
        <w:spacing w:line="440" w:lineRule="exact"/>
        <w:ind w:firstLine="480"/>
        <w:rPr>
          <w:rFonts w:hint="eastAsia" w:ascii="LNUHNF+SimSun" w:hAnsi="LNUHNF+SimSun" w:cs="宋体"/>
          <w:color w:val="000000"/>
          <w:kern w:val="0"/>
          <w:sz w:val="24"/>
        </w:rPr>
      </w:pPr>
      <w:r>
        <w:rPr>
          <w:rFonts w:hint="eastAsia" w:ascii="LNUHNF+SimSun" w:hAnsi="LNUHNF+SimSun" w:cs="宋体"/>
          <w:color w:val="000000"/>
          <w:kern w:val="0"/>
          <w:sz w:val="24"/>
        </w:rPr>
        <w:t>（</w:t>
      </w:r>
      <w:r>
        <w:rPr>
          <w:rFonts w:ascii="LNUHNF+SimSun" w:hAnsi="LNUHNF+SimSun" w:cs="宋体"/>
          <w:color w:val="000000"/>
          <w:kern w:val="0"/>
          <w:sz w:val="24"/>
        </w:rPr>
        <w:t>纵、横向</w:t>
      </w:r>
      <w:r>
        <w:rPr>
          <w:rFonts w:hint="eastAsia" w:ascii="LNUHNF+SimSun" w:hAnsi="LNUHNF+SimSun" w:cs="宋体"/>
          <w:color w:val="000000"/>
          <w:kern w:val="0"/>
          <w:sz w:val="24"/>
        </w:rPr>
        <w:t>）</w:t>
      </w:r>
      <w:r>
        <w:rPr>
          <w:rFonts w:ascii="LNUHNF+SimSun" w:hAnsi="LNUHNF+SimSun" w:cs="宋体"/>
          <w:color w:val="000000"/>
          <w:kern w:val="0"/>
          <w:sz w:val="24"/>
        </w:rPr>
        <w:t>拉伸屈服强度（N/mm）</w:t>
      </w:r>
      <w:r>
        <w:rPr>
          <w:rFonts w:hint="eastAsia" w:ascii="LNUHNF+SimSun" w:hAnsi="LNUHNF+SimSun" w:cs="宋体"/>
          <w:color w:val="000000"/>
          <w:kern w:val="0"/>
          <w:sz w:val="24"/>
        </w:rPr>
        <w:t>：≥</w:t>
      </w:r>
      <w:r>
        <w:rPr>
          <w:rFonts w:ascii="宋体" w:hAnsi="宋体" w:cs="宋体"/>
          <w:color w:val="000000"/>
          <w:kern w:val="0"/>
          <w:sz w:val="24"/>
        </w:rPr>
        <w:t>15</w:t>
      </w:r>
      <w:r>
        <w:rPr>
          <w:rFonts w:ascii="LNUHNF+SimSun" w:hAnsi="LNUHNF+SimSun" w:cs="宋体"/>
          <w:color w:val="000000"/>
          <w:kern w:val="0"/>
          <w:sz w:val="24"/>
        </w:rPr>
        <w:t>；</w:t>
      </w:r>
    </w:p>
    <w:p w14:paraId="1151884C">
      <w:pPr>
        <w:pStyle w:val="10"/>
        <w:adjustRightInd w:val="0"/>
        <w:snapToGrid w:val="0"/>
        <w:spacing w:line="440" w:lineRule="exact"/>
        <w:ind w:firstLine="480"/>
        <w:rPr>
          <w:rFonts w:hint="eastAsia" w:ascii="宋体" w:hAnsi="宋体" w:cs="宋体"/>
          <w:color w:val="000000"/>
          <w:kern w:val="0"/>
          <w:sz w:val="24"/>
        </w:rPr>
      </w:pPr>
      <w:bookmarkStart w:id="5" w:name="OLE_LINK6"/>
      <w:bookmarkStart w:id="6" w:name="OLE_LINK5"/>
      <w:r>
        <w:rPr>
          <w:rFonts w:hint="eastAsia" w:ascii="LNUHNF+SimSun" w:hAnsi="LNUHNF+SimSun" w:cs="宋体"/>
          <w:color w:val="000000"/>
          <w:kern w:val="0"/>
          <w:sz w:val="24"/>
        </w:rPr>
        <w:t>（</w:t>
      </w:r>
      <w:r>
        <w:rPr>
          <w:rFonts w:ascii="LNUHNF+SimSun" w:hAnsi="LNUHNF+SimSun" w:cs="宋体"/>
          <w:color w:val="000000"/>
          <w:kern w:val="0"/>
          <w:sz w:val="24"/>
        </w:rPr>
        <w:t>纵、横向</w:t>
      </w:r>
      <w:r>
        <w:rPr>
          <w:rFonts w:hint="eastAsia" w:ascii="LNUHNF+SimSun" w:hAnsi="LNUHNF+SimSun" w:cs="宋体"/>
          <w:color w:val="000000"/>
          <w:kern w:val="0"/>
          <w:sz w:val="24"/>
        </w:rPr>
        <w:t>）</w:t>
      </w:r>
      <w:bookmarkEnd w:id="5"/>
      <w:bookmarkEnd w:id="6"/>
      <w:r>
        <w:rPr>
          <w:rFonts w:hint="eastAsia" w:ascii="LNUHNF+SimSun" w:hAnsi="LNUHNF+SimSun" w:cs="宋体"/>
          <w:color w:val="000000"/>
          <w:kern w:val="0"/>
          <w:sz w:val="24"/>
        </w:rPr>
        <w:t>拉伸断裂强度</w:t>
      </w:r>
      <w:r>
        <w:rPr>
          <w:rFonts w:ascii="LNUHNF+SimSun" w:hAnsi="LNUHNF+SimSun" w:cs="宋体"/>
          <w:color w:val="000000"/>
          <w:kern w:val="0"/>
          <w:sz w:val="24"/>
        </w:rPr>
        <w:t>（N/mm）</w:t>
      </w:r>
      <w:r>
        <w:rPr>
          <w:rFonts w:hint="eastAsia" w:ascii="LNUHNF+SimSun" w:hAnsi="LNUHNF+SimSun" w:cs="宋体"/>
          <w:color w:val="000000"/>
          <w:kern w:val="0"/>
          <w:sz w:val="24"/>
        </w:rPr>
        <w:t>：</w:t>
      </w:r>
      <w:bookmarkStart w:id="7" w:name="OLE_LINK7"/>
      <w:bookmarkStart w:id="8" w:name="OLE_LINK8"/>
      <w:r>
        <w:rPr>
          <w:rFonts w:hint="eastAsia" w:ascii="宋体" w:hAnsi="宋体" w:cs="宋体"/>
          <w:color w:val="000000"/>
          <w:kern w:val="0"/>
          <w:sz w:val="24"/>
        </w:rPr>
        <w:t>≥</w:t>
      </w:r>
      <w:bookmarkEnd w:id="7"/>
      <w:bookmarkEnd w:id="8"/>
      <w:r>
        <w:rPr>
          <w:rFonts w:hint="eastAsia" w:ascii="宋体" w:hAnsi="宋体" w:cs="宋体"/>
          <w:color w:val="000000"/>
          <w:kern w:val="0"/>
          <w:sz w:val="24"/>
        </w:rPr>
        <w:t>27</w:t>
      </w:r>
      <w:r>
        <w:rPr>
          <w:rFonts w:ascii="宋体" w:hAnsi="宋体" w:cs="宋体"/>
          <w:color w:val="000000"/>
          <w:kern w:val="0"/>
          <w:sz w:val="24"/>
        </w:rPr>
        <w:t>；</w:t>
      </w:r>
    </w:p>
    <w:p w14:paraId="64CE637F">
      <w:pPr>
        <w:pStyle w:val="10"/>
        <w:adjustRightInd w:val="0"/>
        <w:snapToGrid w:val="0"/>
        <w:spacing w:line="440" w:lineRule="exact"/>
        <w:ind w:firstLine="480"/>
        <w:rPr>
          <w:rFonts w:hint="eastAsia" w:ascii="宋体" w:hAnsi="宋体" w:cs="宋体"/>
          <w:color w:val="000000"/>
          <w:kern w:val="0"/>
          <w:sz w:val="24"/>
        </w:rPr>
      </w:pPr>
      <w:bookmarkStart w:id="9" w:name="OLE_LINK9"/>
      <w:bookmarkStart w:id="10" w:name="OLE_LINK10"/>
      <w:r>
        <w:rPr>
          <w:rFonts w:hint="eastAsia" w:ascii="宋体" w:hAnsi="宋体" w:cs="宋体"/>
          <w:color w:val="000000"/>
          <w:kern w:val="0"/>
          <w:sz w:val="24"/>
        </w:rPr>
        <w:t>（</w:t>
      </w:r>
      <w:r>
        <w:rPr>
          <w:rFonts w:ascii="宋体" w:hAnsi="宋体" w:cs="宋体"/>
          <w:color w:val="000000"/>
          <w:kern w:val="0"/>
          <w:sz w:val="24"/>
        </w:rPr>
        <w:t>纵、横向</w:t>
      </w:r>
      <w:r>
        <w:rPr>
          <w:rFonts w:hint="eastAsia" w:ascii="宋体" w:hAnsi="宋体" w:cs="宋体"/>
          <w:color w:val="000000"/>
          <w:kern w:val="0"/>
          <w:sz w:val="24"/>
        </w:rPr>
        <w:t>）</w:t>
      </w:r>
      <w:bookmarkEnd w:id="9"/>
      <w:bookmarkEnd w:id="10"/>
      <w:r>
        <w:rPr>
          <w:rFonts w:hint="eastAsia" w:ascii="宋体" w:hAnsi="宋体" w:cs="宋体"/>
          <w:color w:val="000000"/>
          <w:kern w:val="0"/>
          <w:sz w:val="24"/>
        </w:rPr>
        <w:t>屈服伸长率（%）：</w:t>
      </w:r>
      <w:bookmarkStart w:id="11" w:name="OLE_LINK12"/>
      <w:bookmarkStart w:id="12" w:name="OLE_LINK11"/>
      <w:r>
        <w:rPr>
          <w:rFonts w:hint="eastAsia" w:ascii="宋体" w:hAnsi="宋体" w:cs="宋体"/>
          <w:color w:val="000000"/>
          <w:kern w:val="0"/>
          <w:sz w:val="24"/>
        </w:rPr>
        <w:t>≥</w:t>
      </w:r>
      <w:bookmarkEnd w:id="11"/>
      <w:bookmarkEnd w:id="12"/>
      <w:r>
        <w:rPr>
          <w:rFonts w:hint="eastAsia" w:ascii="宋体" w:hAnsi="宋体" w:cs="宋体"/>
          <w:color w:val="000000"/>
          <w:kern w:val="0"/>
          <w:sz w:val="24"/>
        </w:rPr>
        <w:t>12；</w:t>
      </w:r>
    </w:p>
    <w:p w14:paraId="686EAE09">
      <w:pPr>
        <w:pStyle w:val="10"/>
        <w:adjustRightInd w:val="0"/>
        <w:snapToGrid w:val="0"/>
        <w:spacing w:line="440" w:lineRule="exact"/>
        <w:ind w:firstLine="480"/>
        <w:rPr>
          <w:rFonts w:hint="eastAsia" w:ascii="宋体" w:hAnsi="宋体" w:cs="宋体"/>
          <w:color w:val="000000"/>
          <w:kern w:val="0"/>
          <w:sz w:val="24"/>
        </w:rPr>
      </w:pPr>
      <w:bookmarkStart w:id="13" w:name="OLE_LINK14"/>
      <w:bookmarkStart w:id="14" w:name="OLE_LINK13"/>
      <w:r>
        <w:rPr>
          <w:rFonts w:hint="eastAsia" w:ascii="宋体" w:hAnsi="宋体" w:cs="宋体"/>
          <w:color w:val="000000"/>
          <w:kern w:val="0"/>
          <w:sz w:val="24"/>
        </w:rPr>
        <w:t>（</w:t>
      </w:r>
      <w:r>
        <w:rPr>
          <w:rFonts w:ascii="宋体" w:hAnsi="宋体" w:cs="宋体"/>
          <w:color w:val="000000"/>
          <w:kern w:val="0"/>
          <w:sz w:val="24"/>
        </w:rPr>
        <w:t>纵、横向</w:t>
      </w:r>
      <w:r>
        <w:rPr>
          <w:rFonts w:hint="eastAsia" w:ascii="宋体" w:hAnsi="宋体" w:cs="宋体"/>
          <w:color w:val="000000"/>
          <w:kern w:val="0"/>
          <w:sz w:val="24"/>
        </w:rPr>
        <w:t>）</w:t>
      </w:r>
      <w:bookmarkEnd w:id="13"/>
      <w:bookmarkEnd w:id="14"/>
      <w:r>
        <w:rPr>
          <w:rFonts w:hint="eastAsia" w:ascii="宋体" w:hAnsi="宋体" w:cs="宋体"/>
          <w:color w:val="000000"/>
          <w:kern w:val="0"/>
          <w:sz w:val="24"/>
        </w:rPr>
        <w:t>断裂伸长率（%）：≥700；</w:t>
      </w:r>
    </w:p>
    <w:p w14:paraId="2783F46B">
      <w:pPr>
        <w:pStyle w:val="10"/>
        <w:adjustRightInd w:val="0"/>
        <w:snapToGrid w:val="0"/>
        <w:spacing w:line="440" w:lineRule="exact"/>
        <w:ind w:firstLine="480"/>
        <w:rPr>
          <w:rFonts w:hint="eastAsia" w:ascii="宋体" w:hAnsi="宋体" w:cs="宋体"/>
          <w:color w:val="000000"/>
          <w:kern w:val="0"/>
          <w:sz w:val="24"/>
        </w:rPr>
      </w:pPr>
      <w:r>
        <w:rPr>
          <w:rFonts w:hint="eastAsia" w:ascii="宋体" w:hAnsi="宋体" w:cs="宋体"/>
          <w:color w:val="000000"/>
          <w:kern w:val="0"/>
          <w:sz w:val="24"/>
        </w:rPr>
        <w:t>（</w:t>
      </w:r>
      <w:r>
        <w:rPr>
          <w:rFonts w:ascii="宋体" w:hAnsi="宋体" w:cs="宋体"/>
          <w:color w:val="000000"/>
          <w:kern w:val="0"/>
          <w:sz w:val="24"/>
        </w:rPr>
        <w:t>纵、横向</w:t>
      </w:r>
      <w:r>
        <w:rPr>
          <w:rFonts w:hint="eastAsia" w:ascii="宋体" w:hAnsi="宋体" w:cs="宋体"/>
          <w:color w:val="000000"/>
          <w:kern w:val="0"/>
          <w:sz w:val="24"/>
        </w:rPr>
        <w:t>）直角撕裂负荷（N）：≥125；</w:t>
      </w:r>
    </w:p>
    <w:p w14:paraId="23333923">
      <w:pPr>
        <w:pStyle w:val="10"/>
        <w:adjustRightInd w:val="0"/>
        <w:snapToGrid w:val="0"/>
        <w:spacing w:line="440" w:lineRule="exact"/>
        <w:ind w:firstLine="480"/>
        <w:rPr>
          <w:rFonts w:ascii="LNUHNF+SimSun" w:hAnsi="LNUHNF+SimSun" w:cs="宋体"/>
          <w:color w:val="000000"/>
          <w:kern w:val="0"/>
          <w:sz w:val="24"/>
        </w:rPr>
      </w:pPr>
      <w:r>
        <w:rPr>
          <w:rFonts w:hint="eastAsia" w:ascii="宋体" w:hAnsi="宋体" w:cs="宋体"/>
          <w:color w:val="000000"/>
          <w:kern w:val="0"/>
          <w:sz w:val="24"/>
        </w:rPr>
        <w:t>抗穿刺强度（N）：≥320；</w:t>
      </w:r>
    </w:p>
    <w:p w14:paraId="52794622">
      <w:pPr>
        <w:pStyle w:val="10"/>
        <w:adjustRightInd w:val="0"/>
        <w:snapToGrid w:val="0"/>
        <w:spacing w:line="440" w:lineRule="exact"/>
        <w:ind w:firstLine="480"/>
        <w:rPr>
          <w:rFonts w:hint="eastAsia" w:ascii="宋体" w:hAnsi="宋体" w:cs="宋体"/>
          <w:color w:val="000000"/>
          <w:sz w:val="24"/>
          <w:szCs w:val="24"/>
        </w:rPr>
      </w:pPr>
      <w:r>
        <w:rPr>
          <w:rFonts w:ascii="宋体" w:hAnsi="宋体" w:cs="宋体"/>
          <w:color w:val="000000"/>
          <w:sz w:val="24"/>
          <w:szCs w:val="24"/>
        </w:rPr>
        <w:t>（切口恒载拉伸法）拉伸负荷应力开裂（h）：≥</w:t>
      </w:r>
      <w:r>
        <w:rPr>
          <w:rFonts w:hint="eastAsia" w:ascii="宋体" w:hAnsi="宋体" w:cs="宋体"/>
          <w:color w:val="000000"/>
          <w:sz w:val="24"/>
          <w:szCs w:val="24"/>
        </w:rPr>
        <w:t>300；</w:t>
      </w:r>
    </w:p>
    <w:p w14:paraId="5C539BE4">
      <w:pPr>
        <w:pStyle w:val="10"/>
        <w:adjustRightInd w:val="0"/>
        <w:snapToGrid w:val="0"/>
        <w:spacing w:line="440" w:lineRule="exact"/>
        <w:ind w:firstLine="480"/>
        <w:rPr>
          <w:rFonts w:hint="eastAsia" w:ascii="宋体" w:hAnsi="宋体" w:cs="宋体"/>
          <w:color w:val="000000"/>
          <w:sz w:val="24"/>
          <w:szCs w:val="24"/>
        </w:rPr>
      </w:pPr>
      <w:r>
        <w:rPr>
          <w:rFonts w:ascii="宋体" w:hAnsi="宋体" w:cs="宋体"/>
          <w:color w:val="000000"/>
          <w:sz w:val="24"/>
          <w:szCs w:val="24"/>
        </w:rPr>
        <w:t>碳黑含量（</w:t>
      </w:r>
      <w:r>
        <w:rPr>
          <w:rFonts w:hint="eastAsia" w:ascii="宋体" w:hAnsi="宋体" w:cs="宋体"/>
          <w:color w:val="000000"/>
          <w:sz w:val="24"/>
          <w:szCs w:val="24"/>
        </w:rPr>
        <w:t>%</w:t>
      </w:r>
      <w:r>
        <w:rPr>
          <w:rFonts w:ascii="宋体" w:hAnsi="宋体" w:cs="宋体"/>
          <w:color w:val="000000"/>
          <w:sz w:val="24"/>
          <w:szCs w:val="24"/>
        </w:rPr>
        <w:t>）：</w:t>
      </w:r>
      <w:r>
        <w:rPr>
          <w:rFonts w:hint="eastAsia" w:ascii="宋体" w:hAnsi="宋体" w:cs="宋体"/>
          <w:color w:val="000000"/>
          <w:sz w:val="24"/>
          <w:szCs w:val="24"/>
        </w:rPr>
        <w:t>2.0-3.0‘</w:t>
      </w:r>
    </w:p>
    <w:p w14:paraId="502125C5">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碳黑分散度（级）：10个数据中3级不大于1个，4级、5级不允许；</w:t>
      </w:r>
    </w:p>
    <w:p w14:paraId="3DCF40F0">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氧化诱导时间（OIT）（Min）：常压氧化诱导时间≥100；</w:t>
      </w:r>
    </w:p>
    <w:p w14:paraId="1988D757">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85℃热老化（90d后常压</w:t>
      </w:r>
      <w:bookmarkStart w:id="15" w:name="OLE_LINK15"/>
      <w:bookmarkStart w:id="16" w:name="OLE_LINK16"/>
      <w:r>
        <w:rPr>
          <w:rFonts w:hint="eastAsia" w:ascii="宋体" w:hAnsi="宋体" w:cs="宋体"/>
          <w:color w:val="000000"/>
          <w:sz w:val="24"/>
          <w:szCs w:val="24"/>
        </w:rPr>
        <w:t>OIT保留率</w:t>
      </w:r>
      <w:bookmarkEnd w:id="15"/>
      <w:bookmarkEnd w:id="16"/>
      <w:r>
        <w:rPr>
          <w:rFonts w:hint="eastAsia" w:ascii="宋体" w:hAnsi="宋体" w:cs="宋体"/>
          <w:color w:val="000000"/>
          <w:sz w:val="24"/>
          <w:szCs w:val="24"/>
        </w:rPr>
        <w:t>）（%）：≥55；</w:t>
      </w:r>
    </w:p>
    <w:p w14:paraId="0E0700B5">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紫外线照射（1600h后OIT保留率）（%）：≥50；</w:t>
      </w:r>
    </w:p>
    <w:p w14:paraId="4947A6AA">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-70℃低温冲击脆化性能（℃）：通过；</w:t>
      </w:r>
    </w:p>
    <w:p w14:paraId="32E1E4D7">
      <w:pPr>
        <w:pStyle w:val="10"/>
        <w:adjustRightInd w:val="0"/>
        <w:snapToGrid w:val="0"/>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水蒸气渗透系数（g.cm/cm2.S.Pa）：≤1.0*10</w:t>
      </w:r>
      <w:r>
        <w:rPr>
          <w:rFonts w:hint="eastAsia" w:ascii="宋体" w:hAnsi="宋体" w:cs="宋体"/>
          <w:color w:val="000000"/>
          <w:sz w:val="28"/>
          <w:szCs w:val="24"/>
          <w:vertAlign w:val="superscript"/>
        </w:rPr>
        <w:t>-13</w:t>
      </w:r>
      <w:r>
        <w:rPr>
          <w:rFonts w:hint="eastAsia" w:ascii="宋体" w:hAnsi="宋体" w:cs="宋体"/>
          <w:color w:val="000000"/>
          <w:sz w:val="24"/>
          <w:szCs w:val="24"/>
        </w:rPr>
        <w:t>；</w:t>
      </w:r>
    </w:p>
    <w:p w14:paraId="70F2EAE0">
      <w:pPr>
        <w:pStyle w:val="10"/>
        <w:adjustRightInd w:val="0"/>
        <w:snapToGrid w:val="0"/>
        <w:spacing w:line="440" w:lineRule="exact"/>
        <w:ind w:firstLine="480"/>
        <w:rPr>
          <w:rFonts w:ascii="宋体" w:hAnsi="宋体" w:cs="宋体"/>
          <w:color w:val="000000"/>
          <w:sz w:val="24"/>
          <w:szCs w:val="24"/>
        </w:rPr>
      </w:pPr>
      <w:r>
        <w:rPr>
          <w:rFonts w:hint="eastAsia" w:ascii="宋体" w:hAnsi="宋体" w:cs="宋体"/>
          <w:color w:val="000000"/>
          <w:sz w:val="24"/>
          <w:szCs w:val="24"/>
        </w:rPr>
        <w:t>尺寸稳定性（%）：±2。</w:t>
      </w:r>
    </w:p>
    <w:p w14:paraId="465B7476">
      <w:pPr>
        <w:pStyle w:val="7"/>
        <w:spacing w:line="440" w:lineRule="exact"/>
        <w:rPr>
          <w:rFonts w:hint="eastAsia" w:hAnsi="Courier New"/>
          <w:b/>
          <w:bCs/>
          <w:color w:val="000000"/>
          <w:sz w:val="28"/>
          <w:szCs w:val="28"/>
        </w:rPr>
      </w:pPr>
      <w:r>
        <w:rPr>
          <w:rFonts w:hint="eastAsia" w:hAnsi="Courier New"/>
          <w:b/>
          <w:bCs/>
          <w:color w:val="000000"/>
          <w:sz w:val="28"/>
          <w:szCs w:val="28"/>
        </w:rPr>
        <w:t>三、商务要求</w:t>
      </w:r>
    </w:p>
    <w:p w14:paraId="6AEC4241">
      <w:pPr>
        <w:pStyle w:val="3"/>
        <w:spacing w:after="0" w:line="440" w:lineRule="exact"/>
        <w:ind w:firstLine="240" w:firstLineChars="100"/>
        <w:rPr>
          <w:rFonts w:hint="eastAsia" w:ascii="宋体" w:hAnsi="宋体" w:cs="宋体"/>
          <w:color w:val="000000"/>
          <w:sz w:val="24"/>
        </w:rPr>
      </w:pPr>
      <w:r>
        <w:rPr>
          <w:rFonts w:hint="eastAsia" w:ascii="宋体" w:hAnsi="宋体" w:cs="宋体"/>
          <w:color w:val="000000"/>
          <w:sz w:val="24"/>
        </w:rPr>
        <w:t>1、交货地点：德阳市绵竹市德阳昊华清平磷矿有限公司磷铵分厂。</w:t>
      </w:r>
    </w:p>
    <w:p w14:paraId="4EC95849">
      <w:pPr>
        <w:widowControl/>
        <w:spacing w:line="440" w:lineRule="exact"/>
        <w:ind w:firstLine="240" w:firstLineChars="100"/>
        <w:jc w:val="left"/>
        <w:outlineLvl w:val="1"/>
        <w:rPr>
          <w:rFonts w:hint="eastAsia" w:ascii="宋体" w:hAnsi="宋体" w:cs="宋体"/>
          <w:color w:val="000000"/>
          <w:sz w:val="24"/>
        </w:rPr>
      </w:pPr>
      <w:r>
        <w:rPr>
          <w:rFonts w:hint="eastAsia" w:ascii="宋体" w:hAnsi="宋体" w:cs="宋体"/>
          <w:color w:val="000000"/>
          <w:sz w:val="24"/>
        </w:rPr>
        <w:t>2、交货期：合同签订后6个月内有效，具体供货时间为中标人接到招标人分批供货通知后供货。</w:t>
      </w:r>
    </w:p>
    <w:p w14:paraId="136DF188">
      <w:pPr>
        <w:spacing w:line="440" w:lineRule="exact"/>
        <w:ind w:firstLine="241" w:firstLineChars="100"/>
        <w:rPr>
          <w:rFonts w:hint="eastAsia" w:ascii="宋体" w:hAnsi="宋体" w:cs="宋体"/>
          <w:color w:val="000000"/>
          <w:sz w:val="24"/>
        </w:rPr>
      </w:pPr>
      <w:r>
        <w:rPr>
          <w:rFonts w:hint="eastAsia" w:ascii="宋体" w:hAnsi="宋体" w:cs="宋体"/>
          <w:b/>
          <w:bCs/>
          <w:color w:val="000000"/>
          <w:sz w:val="24"/>
        </w:rPr>
        <w:t>★</w:t>
      </w:r>
      <w:r>
        <w:rPr>
          <w:rFonts w:hint="eastAsia" w:ascii="宋体" w:hAnsi="宋体" w:cs="宋体"/>
          <w:color w:val="000000"/>
          <w:sz w:val="24"/>
        </w:rPr>
        <w:t>3、付款进度及方式：</w:t>
      </w:r>
    </w:p>
    <w:p w14:paraId="5AEDE8C8">
      <w:pPr>
        <w:snapToGri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3.1付款进度：每批产品经招标人验收合格后30日内支付该批货款，按招标人要求分批供货，最终结算以实际送货数量为准。</w:t>
      </w:r>
    </w:p>
    <w:p w14:paraId="7D4B1B1B">
      <w:pPr>
        <w:snapToGri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3.2付款方式：银行电子承兑汇票。</w:t>
      </w:r>
    </w:p>
    <w:p w14:paraId="7DBE7EA8">
      <w:pPr>
        <w:spacing w:line="440" w:lineRule="exact"/>
        <w:ind w:firstLine="480" w:firstLineChars="200"/>
        <w:rPr>
          <w:rFonts w:hint="eastAsia" w:ascii="宋体" w:hAnsi="宋体" w:cs="宋体"/>
          <w:color w:val="000000"/>
          <w:sz w:val="24"/>
        </w:rPr>
      </w:pPr>
      <w:bookmarkStart w:id="17" w:name="OLE_LINK22"/>
      <w:bookmarkStart w:id="18" w:name="OLE_LINK21"/>
      <w:r>
        <w:rPr>
          <w:rFonts w:hint="eastAsia" w:ascii="宋体" w:hAnsi="宋体" w:cs="宋体"/>
          <w:color w:val="000000"/>
          <w:sz w:val="24"/>
        </w:rPr>
        <w:t>（注：采购人每次付款前，</w:t>
      </w:r>
      <w:r>
        <w:rPr>
          <w:rFonts w:hint="eastAsia" w:ascii="宋体" w:hAnsi="宋体" w:cs="宋体"/>
          <w:b/>
          <w:bCs/>
          <w:color w:val="000000"/>
          <w:sz w:val="24"/>
        </w:rPr>
        <w:t>供应商应按13%税率提供全额</w:t>
      </w:r>
      <w:r>
        <w:rPr>
          <w:rFonts w:hint="eastAsia" w:ascii="宋体" w:hAnsi="宋体" w:cs="宋体"/>
          <w:color w:val="000000"/>
          <w:sz w:val="24"/>
        </w:rPr>
        <w:t>、合法有效的增值税专用发票。）</w:t>
      </w:r>
    </w:p>
    <w:bookmarkEnd w:id="17"/>
    <w:bookmarkEnd w:id="18"/>
    <w:p w14:paraId="32EF1C44">
      <w:pPr>
        <w:spacing w:line="440" w:lineRule="exact"/>
        <w:ind w:firstLine="240" w:firstLineChars="100"/>
        <w:rPr>
          <w:rFonts w:hint="eastAsia" w:ascii="宋体" w:hAnsi="宋体" w:cs="宋体"/>
          <w:color w:val="000000"/>
          <w:sz w:val="24"/>
        </w:rPr>
      </w:pPr>
      <w:r>
        <w:rPr>
          <w:rFonts w:hint="eastAsia" w:ascii="宋体" w:hAnsi="宋体" w:cs="宋体"/>
          <w:color w:val="000000"/>
          <w:sz w:val="24"/>
        </w:rPr>
        <w:t xml:space="preserve">4、投标人应保证所提供的服务或其任何一部分均不会侵犯任何第三方的专利权、商标权或著作权。 </w:t>
      </w:r>
    </w:p>
    <w:p w14:paraId="41954F0B">
      <w:pPr>
        <w:spacing w:line="440" w:lineRule="exact"/>
        <w:ind w:firstLine="241" w:firstLineChars="100"/>
        <w:rPr>
          <w:rFonts w:hint="eastAsia" w:ascii="宋体" w:hAnsi="宋体" w:cs="宋体"/>
          <w:color w:val="000000"/>
          <w:sz w:val="24"/>
        </w:rPr>
      </w:pPr>
      <w:r>
        <w:rPr>
          <w:rFonts w:hint="eastAsia" w:ascii="宋体" w:hAnsi="宋体" w:cs="宋体"/>
          <w:b/>
          <w:bCs/>
          <w:color w:val="000000"/>
          <w:sz w:val="24"/>
        </w:rPr>
        <w:t>★</w:t>
      </w:r>
      <w:r>
        <w:rPr>
          <w:rFonts w:hint="eastAsia" w:ascii="宋体" w:hAnsi="宋体" w:cs="宋体"/>
          <w:color w:val="000000"/>
          <w:sz w:val="24"/>
        </w:rPr>
        <w:t>5、质保期及售后服务</w:t>
      </w:r>
    </w:p>
    <w:p w14:paraId="0F42D382">
      <w:pPr>
        <w:spacing w:line="440" w:lineRule="exact"/>
        <w:ind w:firstLine="240" w:firstLineChars="100"/>
        <w:rPr>
          <w:rFonts w:hint="eastAsia" w:ascii="宋体" w:hAnsi="宋体" w:cs="宋体"/>
          <w:color w:val="000000"/>
          <w:sz w:val="24"/>
        </w:rPr>
      </w:pPr>
      <w:r>
        <w:rPr>
          <w:rFonts w:hint="eastAsia" w:ascii="宋体" w:hAnsi="宋体" w:cs="宋体"/>
          <w:color w:val="000000"/>
          <w:sz w:val="24"/>
        </w:rPr>
        <w:t>（1）质保期为验收合格后12个月。</w:t>
      </w:r>
    </w:p>
    <w:p w14:paraId="4DE9879F">
      <w:pPr>
        <w:spacing w:line="440" w:lineRule="exact"/>
        <w:ind w:firstLine="240" w:firstLineChars="100"/>
        <w:rPr>
          <w:rFonts w:hint="eastAsia" w:ascii="宋体" w:hAnsi="宋体" w:cs="宋体"/>
          <w:color w:val="000000"/>
          <w:sz w:val="24"/>
        </w:rPr>
      </w:pPr>
      <w:r>
        <w:rPr>
          <w:rFonts w:hint="eastAsia" w:ascii="宋体" w:hAnsi="宋体" w:cs="宋体"/>
          <w:color w:val="000000"/>
          <w:sz w:val="24"/>
        </w:rPr>
        <w:t>（2）质保期内由于产品自身质量问题导致无法正常使用，供应商技术服务人员在接到采购人通知24小时内到现场处置。</w:t>
      </w:r>
    </w:p>
    <w:p w14:paraId="2F02CF09">
      <w:pPr>
        <w:pStyle w:val="10"/>
        <w:adjustRightInd w:val="0"/>
        <w:snapToGrid w:val="0"/>
        <w:spacing w:line="440" w:lineRule="exact"/>
        <w:ind w:firstLine="0" w:firstLineChars="0"/>
        <w:rPr>
          <w:rFonts w:hint="eastAsia" w:ascii="宋体" w:hAnsi="Courier New"/>
          <w:b/>
          <w:bCs/>
          <w:color w:val="000000"/>
          <w:sz w:val="28"/>
          <w:szCs w:val="28"/>
        </w:rPr>
      </w:pPr>
      <w:r>
        <w:rPr>
          <w:rFonts w:hint="eastAsia" w:ascii="宋体" w:hAnsi="Courier New"/>
          <w:b/>
          <w:bCs/>
          <w:color w:val="000000"/>
          <w:sz w:val="28"/>
          <w:szCs w:val="28"/>
        </w:rPr>
        <w:t>四、关于验收</w:t>
      </w:r>
    </w:p>
    <w:p w14:paraId="7F9A3767">
      <w:pPr>
        <w:pStyle w:val="3"/>
        <w:snapToGrid w:val="0"/>
        <w:spacing w:line="440" w:lineRule="exact"/>
        <w:ind w:firstLine="439" w:firstLineChars="183"/>
        <w:rPr>
          <w:rFonts w:hint="eastAsia" w:ascii="宋体" w:hAnsi="宋体" w:cs="宋体"/>
          <w:color w:val="000000"/>
          <w:szCs w:val="21"/>
        </w:rPr>
      </w:pPr>
      <w:r>
        <w:rPr>
          <w:rFonts w:hint="eastAsia" w:ascii="宋体" w:hAnsi="宋体" w:cs="宋体"/>
          <w:color w:val="000000"/>
          <w:sz w:val="24"/>
        </w:rPr>
        <w:t>验收标准：按谈判文件要求、中标单位的响应文件及承诺、签订的合同、国家及行业相关规范标准进行</w:t>
      </w:r>
      <w:r>
        <w:rPr>
          <w:rFonts w:hint="eastAsia" w:hAnsi="宋体" w:cs="宋体"/>
          <w:color w:val="000000"/>
          <w:sz w:val="24"/>
        </w:rPr>
        <w:t>。</w:t>
      </w:r>
    </w:p>
    <w:p w14:paraId="477BCBFB">
      <w:pPr>
        <w:snapToGrid w:val="0"/>
        <w:spacing w:before="312" w:beforeLines="100" w:line="440" w:lineRule="exact"/>
        <w:rPr>
          <w:rFonts w:hint="eastAsia" w:ascii="宋体" w:hAnsi="宋体" w:cs="宋体"/>
          <w:b/>
          <w:bCs/>
          <w:color w:val="000000"/>
          <w:sz w:val="28"/>
          <w:szCs w:val="28"/>
        </w:rPr>
      </w:pPr>
      <w:r>
        <w:rPr>
          <w:rFonts w:hint="eastAsia" w:ascii="宋体" w:hAnsi="宋体" w:cs="宋体"/>
          <w:b/>
          <w:bCs/>
          <w:color w:val="000000"/>
          <w:sz w:val="28"/>
          <w:szCs w:val="28"/>
        </w:rPr>
        <w:t>五、违约责任</w:t>
      </w:r>
    </w:p>
    <w:p w14:paraId="10EB9757">
      <w:pPr>
        <w:pStyle w:val="3"/>
        <w:snapToGrid w:val="0"/>
        <w:spacing w:line="440" w:lineRule="exact"/>
        <w:ind w:firstLine="439" w:firstLineChars="183"/>
        <w:rPr>
          <w:rFonts w:hint="eastAsia" w:ascii="宋体" w:hAnsi="宋体" w:cs="宋体"/>
          <w:color w:val="000000"/>
          <w:sz w:val="24"/>
        </w:rPr>
      </w:pPr>
      <w:r>
        <w:rPr>
          <w:rFonts w:hint="eastAsia" w:ascii="宋体" w:hAnsi="宋体" w:cs="宋体"/>
          <w:color w:val="000000"/>
          <w:sz w:val="24"/>
        </w:rPr>
        <w:t>1、中标人必须遵守采购合同并执行合同中的各项规定，保证采购合同的正常履行。</w:t>
      </w:r>
    </w:p>
    <w:p w14:paraId="51A4F07C">
      <w:pPr>
        <w:pStyle w:val="3"/>
        <w:snapToGrid w:val="0"/>
        <w:spacing w:line="440" w:lineRule="exact"/>
        <w:ind w:firstLine="439" w:firstLineChars="183"/>
        <w:rPr>
          <w:rFonts w:hint="eastAsia" w:ascii="宋体" w:hAnsi="宋体" w:cs="宋体"/>
          <w:color w:val="000000"/>
          <w:sz w:val="24"/>
        </w:rPr>
      </w:pPr>
      <w:r>
        <w:rPr>
          <w:rFonts w:hint="eastAsia" w:ascii="宋体" w:hAnsi="宋体" w:cs="宋体"/>
          <w:color w:val="000000"/>
          <w:sz w:val="24"/>
        </w:rPr>
        <w:t>2、中标人应当遵守采购人的相关项目需求及相关技术要求及实质性条款，实施完成采购合同应当完全满足相关项目需求及相关技术要求及实质性条款，若中标人瑕疵履行采购合同，采购人有权向中标人要求赔偿违约金（金额以采购合同约定为准），若造成相关损失的，采购人有权要求中标人承担所有赔偿责任。</w:t>
      </w:r>
    </w:p>
    <w:p w14:paraId="433EF349">
      <w:r>
        <w:rPr>
          <w:rFonts w:hint="eastAsia" w:ascii="宋体" w:hAnsi="宋体" w:cs="宋体"/>
          <w:b/>
          <w:bCs/>
          <w:color w:val="000000"/>
          <w:sz w:val="24"/>
        </w:rPr>
        <w:t>注：本章带“★”号条款为实质性要求，投标人若未满足的（实质性要求不允许偏离），将被视为无效投标。</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LNUHNF+SimSun">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6588D"/>
    <w:rsid w:val="23765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b/>
      <w:bCs/>
      <w:kern w:val="44"/>
      <w:sz w:val="44"/>
      <w:szCs w:val="44"/>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w:basedOn w:val="1"/>
    <w:next w:val="4"/>
    <w:uiPriority w:val="0"/>
    <w:pPr>
      <w:spacing w:after="120"/>
    </w:pPr>
  </w:style>
  <w:style w:type="paragraph" w:customStyle="1" w:styleId="4">
    <w:name w:val="Default"/>
    <w:basedOn w:val="5"/>
    <w:next w:val="1"/>
    <w:qFormat/>
    <w:uiPriority w:val="0"/>
    <w:pPr>
      <w:widowControl w:val="0"/>
    </w:pPr>
    <w:rPr>
      <w:rFonts w:ascii="宋体" w:hAnsi="宋体" w:cs="宋体"/>
      <w:color w:val="000000"/>
      <w:sz w:val="24"/>
      <w:szCs w:val="24"/>
      <w:lang w:val="en-US" w:eastAsia="zh-CN" w:bidi="ar-SA"/>
    </w:rPr>
  </w:style>
  <w:style w:type="paragraph" w:customStyle="1" w:styleId="5">
    <w:name w:val="正文_1"/>
    <w:basedOn w:val="6"/>
    <w:qFormat/>
    <w:uiPriority w:val="0"/>
    <w:rPr>
      <w:rFonts w:cs="宋体"/>
      <w:szCs w:val="24"/>
    </w:rPr>
  </w:style>
  <w:style w:type="paragraph" w:customStyle="1" w:styleId="6">
    <w:name w:val="正文_2"/>
    <w:qFormat/>
    <w:uiPriority w:val="0"/>
    <w:pPr>
      <w:widowControl w:val="0"/>
      <w:spacing w:line="360" w:lineRule="auto"/>
      <w:ind w:firstLine="200" w:firstLineChars="200"/>
      <w:jc w:val="both"/>
    </w:pPr>
    <w:rPr>
      <w:rFonts w:ascii="宋体" w:hAnsi="Times New Roman" w:eastAsia="宋体" w:cs="Times New Roman"/>
      <w:kern w:val="2"/>
      <w:sz w:val="24"/>
      <w:szCs w:val="22"/>
      <w:lang w:val="en-US" w:eastAsia="zh-CN" w:bidi="ar-SA"/>
    </w:rPr>
  </w:style>
  <w:style w:type="paragraph" w:styleId="7">
    <w:name w:val="Plain Text"/>
    <w:basedOn w:val="1"/>
    <w:qFormat/>
    <w:uiPriority w:val="0"/>
    <w:pPr>
      <w:autoSpaceDE w:val="0"/>
      <w:autoSpaceDN w:val="0"/>
      <w:adjustRightInd w:val="0"/>
    </w:pPr>
    <w:rPr>
      <w:rFonts w:ascii="宋体" w:hAnsi="Tms Rmn"/>
      <w:kern w:val="0"/>
      <w:szCs w:val="20"/>
    </w:rPr>
  </w:style>
  <w:style w:type="paragraph" w:customStyle="1" w:styleId="10">
    <w:name w:val="列出段落1"/>
    <w:basedOn w:val="1"/>
    <w:qFormat/>
    <w:uiPriority w:val="0"/>
    <w:pPr>
      <w:ind w:firstLine="420" w:firstLineChars="20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2025-07-17T01:25:00Z</dcterms:created>
  <dc:creator>Admin</dc:creator>
  <cp:lastModifiedBy>Admin</cp:lastModifiedBy>
  <dcterms:modified xsi:type="dcterms:W3CDTF">2025-07-17T01:26:27Z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4B04BD2767694A3981740AADBBA95860_11</vt:lpwstr>
  </property>
  <property fmtid="{D5CDD505-2E9C-101B-9397-08002B2CF9AE}" pid="4" name="KSOTemplateDocerSaveRecord">
    <vt:lpwstr>eyJoZGlkIjoiNTgwMGZhZDQ2NDRiMmQ5NTg2NGQ1MDdhOTIyOWFiM2IiLCJ1c2VySWQiOiIyNjk4MTEyNDIifQ==</vt:lpwstr>
  </property>
</Properties>
</file>